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rPr>
      </w:pPr>
      <w:r>
        <w:rPr>
          <w:rFonts w:hint="eastAsia" w:ascii="宋体" w:hAnsi="宋体" w:eastAsia="宋体" w:cs="宋体"/>
          <w:color w:val="000000"/>
          <w:sz w:val="24"/>
          <w:szCs w:val="24"/>
        </w:rPr>
        <w:t>证券代码：</w:t>
      </w:r>
      <w:r>
        <w:rPr>
          <w:rFonts w:hint="eastAsia" w:ascii="宋体" w:hAnsi="宋体" w:eastAsia="宋体" w:cs="宋体"/>
          <w:color w:val="000000"/>
          <w:sz w:val="24"/>
          <w:szCs w:val="24"/>
          <w:lang w:val="en-US" w:eastAsia="zh-CN"/>
        </w:rPr>
        <w:t>300850</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证券简称：</w:t>
      </w:r>
      <w:r>
        <w:rPr>
          <w:rFonts w:hint="eastAsia" w:ascii="宋体" w:hAnsi="宋体" w:eastAsia="宋体" w:cs="宋体"/>
          <w:color w:val="000000"/>
          <w:sz w:val="24"/>
          <w:szCs w:val="24"/>
          <w:lang w:val="en-US" w:eastAsia="zh-CN"/>
        </w:rPr>
        <w:t>新强联</w:t>
      </w:r>
    </w:p>
    <w:p>
      <w:pPr>
        <w:spacing w:line="360" w:lineRule="auto"/>
        <w:jc w:val="center"/>
        <w:rPr>
          <w:rFonts w:hint="default" w:ascii="宋体" w:hAnsi="宋体" w:eastAsia="宋体" w:cs="宋体"/>
          <w:b/>
          <w:bCs w:val="0"/>
          <w:sz w:val="28"/>
          <w:szCs w:val="28"/>
          <w:highlight w:val="none"/>
          <w:lang w:val="en-US" w:eastAsia="zh-CN"/>
        </w:rPr>
      </w:pP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洛阳新强联回转支承股份有限公司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iCs/>
          <w:color w:val="000000"/>
          <w:sz w:val="28"/>
          <w:szCs w:val="28"/>
        </w:rPr>
        <w:t>投资者关系活动记录表</w:t>
      </w:r>
      <w:r>
        <w:rPr>
          <w:rFonts w:hint="eastAsia" w:ascii="宋体" w:hAnsi="宋体" w:eastAsia="宋体" w:cs="宋体"/>
          <w:bCs/>
          <w:iCs/>
          <w:color w:val="000000"/>
          <w:sz w:val="28"/>
          <w:szCs w:val="28"/>
        </w:rPr>
        <w:t xml:space="preserve"> </w:t>
      </w:r>
    </w:p>
    <w:p/>
    <w:p>
      <w:pPr>
        <w:wordWrap w:val="0"/>
        <w:spacing w:line="400" w:lineRule="exact"/>
        <w:jc w:val="right"/>
        <w:rPr>
          <w:rFonts w:hint="default" w:ascii="宋体" w:hAnsi="宋体"/>
          <w:bCs/>
          <w:iCs/>
          <w:color w:val="000000"/>
          <w:sz w:val="24"/>
          <w:u w:val="single"/>
          <w:lang w:val="en-US" w:eastAsia="zh-CN"/>
        </w:rPr>
      </w:pPr>
      <w:r>
        <w:rPr>
          <w:rFonts w:hint="eastAsia" w:ascii="宋体" w:hAnsi="宋体"/>
          <w:bCs/>
          <w:iCs/>
          <w:color w:val="000000"/>
          <w:sz w:val="24"/>
        </w:rPr>
        <w:t xml:space="preserve"> 编号：</w:t>
      </w:r>
      <w:r>
        <w:rPr>
          <w:rFonts w:hint="eastAsia" w:ascii="宋体" w:hAnsi="宋体"/>
          <w:bCs/>
          <w:iCs/>
          <w:color w:val="000000"/>
          <w:sz w:val="24"/>
          <w:u w:val="single"/>
          <w:lang w:val="en-US" w:eastAsia="zh-CN"/>
        </w:rPr>
        <w:t xml:space="preserve">  2020-001  </w:t>
      </w:r>
    </w:p>
    <w:tbl>
      <w:tblPr>
        <w:tblStyle w:val="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043"/>
        <w:gridCol w:w="70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投资者关系活动类别</w:t>
            </w:r>
          </w:p>
        </w:tc>
        <w:tc>
          <w:tcPr>
            <w:tcW w:w="7055" w:type="dxa"/>
            <w:noWrap w:val="0"/>
            <w:vAlign w:val="top"/>
          </w:tcPr>
          <w:p>
            <w:pPr>
              <w:spacing w:line="480" w:lineRule="atLeast"/>
              <w:rPr>
                <w:rFonts w:ascii="宋体" w:hAnsi="宋体"/>
                <w:bCs/>
                <w:iCs/>
                <w:color w:val="000000"/>
                <w:sz w:val="24"/>
                <w:szCs w:val="24"/>
              </w:rPr>
            </w:pPr>
            <w:r>
              <w:rPr>
                <w:rFonts w:hint="eastAsia" w:ascii="宋体" w:hAnsi="宋体"/>
                <w:bCs/>
                <w:iCs/>
                <w:color w:val="000000"/>
                <w:sz w:val="24"/>
                <w:szCs w:val="24"/>
              </w:rPr>
              <w:sym w:font="Wingdings 2" w:char="0052"/>
            </w:r>
            <w:r>
              <w:rPr>
                <w:rFonts w:hint="eastAsia" w:ascii="宋体" w:hAnsi="宋体"/>
                <w:sz w:val="24"/>
                <w:szCs w:val="24"/>
              </w:rPr>
              <w:t xml:space="preserve">特定对象调研        </w:t>
            </w:r>
            <w:r>
              <w:rPr>
                <w:rFonts w:hint="eastAsia" w:ascii="宋体" w:hAnsi="宋体"/>
                <w:bCs/>
                <w:iCs/>
                <w:color w:val="000000"/>
                <w:sz w:val="24"/>
                <w:szCs w:val="24"/>
              </w:rPr>
              <w:sym w:font="Wingdings 2" w:char="00A3"/>
            </w:r>
            <w:r>
              <w:rPr>
                <w:rFonts w:hint="eastAsia" w:ascii="宋体" w:hAnsi="宋体"/>
                <w:sz w:val="24"/>
                <w:szCs w:val="24"/>
              </w:rPr>
              <w:t>分析师会议</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媒体采访            </w:t>
            </w:r>
            <w:r>
              <w:rPr>
                <w:rFonts w:hint="eastAsia" w:ascii="宋体" w:hAnsi="宋体"/>
                <w:bCs/>
                <w:iCs/>
                <w:color w:val="000000"/>
                <w:sz w:val="24"/>
                <w:szCs w:val="24"/>
              </w:rPr>
              <w:t>□</w:t>
            </w:r>
            <w:r>
              <w:rPr>
                <w:rFonts w:hint="eastAsia" w:ascii="宋体" w:hAnsi="宋体"/>
                <w:sz w:val="24"/>
                <w:szCs w:val="24"/>
              </w:rPr>
              <w:t>业绩说明会</w:t>
            </w:r>
          </w:p>
          <w:p>
            <w:pPr>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新闻发布会          </w:t>
            </w:r>
            <w:r>
              <w:rPr>
                <w:rFonts w:hint="eastAsia" w:ascii="宋体" w:hAnsi="宋体"/>
                <w:bCs/>
                <w:iCs/>
                <w:color w:val="000000"/>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现场参观</w:t>
            </w:r>
            <w:r>
              <w:rPr>
                <w:rFonts w:ascii="宋体" w:hAnsi="宋体"/>
                <w:bCs/>
                <w:iCs/>
                <w:color w:val="000000"/>
                <w:sz w:val="24"/>
                <w:szCs w:val="24"/>
              </w:rPr>
              <w:tab/>
            </w:r>
          </w:p>
          <w:p>
            <w:pPr>
              <w:tabs>
                <w:tab w:val="center" w:pos="3199"/>
              </w:tabs>
              <w:spacing w:line="480" w:lineRule="atLeas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参与单位名称及人员姓名</w:t>
            </w:r>
          </w:p>
        </w:tc>
        <w:tc>
          <w:tcPr>
            <w:tcW w:w="7055" w:type="dxa"/>
            <w:noWrap w:val="0"/>
            <w:vAlign w:val="center"/>
          </w:tcPr>
          <w:p>
            <w:pPr>
              <w:pStyle w:val="13"/>
              <w:widowControl/>
              <w:kinsoku w:val="0"/>
              <w:overflowPunct w:val="0"/>
              <w:spacing w:line="36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平安证券研究员：皮秀</w:t>
            </w:r>
          </w:p>
          <w:p>
            <w:pPr>
              <w:pStyle w:val="13"/>
              <w:widowControl/>
              <w:kinsoku w:val="0"/>
              <w:overflowPunct w:val="0"/>
              <w:spacing w:line="36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国海证券研究员：傅鸿浩</w:t>
            </w:r>
          </w:p>
          <w:p>
            <w:pPr>
              <w:pStyle w:val="13"/>
              <w:widowControl/>
              <w:kinsoku w:val="0"/>
              <w:overflowPunct w:val="0"/>
              <w:spacing w:line="360" w:lineRule="auto"/>
              <w:ind w:firstLine="0" w:firstLineChars="0"/>
              <w:rPr>
                <w:rFonts w:hint="default"/>
                <w:kern w:val="0"/>
                <w:sz w:val="24"/>
                <w:szCs w:val="24"/>
                <w:highlight w:val="none"/>
                <w:lang w:val="en-US" w:eastAsia="zh-CN"/>
              </w:rPr>
            </w:pPr>
            <w:r>
              <w:rPr>
                <w:rFonts w:hint="eastAsia" w:ascii="宋体" w:hAnsi="宋体" w:eastAsia="宋体" w:cs="宋体"/>
                <w:kern w:val="0"/>
                <w:sz w:val="24"/>
                <w:szCs w:val="24"/>
                <w:highlight w:val="none"/>
                <w:lang w:val="en-US" w:eastAsia="zh-CN"/>
              </w:rPr>
              <w:t>东北证券研究员：孙树明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时间</w:t>
            </w:r>
          </w:p>
        </w:tc>
        <w:tc>
          <w:tcPr>
            <w:tcW w:w="7055" w:type="dxa"/>
            <w:noWrap w:val="0"/>
            <w:vAlign w:val="center"/>
          </w:tcPr>
          <w:p>
            <w:pPr>
              <w:pStyle w:val="13"/>
              <w:widowControl/>
              <w:kinsoku w:val="0"/>
              <w:overflowPunct w:val="0"/>
              <w:spacing w:line="360" w:lineRule="auto"/>
              <w:ind w:firstLine="0" w:firstLineChars="0"/>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2020年9月23日15:30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地点</w:t>
            </w:r>
          </w:p>
        </w:tc>
        <w:tc>
          <w:tcPr>
            <w:tcW w:w="7055" w:type="dxa"/>
            <w:noWrap w:val="0"/>
            <w:vAlign w:val="center"/>
          </w:tcPr>
          <w:p>
            <w:pPr>
              <w:pStyle w:val="13"/>
              <w:widowControl/>
              <w:kinsoku w:val="0"/>
              <w:overflowPunct w:val="0"/>
              <w:spacing w:line="360" w:lineRule="auto"/>
              <w:ind w:firstLine="0" w:firstLineChars="0"/>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公司董事会办公室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上市公司接待人员姓名</w:t>
            </w:r>
          </w:p>
        </w:tc>
        <w:tc>
          <w:tcPr>
            <w:tcW w:w="7055" w:type="dxa"/>
            <w:noWrap w:val="0"/>
            <w:vAlign w:val="center"/>
          </w:tcPr>
          <w:p>
            <w:pPr>
              <w:pStyle w:val="13"/>
              <w:widowControl/>
              <w:kinsoku w:val="0"/>
              <w:overflowPunct w:val="0"/>
              <w:spacing w:line="36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董事长：肖争强</w:t>
            </w:r>
          </w:p>
          <w:p>
            <w:pPr>
              <w:pStyle w:val="13"/>
              <w:widowControl/>
              <w:kinsoku w:val="0"/>
              <w:overflowPunct w:val="0"/>
              <w:spacing w:line="360" w:lineRule="auto"/>
              <w:ind w:firstLine="0" w:firstLineChars="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董事、总经理：肖高强</w:t>
            </w:r>
          </w:p>
          <w:p>
            <w:pPr>
              <w:pStyle w:val="13"/>
              <w:widowControl/>
              <w:kinsoku w:val="0"/>
              <w:overflowPunct w:val="0"/>
              <w:spacing w:line="360" w:lineRule="auto"/>
              <w:ind w:firstLine="0" w:firstLineChars="0"/>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董事、董事会秘书、副总经理：曹柏根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88"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投资者关系活动主要内容介绍</w:t>
            </w:r>
          </w:p>
        </w:tc>
        <w:tc>
          <w:tcPr>
            <w:tcW w:w="7055" w:type="dxa"/>
            <w:noWrap w:val="0"/>
            <w:vAlign w:val="top"/>
          </w:tcPr>
          <w:p>
            <w:pPr>
              <w:numPr>
                <w:ilvl w:val="0"/>
                <w:numId w:val="1"/>
              </w:numPr>
              <w:spacing w:line="360" w:lineRule="auto"/>
              <w:ind w:left="480" w:leftChars="0" w:firstLine="0" w:firstLineChars="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公司风电产品的整体市场竞争情况？</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答：公司风电产品主要为偏航、变浆轴承和主轴轴承；偏航、变浆轴承目前国内产品整体质量、性能可靠，国产化率很高；而主轴轴承基本是依赖进口，公司主要的竞争对手是德国罗泰艾德、SKF等外资厂商。</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新强联公司依托雄厚的技术积淀，经过长期的技术研发，自主开发的3MW三排滚子、双裂圆锥主轴轴承实现了进口唯一替代。目前已经与国内主要风电主机厂商保持着批量稳定供货。</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目前专注于风电回转支承制造的国内上市企业仅新强联一家，这得益于国家在产业政策方面对风电新能源的大力支持，也得益于公司对市场机遇的准确把握。</w:t>
            </w:r>
          </w:p>
          <w:p>
            <w:pPr>
              <w:numPr>
                <w:ilvl w:val="0"/>
                <w:numId w:val="1"/>
              </w:numPr>
              <w:spacing w:line="360" w:lineRule="auto"/>
              <w:ind w:left="0" w:leftChars="0"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公司主轴产品与国外产品的差距？未来发展如何保持并发扬优势？</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答：主要的差距是材料和加工工艺两方面；国产主轴产品与进口主轴的差距一定程度上反应了我国轴承工业的现状，必竟我们一直以来处于学习、赶超阶段；但就新强联3MW进口替代主轴产品而言，我们的产品内在质量完全达到国外同类产品水平，在振动、温升、热处理等方面表现稳定，得到了客户的肯定。可以说突破了设计、制造的瓶颈，这坚定了我们进一步开发更大功率主轴轴承的信心和决心。</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我们的主轴产品最早2011年底交付湘电风能试用，目前已安全平稳运行8年多。</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我们的劣势是市场知名度和认可度。</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今年以来，受疫情、外贸形势及“抢装潮”的影响，主轴轴承的国产化替代进程加快，公司主轴轴承交付数量同比大幅上升，客户满意度不断提升，实现了供需双赢；随着募投项目投入设备的逐步磨合成熟，下半年产能将进一步释放。</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公司紧盯行业发展主流，在设计理念上保持着前瞻性，早于几年前已开展大功率主轴轴承的研发、试验，积累了丰富的经验。因此，未来政策“退坡”后的平价阶段，随着国产化率、大功率化的进一步加快，对新强联主轴来说，高内在质量、高性价比意味着更大的机遇。</w:t>
            </w:r>
          </w:p>
          <w:p>
            <w:pPr>
              <w:numPr>
                <w:ilvl w:val="0"/>
                <w:numId w:val="1"/>
              </w:numPr>
              <w:spacing w:line="360" w:lineRule="auto"/>
              <w:ind w:left="0" w:leftChars="0"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公司当前偏航、变浆轴承整体市场占有率仍偏小的原因？</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答：当前偏航、变浆轴承市场占有率偏小的原因主要有两点。一是受产能小的影响，随着募投项目投入和公司进一步加大设备投入，会在未来有较大幅度改观；二是公司一直秉承“效益优先”战略，同等条件下优先满足主导产品、高毛利率产品的市场供给，力求达到整体效益最大化。</w:t>
            </w:r>
          </w:p>
          <w:p>
            <w:pPr>
              <w:numPr>
                <w:ilvl w:val="0"/>
                <w:numId w:val="1"/>
              </w:numPr>
              <w:spacing w:line="360" w:lineRule="auto"/>
              <w:ind w:left="0" w:leftChars="0"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作为上市公众公司，市场报导方面为何较少见到有关公司的宣传？</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答：公司从做实业起家，一直致力于“以过硬的质量、诚信的经营”来赢取市场；集中主要精力“先做精，再做大”主营业务，不搞投资上的“大水漫灌”，不熟悉的领域不做，做不好的产品不做。</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公司的产品领域也有一定的专业性和特殊性，市场的口碑更主要、更直接是靠“圈内”使用单位的现实使用感受来传播，常规广告宣传效果甚微。</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未来随着公司产品链的拓宽，我们会加大对拳头产品、创新产品的专业推介力度。</w:t>
            </w:r>
          </w:p>
          <w:p>
            <w:pPr>
              <w:numPr>
                <w:ilvl w:val="0"/>
                <w:numId w:val="1"/>
              </w:numPr>
              <w:spacing w:line="360" w:lineRule="auto"/>
              <w:ind w:left="0" w:leftChars="0"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公司在海工装备、盾构机轴承方面的市场策略？</w:t>
            </w:r>
          </w:p>
          <w:p>
            <w:pPr>
              <w:widowControl w:val="0"/>
              <w:numPr>
                <w:ilvl w:val="0"/>
                <w:numId w:val="0"/>
              </w:numPr>
              <w:spacing w:line="360" w:lineRule="auto"/>
              <w:jc w:val="both"/>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答：海工装备、盾构机轴承是公司重要的产品系列之一，相对于风电产品而言，具有“单件、小批量”的特点。尤其是今年以来，下游风电市场需求旺盛，在当前产能下，不符合公司效益优先的整体战略，目前仅以维持基本市场为主。但公司在海工装备、盾构机轴承方面的技术储备足以应对可能的市场转向。</w:t>
            </w:r>
          </w:p>
          <w:p>
            <w:pPr>
              <w:numPr>
                <w:ilvl w:val="0"/>
                <w:numId w:val="1"/>
              </w:numPr>
              <w:spacing w:line="360" w:lineRule="auto"/>
              <w:ind w:left="0" w:leftChars="0"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公司目前的产能如何？收购并新成立全资子公司的战略设想是？</w:t>
            </w:r>
          </w:p>
          <w:p>
            <w:pPr>
              <w:widowControl w:val="0"/>
              <w:numPr>
                <w:ilvl w:val="0"/>
                <w:numId w:val="0"/>
              </w:numPr>
              <w:spacing w:line="360" w:lineRule="auto"/>
              <w:ind w:firstLine="481"/>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答：公司在风电产品领域积累了良好的用户口碑，在深交所创业板的上市成功又叠加了品牌效应，虽然募投项目的投入使公司产能较同期大幅增加，但仍不能满足当前的市场需求。</w:t>
            </w:r>
          </w:p>
          <w:p>
            <w:pPr>
              <w:widowControl w:val="0"/>
              <w:numPr>
                <w:ilvl w:val="0"/>
                <w:numId w:val="0"/>
              </w:numPr>
              <w:spacing w:line="360" w:lineRule="auto"/>
              <w:ind w:firstLine="481"/>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收购并成立全资子公司的主要目的就是利用全资子公司土地，加大加快设备投入，扩大再生产，最大限度满足市场供应。</w:t>
            </w:r>
          </w:p>
          <w:p>
            <w:pPr>
              <w:numPr>
                <w:ilvl w:val="0"/>
                <w:numId w:val="1"/>
              </w:numPr>
              <w:spacing w:line="360" w:lineRule="auto"/>
              <w:ind w:left="0" w:leftChars="0" w:firstLine="482" w:firstLineChars="200"/>
              <w:jc w:val="both"/>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公司对明、后年的风电市场有何预测？面对抢装后可能的市场“退潮”公司如何应对？</w:t>
            </w:r>
          </w:p>
          <w:p>
            <w:pPr>
              <w:widowControl w:val="0"/>
              <w:numPr>
                <w:ilvl w:val="0"/>
                <w:numId w:val="0"/>
              </w:numPr>
              <w:spacing w:line="360" w:lineRule="auto"/>
              <w:ind w:firstLine="481"/>
              <w:jc w:val="both"/>
              <w:rPr>
                <w:rFonts w:hint="default" w:hAnsi="宋体"/>
                <w:sz w:val="24"/>
                <w:szCs w:val="24"/>
                <w:lang w:val="en-US" w:eastAsia="zh-CN"/>
              </w:rPr>
            </w:pPr>
            <w:r>
              <w:rPr>
                <w:rFonts w:hint="eastAsia" w:asciiTheme="minorEastAsia" w:hAnsiTheme="minorEastAsia" w:eastAsiaTheme="minorEastAsia" w:cstheme="minorEastAsia"/>
                <w:b w:val="0"/>
                <w:bCs w:val="0"/>
                <w:sz w:val="24"/>
                <w:szCs w:val="24"/>
                <w:lang w:val="en-US" w:eastAsia="zh-CN"/>
              </w:rPr>
              <w:t>答：市场瞬息万变，我们整个管理层时刻不忘公司立足市场的根本，新强联要做的就是做好当下，以精密锻件、精密轴承为主业，紧紧抓住当前的市场机遇期，加快硬件提升，加快人才和技术储备，加紧工艺优化，提高管理软实力，以过硬的基本功来迎接可能的机遇和挑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附件清单</w:t>
            </w:r>
            <w:r>
              <w:rPr>
                <w:rFonts w:hint="eastAsia" w:ascii="宋体" w:hAnsi="宋体" w:eastAsia="宋体" w:cs="宋体"/>
                <w:b/>
                <w:bCs/>
                <w:iCs/>
                <w:color w:val="000000"/>
                <w:sz w:val="24"/>
                <w:szCs w:val="24"/>
                <w:lang w:eastAsia="zh-CN"/>
              </w:rPr>
              <w:t>（</w:t>
            </w:r>
            <w:r>
              <w:rPr>
                <w:rFonts w:hint="eastAsia" w:ascii="宋体" w:hAnsi="宋体" w:eastAsia="宋体" w:cs="宋体"/>
                <w:b/>
                <w:bCs/>
                <w:iCs/>
                <w:color w:val="000000"/>
                <w:sz w:val="24"/>
                <w:szCs w:val="24"/>
              </w:rPr>
              <w:t>如有）</w:t>
            </w:r>
          </w:p>
        </w:tc>
        <w:tc>
          <w:tcPr>
            <w:tcW w:w="7055" w:type="dxa"/>
            <w:noWrap w:val="0"/>
            <w:vAlign w:val="center"/>
          </w:tcPr>
          <w:p>
            <w:pPr>
              <w:spacing w:line="360" w:lineRule="auto"/>
              <w:rPr>
                <w:rFonts w:hint="eastAsia"/>
                <w:bCs/>
                <w:iCs/>
                <w:color w:val="000000"/>
                <w:sz w:val="24"/>
                <w:szCs w:val="24"/>
              </w:rPr>
            </w:pPr>
            <w:r>
              <w:rPr>
                <w:rFonts w:hint="eastAsia" w:ascii="宋体" w:hAnsi="宋体" w:eastAsia="宋体" w:cs="宋体"/>
                <w:bCs/>
                <w:iCs/>
                <w:color w:val="000000"/>
                <w:sz w:val="24"/>
                <w:szCs w:val="24"/>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043" w:type="dxa"/>
            <w:noWrap w:val="0"/>
            <w:vAlign w:val="center"/>
          </w:tcPr>
          <w:p>
            <w:pPr>
              <w:spacing w:line="480" w:lineRule="atLeast"/>
              <w:jc w:val="center"/>
              <w:rPr>
                <w:rFonts w:hint="eastAsia" w:ascii="宋体" w:hAnsi="宋体" w:eastAsia="宋体" w:cs="宋体"/>
                <w:b/>
                <w:bCs/>
                <w:iCs/>
                <w:color w:val="000000"/>
                <w:sz w:val="24"/>
                <w:szCs w:val="24"/>
              </w:rPr>
            </w:pPr>
            <w:r>
              <w:rPr>
                <w:rFonts w:hint="eastAsia" w:ascii="宋体" w:hAnsi="宋体" w:eastAsia="宋体" w:cs="宋体"/>
                <w:b/>
                <w:bCs/>
                <w:iCs/>
                <w:color w:val="000000"/>
                <w:sz w:val="24"/>
                <w:szCs w:val="24"/>
              </w:rPr>
              <w:t>日期</w:t>
            </w:r>
          </w:p>
        </w:tc>
        <w:tc>
          <w:tcPr>
            <w:tcW w:w="7055" w:type="dxa"/>
            <w:noWrap w:val="0"/>
            <w:vAlign w:val="center"/>
          </w:tcPr>
          <w:p>
            <w:pPr>
              <w:spacing w:line="360" w:lineRule="auto"/>
              <w:rPr>
                <w:rFonts w:hint="default" w:eastAsia="等线"/>
                <w:bCs/>
                <w:iCs/>
                <w:color w:val="000000"/>
                <w:sz w:val="24"/>
                <w:szCs w:val="24"/>
                <w:lang w:val="en-US" w:eastAsia="zh-CN"/>
              </w:rPr>
            </w:pPr>
            <w:r>
              <w:rPr>
                <w:rFonts w:hint="eastAsia" w:ascii="宋体" w:hAnsi="宋体" w:eastAsia="宋体" w:cs="宋体"/>
                <w:bCs/>
                <w:iCs/>
                <w:color w:val="000000"/>
                <w:sz w:val="24"/>
                <w:szCs w:val="24"/>
                <w:lang w:val="en-US" w:eastAsia="zh-CN"/>
              </w:rPr>
              <w:t>2020年9月25日</w:t>
            </w:r>
            <w:bookmarkStart w:id="0" w:name="_GoBack"/>
            <w:bookmarkEnd w:id="0"/>
          </w:p>
        </w:tc>
      </w:tr>
    </w:tbl>
    <w:p/>
    <w:sectPr>
      <w:footerReference r:id="rId3" w:type="default"/>
      <w:pgSz w:w="11906" w:h="16838"/>
      <w:pgMar w:top="1417" w:right="1417" w:bottom="1417" w:left="1417" w:header="624" w:footer="85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06571"/>
    <w:multiLevelType w:val="singleLevel"/>
    <w:tmpl w:val="A9906571"/>
    <w:lvl w:ilvl="0" w:tentative="0">
      <w:start w:val="1"/>
      <w:numFmt w:val="decimal"/>
      <w:suff w:val="nothing"/>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877FF"/>
    <w:rsid w:val="005C1013"/>
    <w:rsid w:val="030C1BD5"/>
    <w:rsid w:val="03995B0F"/>
    <w:rsid w:val="046A234F"/>
    <w:rsid w:val="08576A15"/>
    <w:rsid w:val="09B01D2A"/>
    <w:rsid w:val="0C504248"/>
    <w:rsid w:val="0CEC27FC"/>
    <w:rsid w:val="0EA95458"/>
    <w:rsid w:val="104B68D5"/>
    <w:rsid w:val="12151A28"/>
    <w:rsid w:val="13B40C2E"/>
    <w:rsid w:val="14DF594F"/>
    <w:rsid w:val="15FA5E62"/>
    <w:rsid w:val="173B05E2"/>
    <w:rsid w:val="17BB2EB3"/>
    <w:rsid w:val="1807057D"/>
    <w:rsid w:val="18FF69D1"/>
    <w:rsid w:val="1B9C24FC"/>
    <w:rsid w:val="1F900522"/>
    <w:rsid w:val="206E04A2"/>
    <w:rsid w:val="265D2E83"/>
    <w:rsid w:val="267F0B6E"/>
    <w:rsid w:val="273A3E0A"/>
    <w:rsid w:val="29034E6B"/>
    <w:rsid w:val="2A3462FF"/>
    <w:rsid w:val="2A8A7E28"/>
    <w:rsid w:val="2C0D2492"/>
    <w:rsid w:val="2DF060EF"/>
    <w:rsid w:val="2E282500"/>
    <w:rsid w:val="2F347C89"/>
    <w:rsid w:val="33920D33"/>
    <w:rsid w:val="342E1295"/>
    <w:rsid w:val="343542F3"/>
    <w:rsid w:val="34FD6D0C"/>
    <w:rsid w:val="35283677"/>
    <w:rsid w:val="386A30FF"/>
    <w:rsid w:val="3B046176"/>
    <w:rsid w:val="3B42633C"/>
    <w:rsid w:val="3D1A3C78"/>
    <w:rsid w:val="3E951577"/>
    <w:rsid w:val="539723DB"/>
    <w:rsid w:val="53EC3ACE"/>
    <w:rsid w:val="542E3ED5"/>
    <w:rsid w:val="54ED091D"/>
    <w:rsid w:val="55A81E96"/>
    <w:rsid w:val="56094421"/>
    <w:rsid w:val="56185ED0"/>
    <w:rsid w:val="57B20AED"/>
    <w:rsid w:val="59012242"/>
    <w:rsid w:val="59AA2897"/>
    <w:rsid w:val="5AA92CB4"/>
    <w:rsid w:val="5F3F6A73"/>
    <w:rsid w:val="5F8608C6"/>
    <w:rsid w:val="600E5D05"/>
    <w:rsid w:val="60A3520A"/>
    <w:rsid w:val="6158343E"/>
    <w:rsid w:val="653C5501"/>
    <w:rsid w:val="664729FB"/>
    <w:rsid w:val="665F5605"/>
    <w:rsid w:val="682C7DEC"/>
    <w:rsid w:val="69EA29E4"/>
    <w:rsid w:val="6B407394"/>
    <w:rsid w:val="6D1D7A85"/>
    <w:rsid w:val="6D8C0652"/>
    <w:rsid w:val="72400120"/>
    <w:rsid w:val="74E91CB8"/>
    <w:rsid w:val="7F444D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6">
    <w:name w:val="Body Text First Indent"/>
    <w:basedOn w:val="2"/>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2016-12-21T06:05:00Z</dcterms:created>
  <dc:creator>Administrator</dc:creator>
  <cp:lastModifiedBy>Dell</cp:lastModifiedBy>
  <cp:lastPrinted>2020-09-24T08:09:00Z</cp:lastPrinted>
  <dcterms:modified xsi:type="dcterms:W3CDTF">2020-09-25T10:18:54Z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