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0E05E7" w:rsidRDefault="00EE1C10" w:rsidP="00E055AC">
      <w:pPr>
        <w:spacing w:beforeLines="50" w:before="156" w:afterLines="50" w:after="156"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0E05E7">
        <w:rPr>
          <w:rFonts w:ascii="楷体_GB2312" w:eastAsia="楷体_GB2312" w:hAnsi="Arial" w:hint="eastAsia"/>
          <w:bCs/>
          <w:iCs/>
          <w:color w:val="000000"/>
          <w:szCs w:val="21"/>
        </w:rPr>
        <w:t>证券代码：000001                                  证券简称：</w:t>
      </w:r>
      <w:r w:rsidR="00D96584" w:rsidRPr="000E05E7">
        <w:rPr>
          <w:rFonts w:ascii="楷体_GB2312" w:eastAsia="楷体_GB2312" w:hAnsi="Arial" w:hint="eastAsia"/>
          <w:bCs/>
          <w:iCs/>
          <w:color w:val="000000"/>
          <w:szCs w:val="21"/>
        </w:rPr>
        <w:t>平安银行</w:t>
      </w:r>
    </w:p>
    <w:p w:rsidR="00EE1C10" w:rsidRPr="000E05E7" w:rsidRDefault="003317E5" w:rsidP="00E055AC">
      <w:pPr>
        <w:spacing w:beforeLines="50" w:before="156" w:afterLines="50" w:after="156" w:line="400" w:lineRule="exact"/>
        <w:jc w:val="center"/>
        <w:rPr>
          <w:rFonts w:ascii="楷体_GB2312" w:eastAsia="楷体_GB2312" w:hAnsi="Arial"/>
          <w:b/>
          <w:bCs/>
          <w:iCs/>
          <w:color w:val="000000"/>
          <w:szCs w:val="21"/>
        </w:rPr>
      </w:pPr>
      <w:r w:rsidRPr="000E05E7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0E05E7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0E05E7" w:rsidRDefault="00EE1C10" w:rsidP="00EE1C10">
      <w:pPr>
        <w:spacing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0E05E7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                                                         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0E05E7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06657F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0E05E7">
              <w:rPr>
                <w:rFonts w:ascii="楷体_GB2312" w:eastAsia="楷体_GB2312" w:hAnsi="Arial" w:hint="eastAsia"/>
                <w:sz w:val="21"/>
                <w:szCs w:val="21"/>
              </w:rPr>
              <w:t xml:space="preserve">特定对象调研        </w:t>
            </w:r>
            <w:r w:rsidR="00EE1C10"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0E05E7">
              <w:rPr>
                <w:rFonts w:ascii="楷体_GB2312" w:eastAsia="楷体_GB2312" w:hAnsi="Arial" w:hint="eastAsia"/>
                <w:sz w:val="21"/>
                <w:szCs w:val="21"/>
              </w:rPr>
              <w:t>分析师会议</w:t>
            </w:r>
          </w:p>
          <w:p w:rsidR="00EE1C10" w:rsidRPr="000E05E7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0E05E7">
              <w:rPr>
                <w:rFonts w:ascii="楷体_GB2312" w:eastAsia="楷体_GB2312" w:hAnsi="Arial" w:hint="eastAsia"/>
                <w:sz w:val="21"/>
                <w:szCs w:val="21"/>
              </w:rPr>
              <w:t xml:space="preserve">媒体采访            </w:t>
            </w:r>
            <w:r w:rsidR="0006657F"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Pr="000E05E7">
              <w:rPr>
                <w:rFonts w:ascii="楷体_GB2312" w:eastAsia="楷体_GB2312" w:hAnsi="Arial" w:hint="eastAsia"/>
                <w:sz w:val="21"/>
                <w:szCs w:val="21"/>
              </w:rPr>
              <w:t>业绩说明会</w:t>
            </w:r>
          </w:p>
          <w:p w:rsidR="00EE1C10" w:rsidRPr="000E05E7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0E05E7">
              <w:rPr>
                <w:rFonts w:ascii="楷体_GB2312" w:eastAsia="楷体_GB2312" w:hAnsi="Arial" w:hint="eastAsia"/>
                <w:sz w:val="21"/>
                <w:szCs w:val="21"/>
              </w:rPr>
              <w:t xml:space="preserve">新闻发布会          </w:t>
            </w:r>
            <w:r w:rsidR="00DB35CA"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0E05E7">
              <w:rPr>
                <w:rFonts w:ascii="楷体_GB2312" w:eastAsia="楷体_GB2312" w:hAnsi="Arial" w:hint="eastAsia"/>
                <w:sz w:val="21"/>
                <w:szCs w:val="21"/>
              </w:rPr>
              <w:t>路演活动</w:t>
            </w:r>
          </w:p>
          <w:p w:rsidR="00EE1C10" w:rsidRPr="000E05E7" w:rsidRDefault="00EE1C10" w:rsidP="005B3BAE">
            <w:pPr>
              <w:tabs>
                <w:tab w:val="left" w:pos="3045"/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0E05E7">
              <w:rPr>
                <w:rFonts w:ascii="楷体_GB2312" w:eastAsia="楷体_GB2312" w:hAnsi="Arial" w:hint="eastAsia"/>
                <w:sz w:val="21"/>
                <w:szCs w:val="21"/>
              </w:rPr>
              <w:t>现场参观</w:t>
            </w:r>
          </w:p>
          <w:p w:rsidR="00EE1C10" w:rsidRPr="000E05E7" w:rsidRDefault="00F0207E" w:rsidP="005B3BAE">
            <w:pPr>
              <w:tabs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0E05E7">
              <w:rPr>
                <w:rFonts w:ascii="楷体_GB2312" w:eastAsia="楷体_GB2312" w:hAnsi="Arial" w:hint="eastAsia"/>
                <w:sz w:val="21"/>
                <w:szCs w:val="21"/>
              </w:rPr>
              <w:t>其他</w:t>
            </w:r>
            <w:r w:rsidR="002515C0" w:rsidRPr="000E05E7">
              <w:rPr>
                <w:rFonts w:ascii="楷体_GB2312" w:eastAsia="楷体_GB2312" w:hAnsi="Arial" w:hint="eastAsia"/>
                <w:sz w:val="21"/>
                <w:szCs w:val="21"/>
              </w:rPr>
              <w:t xml:space="preserve"> （投行会议）</w:t>
            </w:r>
          </w:p>
        </w:tc>
      </w:tr>
      <w:tr w:rsidR="00EE1C10" w:rsidRPr="000E05E7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06657F" w:rsidP="00F03DE2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2020年</w:t>
            </w:r>
            <w:r w:rsidR="00323C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中报</w:t>
            </w: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业绩</w:t>
            </w:r>
            <w:r w:rsidR="00F03D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发布</w:t>
            </w: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会</w:t>
            </w:r>
          </w:p>
        </w:tc>
      </w:tr>
      <w:tr w:rsidR="00EE1C10" w:rsidRPr="000E05E7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43629D" w:rsidP="00323CE2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F0207E"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323C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080A64"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0E05E7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F0207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0E05E7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323CE2" w:rsidP="00756425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323C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谢</w:t>
            </w:r>
            <w:r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永林</w:t>
            </w:r>
            <w:r w:rsidRPr="00323C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、胡</w:t>
            </w:r>
            <w:r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跃飞</w:t>
            </w:r>
            <w:r w:rsidRPr="00323C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、张</w:t>
            </w:r>
            <w:r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小璐</w:t>
            </w:r>
            <w:r w:rsidRPr="00323C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、蔡</w:t>
            </w:r>
            <w:r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新发</w:t>
            </w:r>
            <w:r w:rsidRPr="00323C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、郭</w:t>
            </w:r>
            <w:r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世邦</w:t>
            </w:r>
            <w:r w:rsidRPr="00323C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、项</w:t>
            </w:r>
            <w:r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有志</w:t>
            </w:r>
            <w:r w:rsidRPr="00323C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、周</w:t>
            </w:r>
            <w:r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强</w:t>
            </w:r>
            <w:r w:rsidRPr="00323CE2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、王</w:t>
            </w:r>
            <w:r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伟</w:t>
            </w:r>
          </w:p>
        </w:tc>
      </w:tr>
      <w:tr w:rsidR="00EE1C10" w:rsidRPr="000E05E7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0E05E7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0E05E7" w:rsidRDefault="00EE1C10" w:rsidP="00C03E1A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A62259" w:rsidRPr="003E321C" w:rsidRDefault="00A62259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A62259" w:rsidRPr="003E321C" w:rsidRDefault="00A62259" w:rsidP="00A62259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平安银行零售战略转型已有三年，接下来如何调整？</w:t>
            </w:r>
          </w:p>
          <w:p w:rsidR="00A62259" w:rsidRPr="003E321C" w:rsidRDefault="00A62259" w:rsidP="00A62259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Cs w:val="21"/>
              </w:rPr>
              <w:t>2020年是</w:t>
            </w:r>
            <w:r w:rsidR="008B1616" w:rsidRPr="003E321C">
              <w:rPr>
                <w:rFonts w:ascii="楷体_GB2312" w:eastAsia="楷体_GB2312" w:hAnsi="华文细黑" w:hint="eastAsia"/>
                <w:szCs w:val="21"/>
              </w:rPr>
              <w:t>我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行新三年战略的起步之年，</w:t>
            </w:r>
            <w:r w:rsidR="006B5BC0">
              <w:rPr>
                <w:rFonts w:ascii="楷体_GB2312" w:eastAsia="楷体_GB2312" w:hAnsi="华文细黑" w:hint="eastAsia"/>
                <w:szCs w:val="21"/>
              </w:rPr>
              <w:t>我行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始终以打造“中国最卓越、全球领先的智能化零售银行”为战略目标，继续坚持“科技引领、零售突破、对公做精”十二字策略方针不动摇，并在此基础上，全面升级了新三年战略，推动发展迈向新台阶。</w:t>
            </w:r>
          </w:p>
          <w:p w:rsidR="00A62259" w:rsidRPr="003E321C" w:rsidRDefault="00A62259" w:rsidP="00A62259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Cs w:val="21"/>
              </w:rPr>
              <w:t>始终坚持“三不变”，即坚持零售转型方向不变，坚持“综合金融、科技赋能”两大核心优势不变，坚持均衡、协同发展思路不变；着力打造“数字银行、生态银行、平台银行”三张名片：全面构建零售业务、对公业务、资金同业业务“3+2+1”经营策略。</w:t>
            </w:r>
          </w:p>
          <w:p w:rsidR="00E32B71" w:rsidRDefault="00E32B71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3E321C" w:rsidRPr="003E321C" w:rsidRDefault="003E321C" w:rsidP="003E321C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平安银行营收、利润情况？</w:t>
            </w:r>
          </w:p>
          <w:p w:rsidR="003E321C" w:rsidRPr="003E321C" w:rsidRDefault="003E321C" w:rsidP="003E321C">
            <w:pPr>
              <w:adjustRightInd w:val="0"/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Cs w:val="21"/>
              </w:rPr>
              <w:t>上半年，我行实现营业收入</w:t>
            </w:r>
            <w:r w:rsidRPr="003E321C">
              <w:rPr>
                <w:rFonts w:ascii="楷体_GB2312" w:eastAsia="楷体_GB2312" w:hAnsi="华文细黑"/>
                <w:szCs w:val="21"/>
              </w:rPr>
              <w:t>783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亿元，同比增长</w:t>
            </w:r>
            <w:r w:rsidRPr="003E321C">
              <w:rPr>
                <w:rFonts w:ascii="楷体_GB2312" w:eastAsia="楷体_GB2312" w:hAnsi="华文细黑"/>
                <w:szCs w:val="21"/>
              </w:rPr>
              <w:t>15.5%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；实现减值损失前营业利润</w:t>
            </w:r>
            <w:r w:rsidRPr="003E321C">
              <w:rPr>
                <w:rFonts w:ascii="楷体_GB2312" w:eastAsia="楷体_GB2312" w:hAnsi="华文细黑"/>
                <w:szCs w:val="21"/>
              </w:rPr>
              <w:t>56</w:t>
            </w:r>
            <w:r w:rsidR="006B5BC0">
              <w:rPr>
                <w:rFonts w:ascii="楷体_GB2312" w:eastAsia="楷体_GB2312" w:hAnsi="华文细黑" w:hint="eastAsia"/>
                <w:szCs w:val="21"/>
              </w:rPr>
              <w:t>2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亿元，同比增长</w:t>
            </w:r>
            <w:r w:rsidRPr="003E321C">
              <w:rPr>
                <w:rFonts w:ascii="楷体_GB2312" w:eastAsia="楷体_GB2312" w:hAnsi="华文细黑"/>
                <w:szCs w:val="21"/>
              </w:rPr>
              <w:t>18.9%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；同时，受疫情带来的不确定性影响，</w:t>
            </w:r>
            <w:r w:rsidR="006B5BC0">
              <w:rPr>
                <w:rFonts w:ascii="楷体_GB2312" w:eastAsia="楷体_GB2312" w:hAnsi="华文细黑" w:hint="eastAsia"/>
                <w:szCs w:val="21"/>
              </w:rPr>
              <w:t>我行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根据经济走势及国内外环境预判，主动加大了拨备计提力度，以提升风险抵补能力，在加大核销的同时，提升拨备覆盖率，从而导致净利润下降，实现净利润</w:t>
            </w:r>
            <w:r w:rsidRPr="003E321C">
              <w:rPr>
                <w:rFonts w:ascii="楷体_GB2312" w:eastAsia="楷体_GB2312" w:hAnsi="华文细黑"/>
                <w:szCs w:val="21"/>
              </w:rPr>
              <w:t>13</w:t>
            </w:r>
            <w:r w:rsidR="006B5BC0">
              <w:rPr>
                <w:rFonts w:ascii="楷体_GB2312" w:eastAsia="楷体_GB2312" w:hAnsi="华文细黑" w:hint="eastAsia"/>
                <w:szCs w:val="21"/>
              </w:rPr>
              <w:t>7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亿元，同比减少</w:t>
            </w:r>
            <w:r w:rsidRPr="003E321C">
              <w:rPr>
                <w:rFonts w:ascii="楷体_GB2312" w:eastAsia="楷体_GB2312" w:hAnsi="华文细黑"/>
                <w:szCs w:val="21"/>
              </w:rPr>
              <w:t>11.2%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。</w:t>
            </w:r>
          </w:p>
          <w:p w:rsidR="003E321C" w:rsidRDefault="003E321C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1C74B6" w:rsidRPr="001C74B6" w:rsidRDefault="001C74B6" w:rsidP="001C74B6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1C74B6">
              <w:rPr>
                <w:rFonts w:ascii="楷体_GB2312" w:eastAsia="楷体_GB2312" w:hAnsi="华文细黑" w:hint="eastAsia"/>
                <w:sz w:val="21"/>
              </w:rPr>
              <w:t>净利润下降的原因？</w:t>
            </w:r>
          </w:p>
          <w:p w:rsidR="001C74B6" w:rsidRPr="00CF3498" w:rsidRDefault="001C74B6" w:rsidP="001C74B6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受疫情带来的不确定性影响，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行根据经济走势及国内外环境预判，主动加大了拨备计提力度，以提升风险抵补能力，在加大核销的同时，提升拨备覆盖率，从而导致净利润下降，实现净利润13</w:t>
            </w:r>
            <w:r w:rsidR="006B5BC0">
              <w:rPr>
                <w:rFonts w:ascii="楷体_GB2312" w:eastAsia="楷体_GB2312" w:hAnsi="华文细黑" w:hint="eastAsia"/>
                <w:sz w:val="21"/>
                <w:szCs w:val="21"/>
              </w:rPr>
              <w:t>7</w:t>
            </w:r>
            <w:r w:rsidRPr="00CF3498">
              <w:rPr>
                <w:rFonts w:ascii="楷体_GB2312" w:eastAsia="楷体_GB2312" w:hAnsi="华文细黑" w:hint="eastAsia"/>
                <w:sz w:val="21"/>
                <w:szCs w:val="21"/>
              </w:rPr>
              <w:t>亿元，同比减少11.2%。</w:t>
            </w:r>
          </w:p>
          <w:p w:rsidR="001C74B6" w:rsidRPr="001C74B6" w:rsidRDefault="001C74B6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F606BC" w:rsidRPr="003E321C" w:rsidRDefault="00F606BC" w:rsidP="00A62259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如何持续优化负债成本？</w:t>
            </w:r>
          </w:p>
          <w:p w:rsidR="00F606BC" w:rsidRPr="003E321C" w:rsidRDefault="00F606BC" w:rsidP="00E32B71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Cs w:val="21"/>
              </w:rPr>
              <w:t>我行在持续加大对实体经济的信贷投放力度、降低实体经济融资成本的同时，主动优化资产负债结构，引导负债成本下降，净息差水平保持相对稳定。上半年，</w:t>
            </w:r>
            <w:r w:rsidR="006B5BC0">
              <w:rPr>
                <w:rFonts w:ascii="楷体_GB2312" w:eastAsia="楷体_GB2312" w:hAnsi="华文细黑" w:hint="eastAsia"/>
                <w:szCs w:val="21"/>
              </w:rPr>
              <w:t>我行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净息差2.59%，较去年同期下降3个基点；负债平均成本率2.42%，较去年同期下降27个基点，其中，吸收存款平均成本率2.35%，较去年同期下降14个基点。</w:t>
            </w:r>
          </w:p>
          <w:p w:rsidR="00F606BC" w:rsidRPr="003E321C" w:rsidRDefault="00F606BC" w:rsidP="00F606BC">
            <w:pPr>
              <w:rPr>
                <w:lang w:bidi="he-IL"/>
              </w:rPr>
            </w:pPr>
          </w:p>
          <w:p w:rsidR="00A62259" w:rsidRPr="003E321C" w:rsidRDefault="00A62259" w:rsidP="00A62259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lastRenderedPageBreak/>
              <w:t>非息收入增长情况？</w:t>
            </w:r>
          </w:p>
          <w:p w:rsidR="00A62259" w:rsidRPr="003E321C" w:rsidRDefault="00A62259" w:rsidP="00A62259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Cs w:val="21"/>
              </w:rPr>
              <w:t>上半年，</w:t>
            </w:r>
            <w:r w:rsidR="006B5BC0">
              <w:rPr>
                <w:rFonts w:ascii="楷体_GB2312" w:eastAsia="楷体_GB2312" w:hAnsi="华文细黑" w:hint="eastAsia"/>
                <w:szCs w:val="21"/>
              </w:rPr>
              <w:t>我行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实现非利息净收入</w:t>
            </w:r>
            <w:r w:rsidR="006B5BC0">
              <w:rPr>
                <w:rFonts w:ascii="楷体_GB2312" w:eastAsia="楷体_GB2312" w:hAnsi="华文细黑" w:hint="eastAsia"/>
                <w:szCs w:val="21"/>
              </w:rPr>
              <w:t>280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亿元，同比增长15.8%，主要得益于个人代理基金及信托计划手续费收入、债券投资收益等非利息净收入增长；非利息净收入占比35.78%，同比提升0.12个百分点。</w:t>
            </w:r>
          </w:p>
          <w:p w:rsidR="00A62259" w:rsidRPr="003E321C" w:rsidRDefault="00A62259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A62259" w:rsidRPr="003E321C" w:rsidRDefault="00A62259" w:rsidP="00A62259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成本收入比有一定程度的下降，主要原因？</w:t>
            </w:r>
          </w:p>
          <w:p w:rsidR="00A62259" w:rsidRPr="003E321C" w:rsidRDefault="00F729BD" w:rsidP="00F729BD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Cs w:val="21"/>
              </w:rPr>
              <w:t>上半年</w:t>
            </w:r>
            <w:r w:rsidR="00A62259" w:rsidRPr="003E321C">
              <w:rPr>
                <w:rFonts w:ascii="楷体_GB2312" w:eastAsia="楷体_GB2312" w:hAnsi="华文细黑" w:hint="eastAsia"/>
                <w:szCs w:val="21"/>
              </w:rPr>
              <w:t>，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进一步强化投产管控，借助科技赋能，加快推进科技成果运用，提升资源使用效益，持续优化投入产出效率，成本收入比</w:t>
            </w:r>
            <w:r w:rsidRPr="003E321C">
              <w:rPr>
                <w:rFonts w:ascii="楷体_GB2312" w:eastAsia="楷体_GB2312" w:hAnsi="华文细黑"/>
                <w:szCs w:val="21"/>
              </w:rPr>
              <w:t>27.30%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，同比下降</w:t>
            </w:r>
            <w:r w:rsidRPr="003E321C">
              <w:rPr>
                <w:rFonts w:ascii="楷体_GB2312" w:eastAsia="楷体_GB2312" w:hAnsi="华文细黑"/>
                <w:szCs w:val="21"/>
              </w:rPr>
              <w:t>2.16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个百分点。</w:t>
            </w:r>
          </w:p>
          <w:p w:rsidR="00E32B71" w:rsidRPr="003E321C" w:rsidRDefault="00E32B71" w:rsidP="00F729BD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</w:p>
          <w:p w:rsidR="00E32B71" w:rsidRPr="003E321C" w:rsidRDefault="00E32B71" w:rsidP="00E32B71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拨备覆盖率情况？</w:t>
            </w:r>
          </w:p>
          <w:p w:rsidR="00E32B71" w:rsidRPr="003E321C" w:rsidRDefault="00E32B71" w:rsidP="00E32B71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Cs w:val="21"/>
              </w:rPr>
              <w:t>上半年，我行全力支持疫情防控工作和金融市场稳定，提供差异化应急金融服务，持续提升拨备覆盖率等关键指标：拨备覆盖率、逾期60天以上贷款拨备覆盖率及逾期90天以上贷款拨备覆盖率分别为214.93%、228.44%和267.01%，较上年末分别上升31.81个百分点、38.10个百分点和44.12个百分点，风险抵补能力持续增强。</w:t>
            </w:r>
          </w:p>
          <w:p w:rsidR="00A62259" w:rsidRPr="003E321C" w:rsidRDefault="00A62259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C47D53" w:rsidRPr="003E321C" w:rsidRDefault="00C47D53" w:rsidP="00C47D53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疫情影响下资产质量情况？</w:t>
            </w:r>
          </w:p>
          <w:p w:rsidR="00C47D53" w:rsidRPr="003E321C" w:rsidRDefault="00C47D53" w:rsidP="00C47D53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Cs w:val="21"/>
              </w:rPr>
              <w:t>我行积极应对外部风险，调整优化业务结构：对公方面，强化风险预警能力，充分运用大数据、</w:t>
            </w:r>
            <w:r w:rsidRPr="003E321C">
              <w:rPr>
                <w:rFonts w:ascii="楷体_GB2312" w:eastAsia="楷体_GB2312" w:hAnsi="华文细黑"/>
                <w:szCs w:val="21"/>
              </w:rPr>
              <w:t>AI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等领先科技，优化智慧风控平台，持续推进风险前置，全面提升风险管理的效率和水平；零售方面，从“以产品为中心”向“以客户为中心”转变，全流程、全产品搭建智能风险管理体系，为业务持续高质量成长保驾护航。</w:t>
            </w:r>
          </w:p>
          <w:p w:rsidR="00C47D53" w:rsidRPr="003E321C" w:rsidRDefault="00C47D53" w:rsidP="00C47D53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Cs w:val="21"/>
              </w:rPr>
              <w:t>6月末，</w:t>
            </w:r>
            <w:r w:rsidR="006B5BC0">
              <w:rPr>
                <w:rFonts w:ascii="楷体_GB2312" w:eastAsia="楷体_GB2312" w:hAnsi="华文细黑" w:hint="eastAsia"/>
                <w:szCs w:val="21"/>
              </w:rPr>
              <w:t>我行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不良贷款率为1.65%，与上年末持平；关注贷款、逾期60天以上贷款及逾期90天以上贷款的占比分别为1.86%、1.55%和1.33%，较上年末均呈下降趋势；逾期60天及逾期90天以上贷款偏离度均低于1。</w:t>
            </w:r>
          </w:p>
          <w:p w:rsidR="00E32B71" w:rsidRPr="003E321C" w:rsidRDefault="00E32B71" w:rsidP="00E32B71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E32B71" w:rsidRPr="003E321C" w:rsidRDefault="00E32B71" w:rsidP="00E32B71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</w:rPr>
            </w:pPr>
            <w:r w:rsidRPr="003E321C">
              <w:rPr>
                <w:rFonts w:ascii="楷体_GB2312" w:eastAsia="楷体_GB2312" w:hAnsi="华文细黑" w:hint="eastAsia"/>
              </w:rPr>
              <w:t>重新发展对公，和过去及同业比，有什么差异和优势？</w:t>
            </w:r>
          </w:p>
          <w:p w:rsidR="00E32B71" w:rsidRPr="003E321C" w:rsidRDefault="00E32B71" w:rsidP="00E32B7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我行对公采取“商行+投行+投资”的战略，并通过打好五张牌来筑牢业务经营：即供应链金融、票据业务、客户经营平台管理、复杂投融、生态化综拓。同时，充分利用综合金融的优势，去更好地服务重点客户。</w:t>
            </w:r>
          </w:p>
          <w:p w:rsidR="00E32B71" w:rsidRPr="003E321C" w:rsidRDefault="00E32B71" w:rsidP="00E32B71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E32B71" w:rsidRPr="003E321C" w:rsidRDefault="00E32B71" w:rsidP="00E32B71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bCs w:val="0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对公贷款投放情况如何</w:t>
            </w:r>
            <w:r w:rsidRPr="003E321C">
              <w:rPr>
                <w:rFonts w:ascii="楷体_GB2312" w:eastAsia="楷体_GB2312" w:hAnsi="华文细黑" w:hint="eastAsia"/>
                <w:bCs w:val="0"/>
                <w:sz w:val="21"/>
              </w:rPr>
              <w:t>？</w:t>
            </w:r>
          </w:p>
          <w:p w:rsidR="00E32B71" w:rsidRPr="003E321C" w:rsidRDefault="00E32B71" w:rsidP="00E32B71">
            <w:pPr>
              <w:widowControl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我行全力支持实体经济发展，持续加大对重点行业、战略客户的资产投放。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6月末</w:t>
            </w: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，</w:t>
            </w:r>
            <w:r w:rsidR="006B5BC0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企业贷款余额</w:t>
            </w:r>
            <w:r w:rsidRPr="003E321C">
              <w:rPr>
                <w:rFonts w:ascii="楷体_GB2312" w:eastAsia="楷体_GB2312" w:hAnsi="华文细黑"/>
                <w:sz w:val="21"/>
                <w:szCs w:val="21"/>
              </w:rPr>
              <w:t>1,090,653</w:t>
            </w: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亿元，较上年末增长12.9%，其中，交通基建、房地产、医疗健康、电子制造、新能源等重点行业的客户授信余额占比为46.9%。</w:t>
            </w:r>
            <w:r w:rsidR="006B5BC0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重点行业客户授信余额占比为46.9%。战略客群贷款余额较上年末增长22.2%，在企业贷款余额中的占比较上年末上升3.6个百分点。</w:t>
            </w:r>
          </w:p>
          <w:p w:rsidR="00E32B71" w:rsidRPr="003E321C" w:rsidRDefault="00E32B71" w:rsidP="00E32B71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E32B71" w:rsidRPr="003E321C" w:rsidRDefault="00E32B71" w:rsidP="00E32B71">
            <w:pPr>
              <w:pStyle w:val="3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对公综合金融目前取得了哪些进展？</w:t>
            </w:r>
          </w:p>
          <w:p w:rsidR="00E32B71" w:rsidRPr="003E321C" w:rsidRDefault="00E32B71" w:rsidP="00E32B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我行作为集团综合金融的发动机，目标是打造生态化综拓，挖掘银行对公渠道价值，成为集团内外部资源的生态连接器。</w:t>
            </w:r>
          </w:p>
          <w:p w:rsidR="00E32B71" w:rsidRPr="003E321C" w:rsidRDefault="00E32B71" w:rsidP="00E32B7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上半年，银行推保险规模18.96亿元，同比增长271.0%；银行与集团内专业公司合作落地的新增投融资项目规模2,350亿元，同比增长153.8%；通过深化综合金融业务合作带来的团体客户存款日均余额1,268亿元，较上年全年日均余额增长112.5%，其中活期存</w:t>
            </w: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lastRenderedPageBreak/>
              <w:t>款日均余额占比60.9%。</w:t>
            </w:r>
          </w:p>
          <w:p w:rsidR="00A62259" w:rsidRDefault="00A62259" w:rsidP="00E32B71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3E321C" w:rsidRPr="003E321C" w:rsidRDefault="003E321C" w:rsidP="003E321C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bCs w:val="0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bCs w:val="0"/>
                <w:sz w:val="21"/>
              </w:rPr>
              <w:t>小微企业贷款情况？</w:t>
            </w:r>
          </w:p>
          <w:p w:rsidR="003E321C" w:rsidRPr="003E321C" w:rsidRDefault="003E321C" w:rsidP="003E321C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我行通过数字口袋和小企业数字金融，提升民营企业及小微企业客群整体经营能力，持续加大对民营企业及中小微企业客群的支持力度。6月末，普惠型小微企业贷款余额户数达68.25万户，贷款余额2,371.11亿元，较上年末增长7.73%。</w:t>
            </w:r>
          </w:p>
          <w:p w:rsidR="003E321C" w:rsidRDefault="003E321C" w:rsidP="00E32B71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3E321C" w:rsidRPr="003E321C" w:rsidRDefault="003E321C" w:rsidP="003E321C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bCs w:val="0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bCs w:val="0"/>
                <w:sz w:val="21"/>
              </w:rPr>
              <w:t>疫情下，零售整体及</w:t>
            </w:r>
            <w:r w:rsidRPr="003E321C">
              <w:rPr>
                <w:rFonts w:ascii="楷体_GB2312" w:eastAsia="楷体_GB2312" w:hAnsi="华文细黑" w:hint="eastAsia"/>
                <w:sz w:val="21"/>
              </w:rPr>
              <w:t>信用卡和</w:t>
            </w:r>
            <w:r w:rsidRPr="003E321C">
              <w:rPr>
                <w:rFonts w:ascii="楷体_GB2312" w:eastAsia="楷体_GB2312" w:hAnsi="华文细黑" w:hint="eastAsia"/>
                <w:bCs w:val="0"/>
                <w:sz w:val="21"/>
              </w:rPr>
              <w:t>新一贷等产品资产质量情况？</w:t>
            </w:r>
          </w:p>
          <w:p w:rsidR="003E321C" w:rsidRPr="003E321C" w:rsidRDefault="003E321C" w:rsidP="003E321C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Cs w:val="21"/>
              </w:rPr>
              <w:t>自疫情发生以来，我行始终坚持以客户为先，优先支持疫情防控，维护金融市场稳定，灵活调整个人信贷还款安排。同时，积极开辟金融服务绿色通道，对于特殊无法正常还款的客户，根据具体情况酌情延期还款、减免利息费用、提供征信保护，全面降低疫情对于客户影响。</w:t>
            </w:r>
          </w:p>
          <w:p w:rsidR="003E321C" w:rsidRPr="003E321C" w:rsidRDefault="003E321C" w:rsidP="003E321C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3E321C">
              <w:rPr>
                <w:rFonts w:ascii="楷体_GB2312" w:eastAsia="楷体_GB2312" w:hAnsi="华文细黑"/>
                <w:szCs w:val="21"/>
              </w:rPr>
              <w:t>6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月末，</w:t>
            </w:r>
            <w:r w:rsidR="006B5BC0">
              <w:rPr>
                <w:rFonts w:ascii="楷体_GB2312" w:eastAsia="楷体_GB2312" w:hAnsi="华文细黑" w:hint="eastAsia"/>
                <w:szCs w:val="21"/>
              </w:rPr>
              <w:t>我行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个人贷款不良率</w:t>
            </w:r>
            <w:r w:rsidRPr="003E321C">
              <w:rPr>
                <w:rFonts w:ascii="楷体_GB2312" w:eastAsia="楷体_GB2312" w:hAnsi="华文细黑"/>
                <w:szCs w:val="21"/>
              </w:rPr>
              <w:t>1.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56</w:t>
            </w:r>
            <w:r w:rsidRPr="003E321C">
              <w:rPr>
                <w:rFonts w:ascii="楷体_GB2312" w:eastAsia="楷体_GB2312" w:hAnsi="华文细黑"/>
                <w:szCs w:val="21"/>
              </w:rPr>
              <w:t>%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，较上年末上升</w:t>
            </w:r>
            <w:r w:rsidRPr="003E321C">
              <w:rPr>
                <w:rFonts w:ascii="楷体_GB2312" w:eastAsia="楷体_GB2312" w:hAnsi="华文细黑"/>
                <w:szCs w:val="21"/>
              </w:rPr>
              <w:t>0.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37个百分点。其中，信用卡应收账款不良率</w:t>
            </w:r>
            <w:r w:rsidRPr="003E321C">
              <w:rPr>
                <w:rFonts w:ascii="楷体_GB2312" w:eastAsia="楷体_GB2312" w:hAnsi="华文细黑"/>
                <w:szCs w:val="21"/>
              </w:rPr>
              <w:t>2.35%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；“新一贷”贷款不良率1</w:t>
            </w:r>
            <w:r w:rsidRPr="003E321C">
              <w:rPr>
                <w:rFonts w:ascii="楷体_GB2312" w:eastAsia="楷体_GB2312" w:hAnsi="华文细黑"/>
                <w:szCs w:val="21"/>
              </w:rPr>
              <w:t>.8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4</w:t>
            </w:r>
            <w:r w:rsidRPr="003E321C">
              <w:rPr>
                <w:rFonts w:ascii="楷体_GB2312" w:eastAsia="楷体_GB2312" w:hAnsi="华文细黑"/>
                <w:szCs w:val="21"/>
              </w:rPr>
              <w:t>%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；汽车金融贷款不良率为</w:t>
            </w:r>
            <w:r w:rsidRPr="003E321C">
              <w:rPr>
                <w:rFonts w:ascii="楷体_GB2312" w:eastAsia="楷体_GB2312" w:hAnsi="华文细黑"/>
                <w:szCs w:val="21"/>
              </w:rPr>
              <w:t>1.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40</w:t>
            </w:r>
            <w:r w:rsidRPr="003E321C">
              <w:rPr>
                <w:rFonts w:ascii="楷体_GB2312" w:eastAsia="楷体_GB2312" w:hAnsi="华文细黑"/>
                <w:szCs w:val="21"/>
              </w:rPr>
              <w:t>%</w:t>
            </w:r>
            <w:r w:rsidRPr="003E321C">
              <w:rPr>
                <w:rFonts w:ascii="楷体_GB2312" w:eastAsia="楷体_GB2312" w:hAnsi="华文细黑" w:hint="eastAsia"/>
                <w:szCs w:val="21"/>
              </w:rPr>
              <w:t>，较年初均有上升。</w:t>
            </w:r>
          </w:p>
          <w:p w:rsidR="003E321C" w:rsidRPr="003E321C" w:rsidRDefault="003E321C" w:rsidP="00E32B71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A62259" w:rsidRPr="003E321C" w:rsidRDefault="00A62259" w:rsidP="00A62259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房屋按揭及持证抵押贷款情况如何？</w:t>
            </w:r>
          </w:p>
          <w:p w:rsidR="00B94CFD" w:rsidRPr="003E321C" w:rsidRDefault="00B51E62" w:rsidP="00B94CFD">
            <w:pPr>
              <w:widowControl/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</w:rPr>
            </w:pPr>
            <w:r w:rsidRPr="003E321C">
              <w:rPr>
                <w:rFonts w:ascii="楷体_GB2312" w:eastAsia="楷体_GB2312" w:hAnsi="华文细黑" w:hint="eastAsia"/>
              </w:rPr>
              <w:t>疫情期间，我</w:t>
            </w:r>
            <w:r w:rsidR="00B94CFD" w:rsidRPr="003E321C">
              <w:rPr>
                <w:rFonts w:ascii="楷体_GB2312" w:eastAsia="楷体_GB2312" w:hAnsi="华文细黑" w:hint="eastAsia"/>
              </w:rPr>
              <w:t>行充分应用互联网技术，进一步减少线下流程节点，提升业务办理时效和客户体验。</w:t>
            </w:r>
          </w:p>
          <w:p w:rsidR="00A62259" w:rsidRPr="003E321C" w:rsidRDefault="00B94CFD" w:rsidP="00B94CFD">
            <w:pPr>
              <w:widowControl/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</w:rPr>
            </w:pPr>
            <w:r w:rsidRPr="003E321C">
              <w:rPr>
                <w:rFonts w:ascii="楷体_GB2312" w:eastAsia="楷体_GB2312" w:hAnsi="华文细黑" w:hint="eastAsia"/>
              </w:rPr>
              <w:t>上半年，</w:t>
            </w:r>
            <w:r w:rsidR="006B5BC0">
              <w:rPr>
                <w:rFonts w:ascii="楷体_GB2312" w:eastAsia="楷体_GB2312" w:hAnsi="华文细黑" w:hint="eastAsia"/>
              </w:rPr>
              <w:t>我行</w:t>
            </w:r>
            <w:r w:rsidRPr="003E321C">
              <w:rPr>
                <w:rFonts w:ascii="楷体_GB2312" w:eastAsia="楷体_GB2312" w:hAnsi="华文细黑" w:hint="eastAsia"/>
              </w:rPr>
              <w:t>个人房屋按揭及持证抵押贷款新发放1,070亿元，同比增长35%；6月末，个人房屋按揭及持证抵押贷款余额4,567亿元，较上年末增长11%。</w:t>
            </w:r>
          </w:p>
          <w:p w:rsidR="00B94CFD" w:rsidRPr="003E321C" w:rsidRDefault="00B94CFD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A62259" w:rsidRPr="003E321C" w:rsidRDefault="00A62259" w:rsidP="00A62259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理财业务恢复情况？符合监管要求的产品占比？</w:t>
            </w:r>
          </w:p>
          <w:p w:rsidR="00A62259" w:rsidRPr="003E321C" w:rsidRDefault="00A62259" w:rsidP="00F729BD">
            <w:pPr>
              <w:widowControl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疫情期间，理财各项业务正常运营、有序开展</w:t>
            </w:r>
            <w:r w:rsidR="0093537D" w:rsidRPr="003E321C">
              <w:rPr>
                <w:rFonts w:ascii="楷体_GB2312" w:eastAsia="楷体_GB2312" w:hAnsi="华文细黑" w:hint="eastAsia"/>
                <w:sz w:val="21"/>
                <w:szCs w:val="21"/>
              </w:rPr>
              <w:t>。</w:t>
            </w:r>
            <w:r w:rsidR="00B94CFD" w:rsidRPr="003E321C">
              <w:rPr>
                <w:rFonts w:ascii="楷体_GB2312" w:eastAsia="楷体_GB2312" w:hAnsi="华文细黑" w:hint="eastAsia"/>
                <w:sz w:val="21"/>
                <w:szCs w:val="21"/>
              </w:rPr>
              <w:t>6月末，非保本理财产品余额6,653亿元，较上年末增长12.7%；产品结构进一步优化，其中符合资管新规净值管理要求的净值型产品规模4,030亿元，较上年末增长56.7%，占非保本理财产品余额的比例由43.6%提升至60.6%</w:t>
            </w:r>
            <w:r w:rsidR="0093537D" w:rsidRPr="003E321C">
              <w:rPr>
                <w:rFonts w:ascii="楷体_GB2312" w:eastAsia="楷体_GB2312" w:hAnsi="华文细黑" w:hint="eastAsia"/>
                <w:sz w:val="21"/>
                <w:szCs w:val="21"/>
              </w:rPr>
              <w:t>；保本理财产品压降速度同步加快。</w:t>
            </w:r>
          </w:p>
          <w:p w:rsidR="00B94CFD" w:rsidRPr="003E321C" w:rsidRDefault="00B94CFD" w:rsidP="00A62259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A62259" w:rsidRPr="003E321C" w:rsidRDefault="00A62259" w:rsidP="00A62259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资金业务最新战略及</w:t>
            </w:r>
            <w:r w:rsidR="002F08CA" w:rsidRPr="003E321C">
              <w:rPr>
                <w:rFonts w:ascii="楷体_GB2312" w:eastAsia="楷体_GB2312" w:hAnsi="华文细黑" w:hint="eastAsia"/>
                <w:sz w:val="21"/>
              </w:rPr>
              <w:t>上半年</w:t>
            </w:r>
            <w:r w:rsidRPr="003E321C">
              <w:rPr>
                <w:rFonts w:ascii="楷体_GB2312" w:eastAsia="楷体_GB2312" w:hAnsi="华文细黑" w:hint="eastAsia"/>
                <w:sz w:val="21"/>
              </w:rPr>
              <w:t>情况？</w:t>
            </w:r>
          </w:p>
          <w:p w:rsidR="00B94CFD" w:rsidRPr="003E321C" w:rsidRDefault="002F08CA" w:rsidP="00B94CF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B94CFD" w:rsidRPr="003E321C">
              <w:rPr>
                <w:rFonts w:ascii="楷体_GB2312" w:eastAsia="楷体_GB2312" w:hAnsi="华文细黑" w:hint="eastAsia"/>
                <w:sz w:val="21"/>
                <w:szCs w:val="21"/>
              </w:rPr>
              <w:t>资金同业业务以“推动新增长、打造新品牌”作为新三年的发展方向，全面推进资金同业业务“3+2+1</w:t>
            </w: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”经营策略，</w:t>
            </w:r>
            <w:r w:rsidR="00B94CFD" w:rsidRPr="003E321C">
              <w:rPr>
                <w:rFonts w:ascii="楷体_GB2312" w:eastAsia="楷体_GB2312" w:hAnsi="华文细黑" w:hint="eastAsia"/>
                <w:sz w:val="21"/>
                <w:szCs w:val="21"/>
              </w:rPr>
              <w:t>积极应对疫情挑战，稳经营、保发展。</w:t>
            </w:r>
          </w:p>
          <w:p w:rsidR="00B94CFD" w:rsidRPr="003E321C" w:rsidRDefault="00F606BC" w:rsidP="00B94CF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6月末，</w:t>
            </w:r>
            <w:r w:rsidR="00B94CFD" w:rsidRPr="003E321C">
              <w:rPr>
                <w:rFonts w:ascii="楷体_GB2312" w:eastAsia="楷体_GB2312" w:hAnsi="华文细黑" w:hint="eastAsia"/>
                <w:sz w:val="21"/>
                <w:szCs w:val="21"/>
              </w:rPr>
              <w:t>我行交易净收入46.34亿元，其中利率互换交易量市场份额达到12.7%。利率互换及外汇衍生品代客交易量588.41亿元，同比提升20.4%。</w:t>
            </w:r>
          </w:p>
          <w:p w:rsidR="00A62259" w:rsidRPr="003E321C" w:rsidRDefault="00B94CFD" w:rsidP="00B94CF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/>
                <w:sz w:val="21"/>
                <w:szCs w:val="21"/>
              </w:rPr>
              <w:t> </w:t>
            </w:r>
          </w:p>
          <w:p w:rsidR="00A62259" w:rsidRPr="003E321C" w:rsidRDefault="00A62259" w:rsidP="00A62259">
            <w:pPr>
              <w:pStyle w:val="3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</w:rPr>
              <w:t>网点布局是否受到疫情影响，目前情况如何？</w:t>
            </w:r>
          </w:p>
          <w:p w:rsidR="00A62259" w:rsidRPr="003E321C" w:rsidRDefault="006B5BC0" w:rsidP="00B94CF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b/>
                <w:sz w:val="21"/>
                <w:szCs w:val="21"/>
              </w:rPr>
            </w:pP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B94CFD" w:rsidRPr="003E321C">
              <w:rPr>
                <w:rFonts w:ascii="楷体_GB2312" w:eastAsia="楷体_GB2312" w:hAnsi="华文细黑" w:hint="eastAsia"/>
                <w:sz w:val="21"/>
                <w:szCs w:val="21"/>
              </w:rPr>
              <w:t>持续实施网点智能化建设，合理配置网点布局，截至6月末，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B94CFD" w:rsidRPr="003E321C">
              <w:rPr>
                <w:rFonts w:ascii="楷体_GB2312" w:eastAsia="楷体_GB2312" w:hAnsi="华文细黑" w:hint="eastAsia"/>
                <w:sz w:val="21"/>
                <w:szCs w:val="21"/>
              </w:rPr>
              <w:t>有92家分行（含香港分行）、共1,078家营业机构。</w:t>
            </w:r>
          </w:p>
          <w:p w:rsidR="00323CE2" w:rsidRPr="003E321C" w:rsidRDefault="00323CE2" w:rsidP="00B21955">
            <w:pPr>
              <w:adjustRightInd w:val="0"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323CE2" w:rsidRPr="003E321C" w:rsidRDefault="00D92C07" w:rsidP="00B21955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</w:rPr>
            </w:pPr>
            <w:r w:rsidRPr="003E321C">
              <w:rPr>
                <w:rFonts w:ascii="楷体_GB2312" w:eastAsia="楷体_GB2312" w:hAnsi="华文细黑" w:hint="eastAsia"/>
              </w:rPr>
              <w:t>理财子什么时候开业？</w:t>
            </w:r>
          </w:p>
          <w:p w:rsidR="00323CE2" w:rsidRPr="003E321C" w:rsidRDefault="00323CE2" w:rsidP="00F729B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平安理财已经于8月19</w:t>
            </w:r>
            <w:r w:rsidR="00A211D6" w:rsidRPr="003E321C">
              <w:rPr>
                <w:rFonts w:ascii="楷体_GB2312" w:eastAsia="楷体_GB2312" w:hAnsi="华文细黑" w:hint="eastAsia"/>
                <w:sz w:val="21"/>
                <w:szCs w:val="21"/>
              </w:rPr>
              <w:t>日得到监管的开业批复，基于疫情考虑，</w:t>
            </w: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8月28</w:t>
            </w:r>
            <w:r w:rsidR="00D92C07" w:rsidRPr="003E321C">
              <w:rPr>
                <w:rFonts w:ascii="楷体_GB2312" w:eastAsia="楷体_GB2312" w:hAnsi="华文细黑" w:hint="eastAsia"/>
                <w:sz w:val="21"/>
                <w:szCs w:val="21"/>
              </w:rPr>
              <w:t>日已</w:t>
            </w:r>
            <w:r w:rsidRPr="003E321C">
              <w:rPr>
                <w:rFonts w:ascii="楷体_GB2312" w:eastAsia="楷体_GB2312" w:hAnsi="华文细黑" w:hint="eastAsia"/>
                <w:sz w:val="21"/>
                <w:szCs w:val="21"/>
              </w:rPr>
              <w:t>内部开业。</w:t>
            </w:r>
          </w:p>
          <w:p w:rsidR="000A624F" w:rsidRPr="00376989" w:rsidRDefault="000A624F" w:rsidP="00A211D6">
            <w:pPr>
              <w:adjustRightInd w:val="0"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C03E1A" w:rsidRPr="000E05E7" w:rsidRDefault="00AE02C7" w:rsidP="00AE02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00"/>
              <w:rPr>
                <w:rFonts w:ascii="楷体_GB2312" w:eastAsia="楷体_GB2312" w:hAnsi="Arial"/>
                <w:szCs w:val="21"/>
              </w:rPr>
            </w:pPr>
            <w:r w:rsidRPr="000E05E7">
              <w:rPr>
                <w:rStyle w:val="a8"/>
                <w:rFonts w:ascii="楷体_GB2312" w:eastAsia="楷体_GB2312" w:hAnsi="Arial" w:hint="eastAsia"/>
                <w:szCs w:val="21"/>
              </w:rPr>
              <w:t>接待过程中，公司接待人员与投资者进行了充分的交流与沟通，严</w:t>
            </w:r>
            <w:r w:rsidRPr="000E05E7">
              <w:rPr>
                <w:rStyle w:val="a8"/>
                <w:rFonts w:ascii="楷体_GB2312" w:eastAsia="楷体_GB2312" w:hAnsi="Arial" w:hint="eastAsia"/>
                <w:szCs w:val="21"/>
              </w:rPr>
              <w:lastRenderedPageBreak/>
              <w:t>格按照有关制度规定，没有出现未公开重大信息泄露等情况。</w:t>
            </w:r>
          </w:p>
        </w:tc>
      </w:tr>
      <w:tr w:rsidR="00EE1C10" w:rsidRPr="000E05E7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6350C6" w:rsidP="00A52A70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20</w:t>
            </w:r>
            <w:r w:rsidR="00A52A70" w:rsidRPr="000E05E7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20</w:t>
            </w: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年</w:t>
            </w:r>
            <w:r w:rsidR="00B94CFD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中报</w:t>
            </w: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业绩PPT</w:t>
            </w:r>
            <w:r w:rsidR="006B0B04" w:rsidRPr="000E05E7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（请参见bank.pingan.com投资者关系-公司推介栏目）</w:t>
            </w:r>
          </w:p>
        </w:tc>
      </w:tr>
      <w:tr w:rsidR="00EE1C10" w:rsidRPr="000E05E7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E05E7" w:rsidRDefault="006350C6" w:rsidP="00BA2285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4F64B5"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BA228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09</w:t>
            </w:r>
            <w:r w:rsidRPr="000E05E7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BA2285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01</w:t>
            </w:r>
          </w:p>
        </w:tc>
      </w:tr>
    </w:tbl>
    <w:p w:rsidR="00941F1C" w:rsidRPr="000E05E7" w:rsidRDefault="00941F1C" w:rsidP="00862CF2">
      <w:pPr>
        <w:rPr>
          <w:rFonts w:ascii="楷体_GB2312" w:eastAsia="楷体_GB2312" w:hAnsi="Arial"/>
          <w:szCs w:val="21"/>
        </w:rPr>
      </w:pPr>
      <w:bookmarkStart w:id="0" w:name="_GoBack"/>
      <w:bookmarkEnd w:id="0"/>
    </w:p>
    <w:sectPr w:rsidR="00941F1C" w:rsidRPr="000E05E7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4F" w:rsidRDefault="000A624F" w:rsidP="00D96584">
      <w:r>
        <w:separator/>
      </w:r>
    </w:p>
  </w:endnote>
  <w:endnote w:type="continuationSeparator" w:id="0">
    <w:p w:rsidR="000A624F" w:rsidRDefault="000A624F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2OcuAe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4F" w:rsidRDefault="000A624F" w:rsidP="00D96584">
      <w:r>
        <w:separator/>
      </w:r>
    </w:p>
  </w:footnote>
  <w:footnote w:type="continuationSeparator" w:id="0">
    <w:p w:rsidR="000A624F" w:rsidRDefault="000A624F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7D"/>
    <w:multiLevelType w:val="hybridMultilevel"/>
    <w:tmpl w:val="37B22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B8A2265"/>
    <w:multiLevelType w:val="hybridMultilevel"/>
    <w:tmpl w:val="90465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FBCEA6A2"/>
    <w:lvl w:ilvl="0" w:tplc="419EDC28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DAB03B3"/>
    <w:multiLevelType w:val="hybridMultilevel"/>
    <w:tmpl w:val="9FDA1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CB286E20">
      <w:start w:val="1"/>
      <w:numFmt w:val="decimal"/>
      <w:lvlText w:val="（%3）"/>
      <w:lvlJc w:val="left"/>
      <w:pPr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7"/>
  </w:num>
  <w:num w:numId="32">
    <w:abstractNumId w:val="4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21C46"/>
    <w:rsid w:val="00043512"/>
    <w:rsid w:val="0005090F"/>
    <w:rsid w:val="00065AA6"/>
    <w:rsid w:val="0006657F"/>
    <w:rsid w:val="00080A64"/>
    <w:rsid w:val="00082013"/>
    <w:rsid w:val="00083D6A"/>
    <w:rsid w:val="000A2DF8"/>
    <w:rsid w:val="000A624F"/>
    <w:rsid w:val="000B3693"/>
    <w:rsid w:val="000B41B6"/>
    <w:rsid w:val="000D607F"/>
    <w:rsid w:val="000E05E7"/>
    <w:rsid w:val="00101C48"/>
    <w:rsid w:val="00130F3C"/>
    <w:rsid w:val="001362E7"/>
    <w:rsid w:val="001434EB"/>
    <w:rsid w:val="001516B8"/>
    <w:rsid w:val="0015535F"/>
    <w:rsid w:val="00157667"/>
    <w:rsid w:val="00161A96"/>
    <w:rsid w:val="00197FFA"/>
    <w:rsid w:val="001B33AC"/>
    <w:rsid w:val="001B72DE"/>
    <w:rsid w:val="001C10A8"/>
    <w:rsid w:val="001C3AC1"/>
    <w:rsid w:val="001C4C8A"/>
    <w:rsid w:val="001C74B6"/>
    <w:rsid w:val="001D2529"/>
    <w:rsid w:val="001D5474"/>
    <w:rsid w:val="001E2C63"/>
    <w:rsid w:val="001F3B5D"/>
    <w:rsid w:val="00210939"/>
    <w:rsid w:val="00217D1A"/>
    <w:rsid w:val="00227050"/>
    <w:rsid w:val="002515C0"/>
    <w:rsid w:val="002721F3"/>
    <w:rsid w:val="00276DAA"/>
    <w:rsid w:val="002B200E"/>
    <w:rsid w:val="002B4EAA"/>
    <w:rsid w:val="002B5D00"/>
    <w:rsid w:val="002F08CA"/>
    <w:rsid w:val="002F1CBE"/>
    <w:rsid w:val="002F68DD"/>
    <w:rsid w:val="003075A1"/>
    <w:rsid w:val="00323CE2"/>
    <w:rsid w:val="003317E5"/>
    <w:rsid w:val="0034241B"/>
    <w:rsid w:val="00342D12"/>
    <w:rsid w:val="003450A0"/>
    <w:rsid w:val="00354883"/>
    <w:rsid w:val="00375010"/>
    <w:rsid w:val="00376989"/>
    <w:rsid w:val="003777D5"/>
    <w:rsid w:val="00381783"/>
    <w:rsid w:val="003B107D"/>
    <w:rsid w:val="003B323B"/>
    <w:rsid w:val="003B5748"/>
    <w:rsid w:val="003B721F"/>
    <w:rsid w:val="003C375D"/>
    <w:rsid w:val="003C42A4"/>
    <w:rsid w:val="003E321C"/>
    <w:rsid w:val="003F144D"/>
    <w:rsid w:val="003F79D6"/>
    <w:rsid w:val="00413B4B"/>
    <w:rsid w:val="0043629D"/>
    <w:rsid w:val="00442349"/>
    <w:rsid w:val="0045059E"/>
    <w:rsid w:val="00461C9C"/>
    <w:rsid w:val="00471475"/>
    <w:rsid w:val="0049405C"/>
    <w:rsid w:val="00497C7E"/>
    <w:rsid w:val="004B47B1"/>
    <w:rsid w:val="004F64B5"/>
    <w:rsid w:val="004F6F03"/>
    <w:rsid w:val="00511122"/>
    <w:rsid w:val="0051123B"/>
    <w:rsid w:val="0051176B"/>
    <w:rsid w:val="00535D6F"/>
    <w:rsid w:val="00541176"/>
    <w:rsid w:val="005425DD"/>
    <w:rsid w:val="005435E0"/>
    <w:rsid w:val="005464C3"/>
    <w:rsid w:val="00550FD9"/>
    <w:rsid w:val="0055309B"/>
    <w:rsid w:val="005B3BAE"/>
    <w:rsid w:val="005C02D2"/>
    <w:rsid w:val="005C32E3"/>
    <w:rsid w:val="005E33CA"/>
    <w:rsid w:val="005E4299"/>
    <w:rsid w:val="00603A26"/>
    <w:rsid w:val="00622C3A"/>
    <w:rsid w:val="00623A26"/>
    <w:rsid w:val="00631CC9"/>
    <w:rsid w:val="0063326E"/>
    <w:rsid w:val="006350C6"/>
    <w:rsid w:val="0068350A"/>
    <w:rsid w:val="00684A13"/>
    <w:rsid w:val="00693E35"/>
    <w:rsid w:val="006A1753"/>
    <w:rsid w:val="006A7B25"/>
    <w:rsid w:val="006B0B04"/>
    <w:rsid w:val="006B5BC0"/>
    <w:rsid w:val="006C5210"/>
    <w:rsid w:val="006D2880"/>
    <w:rsid w:val="006E4D55"/>
    <w:rsid w:val="006F64B3"/>
    <w:rsid w:val="00740C1A"/>
    <w:rsid w:val="00756425"/>
    <w:rsid w:val="00761259"/>
    <w:rsid w:val="00777BC7"/>
    <w:rsid w:val="0079079A"/>
    <w:rsid w:val="00793203"/>
    <w:rsid w:val="007C213F"/>
    <w:rsid w:val="007E3D85"/>
    <w:rsid w:val="00803207"/>
    <w:rsid w:val="008132CB"/>
    <w:rsid w:val="0082259D"/>
    <w:rsid w:val="008439B9"/>
    <w:rsid w:val="00845B88"/>
    <w:rsid w:val="0084646C"/>
    <w:rsid w:val="00853994"/>
    <w:rsid w:val="00862CF2"/>
    <w:rsid w:val="008633E9"/>
    <w:rsid w:val="008710F9"/>
    <w:rsid w:val="00875F50"/>
    <w:rsid w:val="00880699"/>
    <w:rsid w:val="0089673B"/>
    <w:rsid w:val="008A3FD9"/>
    <w:rsid w:val="008A4E3E"/>
    <w:rsid w:val="008B1616"/>
    <w:rsid w:val="008B3EDE"/>
    <w:rsid w:val="008B60BD"/>
    <w:rsid w:val="008C111F"/>
    <w:rsid w:val="008C63FE"/>
    <w:rsid w:val="008F16A2"/>
    <w:rsid w:val="008F22A3"/>
    <w:rsid w:val="009043C5"/>
    <w:rsid w:val="00921892"/>
    <w:rsid w:val="00930952"/>
    <w:rsid w:val="009345A0"/>
    <w:rsid w:val="0093537D"/>
    <w:rsid w:val="00941F1C"/>
    <w:rsid w:val="00951547"/>
    <w:rsid w:val="009561FA"/>
    <w:rsid w:val="009A4D67"/>
    <w:rsid w:val="009C4894"/>
    <w:rsid w:val="009C5679"/>
    <w:rsid w:val="009E293D"/>
    <w:rsid w:val="009E71F2"/>
    <w:rsid w:val="009F13CD"/>
    <w:rsid w:val="00A06B39"/>
    <w:rsid w:val="00A115A1"/>
    <w:rsid w:val="00A12BD3"/>
    <w:rsid w:val="00A140B8"/>
    <w:rsid w:val="00A1521F"/>
    <w:rsid w:val="00A211D6"/>
    <w:rsid w:val="00A42C40"/>
    <w:rsid w:val="00A52A70"/>
    <w:rsid w:val="00A62259"/>
    <w:rsid w:val="00A84DCD"/>
    <w:rsid w:val="00A87A56"/>
    <w:rsid w:val="00A954CC"/>
    <w:rsid w:val="00AA5A95"/>
    <w:rsid w:val="00AB47CE"/>
    <w:rsid w:val="00AB67BB"/>
    <w:rsid w:val="00AD4C28"/>
    <w:rsid w:val="00AE02C7"/>
    <w:rsid w:val="00B17ECB"/>
    <w:rsid w:val="00B21955"/>
    <w:rsid w:val="00B24B6B"/>
    <w:rsid w:val="00B31C4E"/>
    <w:rsid w:val="00B454CA"/>
    <w:rsid w:val="00B51E62"/>
    <w:rsid w:val="00B65391"/>
    <w:rsid w:val="00B708D6"/>
    <w:rsid w:val="00B71E2E"/>
    <w:rsid w:val="00B84A84"/>
    <w:rsid w:val="00B84C2E"/>
    <w:rsid w:val="00B94CFD"/>
    <w:rsid w:val="00BA2285"/>
    <w:rsid w:val="00BB741D"/>
    <w:rsid w:val="00BE11BC"/>
    <w:rsid w:val="00BE3743"/>
    <w:rsid w:val="00C03E1A"/>
    <w:rsid w:val="00C12E89"/>
    <w:rsid w:val="00C21A8C"/>
    <w:rsid w:val="00C30CA5"/>
    <w:rsid w:val="00C35BCB"/>
    <w:rsid w:val="00C47D53"/>
    <w:rsid w:val="00C51768"/>
    <w:rsid w:val="00C81677"/>
    <w:rsid w:val="00C87159"/>
    <w:rsid w:val="00CA0689"/>
    <w:rsid w:val="00CA1629"/>
    <w:rsid w:val="00CB4AC9"/>
    <w:rsid w:val="00CC12EA"/>
    <w:rsid w:val="00CF7823"/>
    <w:rsid w:val="00CF7851"/>
    <w:rsid w:val="00D03DFD"/>
    <w:rsid w:val="00D06801"/>
    <w:rsid w:val="00D302B7"/>
    <w:rsid w:val="00D50045"/>
    <w:rsid w:val="00D87038"/>
    <w:rsid w:val="00D91B1B"/>
    <w:rsid w:val="00D926C5"/>
    <w:rsid w:val="00D92BD1"/>
    <w:rsid w:val="00D92C07"/>
    <w:rsid w:val="00D96584"/>
    <w:rsid w:val="00DB35CA"/>
    <w:rsid w:val="00DC7C3C"/>
    <w:rsid w:val="00DD1E65"/>
    <w:rsid w:val="00DD684A"/>
    <w:rsid w:val="00DD7DFF"/>
    <w:rsid w:val="00DE4B3F"/>
    <w:rsid w:val="00E00681"/>
    <w:rsid w:val="00E017C9"/>
    <w:rsid w:val="00E055AC"/>
    <w:rsid w:val="00E1525A"/>
    <w:rsid w:val="00E32B71"/>
    <w:rsid w:val="00E37317"/>
    <w:rsid w:val="00E50C4A"/>
    <w:rsid w:val="00E724E3"/>
    <w:rsid w:val="00E733AB"/>
    <w:rsid w:val="00E97341"/>
    <w:rsid w:val="00EB2B4C"/>
    <w:rsid w:val="00EC6B0A"/>
    <w:rsid w:val="00ED2A52"/>
    <w:rsid w:val="00EE1C10"/>
    <w:rsid w:val="00EE4F68"/>
    <w:rsid w:val="00EE7C01"/>
    <w:rsid w:val="00F0207E"/>
    <w:rsid w:val="00F0381B"/>
    <w:rsid w:val="00F03DE2"/>
    <w:rsid w:val="00F16F75"/>
    <w:rsid w:val="00F46360"/>
    <w:rsid w:val="00F564FB"/>
    <w:rsid w:val="00F606BC"/>
    <w:rsid w:val="00F628CA"/>
    <w:rsid w:val="00F65E26"/>
    <w:rsid w:val="00F66AD9"/>
    <w:rsid w:val="00F729BD"/>
    <w:rsid w:val="00F730BE"/>
    <w:rsid w:val="00FA1FC9"/>
    <w:rsid w:val="00FA7D26"/>
    <w:rsid w:val="00FC0257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C21A8C"/>
    <w:pPr>
      <w:widowControl/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C21A8C"/>
    <w:pPr>
      <w:widowControl/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499</Words>
  <Characters>2847</Characters>
  <Application>Microsoft Office Word</Application>
  <DocSecurity>0</DocSecurity>
  <Lines>23</Lines>
  <Paragraphs>6</Paragraphs>
  <ScaleCrop>false</ScaleCrop>
  <Company>sdb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PINGAN</cp:lastModifiedBy>
  <cp:revision>15</cp:revision>
  <dcterms:created xsi:type="dcterms:W3CDTF">2020-10-13T06:19:00Z</dcterms:created>
  <dcterms:modified xsi:type="dcterms:W3CDTF">2020-10-16T06:28:00Z</dcterms:modified>
</cp:coreProperties>
</file>