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0E05E7" w:rsidRDefault="00EE1C10" w:rsidP="00E055AC">
      <w:pPr>
        <w:spacing w:beforeLines="50" w:before="156" w:afterLines="50" w:after="156" w:line="400" w:lineRule="exact"/>
        <w:rPr>
          <w:rFonts w:ascii="楷体_GB2312" w:eastAsia="楷体_GB2312" w:hAnsi="Arial"/>
          <w:bCs/>
          <w:iCs/>
          <w:color w:val="000000"/>
          <w:szCs w:val="21"/>
        </w:rPr>
      </w:pPr>
      <w:r w:rsidRPr="000E05E7">
        <w:rPr>
          <w:rFonts w:ascii="楷体_GB2312" w:eastAsia="楷体_GB2312" w:hAnsi="Arial" w:hint="eastAsia"/>
          <w:bCs/>
          <w:iCs/>
          <w:color w:val="000000"/>
          <w:szCs w:val="21"/>
        </w:rPr>
        <w:t>证券代码：000001                                  证券简称：</w:t>
      </w:r>
      <w:r w:rsidR="00D96584" w:rsidRPr="000E05E7">
        <w:rPr>
          <w:rFonts w:ascii="楷体_GB2312" w:eastAsia="楷体_GB2312" w:hAnsi="Arial" w:hint="eastAsia"/>
          <w:bCs/>
          <w:iCs/>
          <w:color w:val="000000"/>
          <w:szCs w:val="21"/>
        </w:rPr>
        <w:t>平安银行</w:t>
      </w:r>
    </w:p>
    <w:p w:rsidR="00EE1C10" w:rsidRPr="000E05E7" w:rsidRDefault="003317E5" w:rsidP="00E055AC">
      <w:pPr>
        <w:spacing w:beforeLines="50" w:before="156" w:afterLines="50" w:after="156" w:line="400" w:lineRule="exact"/>
        <w:jc w:val="center"/>
        <w:rPr>
          <w:rFonts w:ascii="楷体_GB2312" w:eastAsia="楷体_GB2312" w:hAnsi="Arial"/>
          <w:b/>
          <w:bCs/>
          <w:iCs/>
          <w:color w:val="000000"/>
          <w:szCs w:val="21"/>
        </w:rPr>
      </w:pPr>
      <w:r w:rsidRPr="000E05E7">
        <w:rPr>
          <w:rFonts w:ascii="楷体_GB2312" w:eastAsia="楷体_GB2312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0E05E7">
        <w:rPr>
          <w:rFonts w:ascii="楷体_GB2312" w:eastAsia="楷体_GB2312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0E05E7" w:rsidRDefault="00EE1C10" w:rsidP="00EE1C10">
      <w:pPr>
        <w:spacing w:line="400" w:lineRule="exact"/>
        <w:rPr>
          <w:rFonts w:ascii="楷体_GB2312" w:eastAsia="楷体_GB2312" w:hAnsi="Arial"/>
          <w:bCs/>
          <w:iCs/>
          <w:color w:val="000000"/>
          <w:szCs w:val="21"/>
        </w:rPr>
      </w:pPr>
      <w:r w:rsidRPr="000E05E7">
        <w:rPr>
          <w:rFonts w:ascii="楷体_GB2312" w:eastAsia="楷体_GB2312" w:hAnsi="Arial" w:hint="eastAsia"/>
          <w:bCs/>
          <w:iCs/>
          <w:color w:val="000000"/>
          <w:szCs w:val="21"/>
        </w:rPr>
        <w:t xml:space="preserve">                                                         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B10B55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spacing w:line="480" w:lineRule="atLeast"/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06657F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B10B55">
              <w:rPr>
                <w:rFonts w:ascii="楷体_GB2312" w:eastAsia="楷体_GB2312" w:hAnsi="Arial" w:hint="eastAsia"/>
                <w:sz w:val="21"/>
                <w:szCs w:val="21"/>
              </w:rPr>
              <w:t xml:space="preserve">特定对象调研        </w:t>
            </w:r>
            <w:r w:rsidR="00EE1C10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B10B55">
              <w:rPr>
                <w:rFonts w:ascii="楷体_GB2312" w:eastAsia="楷体_GB2312" w:hAnsi="Arial" w:hint="eastAsia"/>
                <w:sz w:val="21"/>
                <w:szCs w:val="21"/>
              </w:rPr>
              <w:t>分析师会议</w:t>
            </w:r>
          </w:p>
          <w:p w:rsidR="00EE1C10" w:rsidRPr="00B10B55" w:rsidRDefault="00EE1C10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B10B55">
              <w:rPr>
                <w:rFonts w:ascii="楷体_GB2312" w:eastAsia="楷体_GB2312" w:hAnsi="Arial" w:hint="eastAsia"/>
                <w:sz w:val="21"/>
                <w:szCs w:val="21"/>
              </w:rPr>
              <w:t xml:space="preserve">媒体采访            </w:t>
            </w:r>
            <w:r w:rsidR="009D11D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B10B55">
              <w:rPr>
                <w:rFonts w:ascii="楷体_GB2312" w:eastAsia="楷体_GB2312" w:hAnsi="Arial" w:hint="eastAsia"/>
                <w:sz w:val="21"/>
                <w:szCs w:val="21"/>
              </w:rPr>
              <w:t>业绩说明会</w:t>
            </w:r>
          </w:p>
          <w:p w:rsidR="00EE1C10" w:rsidRPr="00B10B55" w:rsidRDefault="00EE1C10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B10B55">
              <w:rPr>
                <w:rFonts w:ascii="楷体_GB2312" w:eastAsia="楷体_GB2312" w:hAnsi="Arial" w:hint="eastAsia"/>
                <w:sz w:val="21"/>
                <w:szCs w:val="21"/>
              </w:rPr>
              <w:t xml:space="preserve">新闻发布会          </w:t>
            </w:r>
            <w:r w:rsidR="009D11D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Pr="00B10B55">
              <w:rPr>
                <w:rFonts w:ascii="楷体_GB2312" w:eastAsia="楷体_GB2312" w:hAnsi="Arial" w:hint="eastAsia"/>
                <w:sz w:val="21"/>
                <w:szCs w:val="21"/>
              </w:rPr>
              <w:t>路演活动</w:t>
            </w:r>
          </w:p>
          <w:p w:rsidR="00EE1C10" w:rsidRPr="00B10B55" w:rsidRDefault="00EE1C10" w:rsidP="005B3BAE">
            <w:pPr>
              <w:tabs>
                <w:tab w:val="left" w:pos="3045"/>
                <w:tab w:val="center" w:pos="3199"/>
              </w:tabs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B10B55">
              <w:rPr>
                <w:rFonts w:ascii="楷体_GB2312" w:eastAsia="楷体_GB2312" w:hAnsi="Arial" w:hint="eastAsia"/>
                <w:sz w:val="21"/>
                <w:szCs w:val="21"/>
              </w:rPr>
              <w:t>现场参观</w:t>
            </w:r>
          </w:p>
          <w:p w:rsidR="00EE1C10" w:rsidRPr="00B10B55" w:rsidRDefault="00F0207E" w:rsidP="005B3BAE">
            <w:pPr>
              <w:tabs>
                <w:tab w:val="center" w:pos="3199"/>
              </w:tabs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B10B55">
              <w:rPr>
                <w:rFonts w:ascii="楷体_GB2312" w:eastAsia="楷体_GB2312" w:hAnsi="Arial" w:hint="eastAsia"/>
                <w:sz w:val="21"/>
                <w:szCs w:val="21"/>
              </w:rPr>
              <w:t>其他</w:t>
            </w:r>
            <w:r w:rsidR="002515C0" w:rsidRPr="00B10B55">
              <w:rPr>
                <w:rFonts w:ascii="楷体_GB2312" w:eastAsia="楷体_GB2312" w:hAnsi="Arial" w:hint="eastAsia"/>
                <w:sz w:val="21"/>
                <w:szCs w:val="21"/>
              </w:rPr>
              <w:t xml:space="preserve"> （投行会议）</w:t>
            </w:r>
          </w:p>
        </w:tc>
      </w:tr>
      <w:tr w:rsidR="00EE1C10" w:rsidRPr="00B10B55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06657F" w:rsidP="00EF7AE4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2020年</w:t>
            </w:r>
            <w:r w:rsidR="00323CE2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中报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业绩</w:t>
            </w:r>
            <w:r w:rsidR="00EF7AE4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国内路演</w:t>
            </w:r>
          </w:p>
        </w:tc>
      </w:tr>
      <w:tr w:rsidR="00EE1C10" w:rsidRPr="00B10B55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43629D" w:rsidP="00EF7AE4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F0207E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323CE2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EF7AE4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2-3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B10B55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F0207E" w:rsidP="005B3BAE">
            <w:pPr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B10B55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F7AE4" w:rsidP="003677A7">
            <w:pPr>
              <w:jc w:val="left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项有志、周强、朱培卿、张慎、成建新、郭蕴川、黄玉强、郑跃龙</w:t>
            </w:r>
            <w:r w:rsidR="003677A7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、董事会办公室</w:t>
            </w:r>
          </w:p>
        </w:tc>
      </w:tr>
      <w:tr w:rsidR="00EE1C10" w:rsidRPr="00B10B55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5B3BAE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B10B55" w:rsidRDefault="00EE1C10" w:rsidP="005B3BAE">
            <w:pPr>
              <w:spacing w:line="480" w:lineRule="atLeast"/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B10B55" w:rsidRDefault="00EE1C10" w:rsidP="00C03E1A">
            <w:pPr>
              <w:snapToGrid w:val="0"/>
              <w:spacing w:afterLines="20" w:after="62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A62259" w:rsidRPr="00B10B55" w:rsidRDefault="00A62259" w:rsidP="00A62259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E321C" w:rsidRPr="00B10B55" w:rsidRDefault="003E321C" w:rsidP="003E321C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平安银行营收、利润情况？</w:t>
            </w:r>
          </w:p>
          <w:p w:rsidR="003E321C" w:rsidRPr="00B10B55" w:rsidRDefault="003E321C" w:rsidP="00B10B55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上半年，我行实现营业收入783.28亿元，同比增长15.5%；实现减值损失前营业利润561.50亿元，同比增长18.9%；同时，受疫情带来的不确定性影响，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根据经济走势及国内外环境预判，主动加大了拨备计提力度，以提升风险抵补能力，在加大核销的同时，提升拨备覆盖率，从而导致净利润下降，实现净利润136.78亿元，同比减少11.2%。</w:t>
            </w:r>
          </w:p>
          <w:p w:rsidR="003E321C" w:rsidRDefault="003E321C" w:rsidP="00A62259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35C20" w:rsidRPr="001C74B6" w:rsidRDefault="00335C20" w:rsidP="00335C20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1C74B6">
              <w:rPr>
                <w:rFonts w:ascii="楷体_GB2312" w:eastAsia="楷体_GB2312" w:hAnsi="华文细黑" w:hint="eastAsia"/>
                <w:sz w:val="21"/>
              </w:rPr>
              <w:t>净利润下降的原因？</w:t>
            </w:r>
          </w:p>
          <w:p w:rsidR="00335C20" w:rsidRPr="00CF3498" w:rsidRDefault="00335C20" w:rsidP="00335C20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CF3498">
              <w:rPr>
                <w:rFonts w:ascii="楷体_GB2312" w:eastAsia="楷体_GB2312" w:hAnsi="华文细黑" w:hint="eastAsia"/>
                <w:sz w:val="21"/>
                <w:szCs w:val="21"/>
              </w:rPr>
              <w:t>受疫情带来的不确定性影响，</w:t>
            </w:r>
            <w:r>
              <w:rPr>
                <w:rFonts w:ascii="楷体_GB2312" w:eastAsia="楷体_GB2312" w:hAnsi="华文细黑" w:hint="eastAsia"/>
                <w:sz w:val="21"/>
                <w:szCs w:val="21"/>
              </w:rPr>
              <w:t>我</w:t>
            </w:r>
            <w:r w:rsidRPr="00CF3498">
              <w:rPr>
                <w:rFonts w:ascii="楷体_GB2312" w:eastAsia="楷体_GB2312" w:hAnsi="华文细黑" w:hint="eastAsia"/>
                <w:sz w:val="21"/>
                <w:szCs w:val="21"/>
              </w:rPr>
              <w:t>行根据经济走势及国内外环境预判，主动加大了拨备计提力度，以提升风险抵补能力，在加大核销的同时，提升拨备覆盖率，从而导致净利润下降，实现净利润136.78亿元，同比减少11.2%。</w:t>
            </w:r>
          </w:p>
          <w:p w:rsidR="00335C20" w:rsidRPr="00B10B55" w:rsidRDefault="00335C20" w:rsidP="00A62259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9D11D5" w:rsidP="009D11D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疫情影响下资产质量情况？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积极应对外部风险，调整优化业务结构：对公方面，强化风险预警能力，充分运用大数据、AI等领先科技，优化智慧风控平台，持续推进风险前置，全面提升风险管理的效率和水平；零售方面，从“以产品为中心”向“以客户为中心”转变，全流程、全产品搭建智能风险管理体系，为业务持续高质量成长保驾护航。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不良贷款率为1.65%，与上年末持平；关注贷款、逾期60天以上贷款及逾期90天以上贷款的占比分别为1.86%、1.55%和1.33%，较上年末均呈下降趋势；逾期60天及逾期90天以上贷款偏离度均低于1。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9D11D5" w:rsidP="009D11D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拨备覆盖率情况？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上半年，我行全力支持疫情防控工作和金融市场稳定，提供差异化应急金融服务，持续提升拨备覆盖率等关键指标：拨备覆盖率、逾期60天以上贷款拨备覆盖率及逾期90天以上贷款拨备覆盖率分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lastRenderedPageBreak/>
              <w:t>别为214.93%、228.44%和267.01%，较上年末分别上升31.81个百分点、38.10个百分点和44.12个百分点，风险抵补能力持续增强。</w:t>
            </w:r>
          </w:p>
          <w:p w:rsidR="009D11D5" w:rsidRDefault="009D11D5" w:rsidP="009D11D5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B10B55" w:rsidRPr="00B10B55" w:rsidRDefault="00B10B55" w:rsidP="00B10B5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疫情期间零售资产质量表现如何？</w:t>
            </w:r>
          </w:p>
          <w:p w:rsidR="00B10B55" w:rsidRPr="00B10B55" w:rsidRDefault="00B10B5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2020年初疫情发生后，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个人贷款新增逾期有所上升，但3月以来催收部门复工率已迅速恢复，3月以来的新增逾期已低于2月，但仍略高于疫情前水平。预计未来随着宏观经济景气度提升，居民就业和消费逐步恢复，下半年开始零售月新增不良贷款将呈现回落趋势，零售资产的风险水平也将逐步回归正常。</w:t>
            </w:r>
          </w:p>
          <w:p w:rsidR="00B10B55" w:rsidRPr="00B10B55" w:rsidRDefault="00B10B5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我行个人贷款不良率1.56%，较上年末上升0.37个百分点。其中，信用卡应收账款不良率2.35%，较上年末上升0.69个百分点；“新一贷”贷款不良率1.84%，较上年末上升0.50个百分点；汽车金融贷款不良率为1.40%，较上年末上升0.66个百分点。</w:t>
            </w:r>
          </w:p>
          <w:p w:rsidR="00B10B55" w:rsidRPr="00B10B55" w:rsidRDefault="00B10B55" w:rsidP="009D11D5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9D11D5" w:rsidP="009D11D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疫情对零售信贷需求和结构影响</w:t>
            </w:r>
            <w:r w:rsidRPr="00B10B55">
              <w:rPr>
                <w:rFonts w:ascii="楷体_GB2312" w:eastAsia="楷体_GB2312" w:hint="eastAsia"/>
                <w:sz w:val="21"/>
              </w:rPr>
              <w:t>？</w:t>
            </w:r>
          </w:p>
          <w:p w:rsidR="003677A7" w:rsidRPr="00B10B55" w:rsidRDefault="009D11D5" w:rsidP="003677A7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个人贷款余额14,179亿元，较上年末增长4.5%。为尽快恢复到疫情前业务水平，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持续强化线上化运营能力，加强消费金融业务与私行财富业务的联动；同时，加大较低风险的个人房屋按揭及持证抵押贷款以及创新产品的投放。</w:t>
            </w:r>
          </w:p>
          <w:p w:rsidR="009D11D5" w:rsidRPr="00B10B55" w:rsidRDefault="007F408A" w:rsidP="007F408A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7F408A">
              <w:rPr>
                <w:rFonts w:ascii="楷体_GB2312" w:eastAsia="楷体_GB2312" w:hAnsi="华文细黑" w:hint="eastAsia"/>
                <w:sz w:val="21"/>
                <w:szCs w:val="21"/>
              </w:rPr>
              <w:t>6月末</w:t>
            </w:r>
            <w:r>
              <w:rPr>
                <w:rFonts w:ascii="楷体_GB2312" w:eastAsia="楷体_GB2312" w:hAnsi="华文细黑" w:hint="eastAsia"/>
                <w:sz w:val="21"/>
                <w:szCs w:val="21"/>
              </w:rPr>
              <w:t>，</w:t>
            </w:r>
            <w:r w:rsidR="009D11D5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整体个人贷款业务增长良好</w:t>
            </w:r>
            <w:r w:rsidR="003677A7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：</w:t>
            </w:r>
            <w:r w:rsidR="009D11D5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信用卡贷款余额5,125.04</w:t>
            </w:r>
            <w:r w:rsidR="003677A7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亿元</w:t>
            </w:r>
            <w:r w:rsidR="009D11D5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；“新一贷”余额1,479.83</w:t>
            </w:r>
            <w:r w:rsidR="003677A7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亿元</w:t>
            </w:r>
            <w:r w:rsidR="009D11D5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；汽融贷款余额2,036.42亿元；个人房屋按揭及持证抵押贷款余额4,567.09亿元；占个人贷款的比例提升至32.2%，业务结构及客群结构持续优化。</w:t>
            </w:r>
          </w:p>
          <w:p w:rsidR="009D11D5" w:rsidRPr="00B10B55" w:rsidRDefault="009D11D5" w:rsidP="009D11D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9D11D5" w:rsidP="009D11D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bCs w:val="0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bCs w:val="0"/>
                <w:sz w:val="21"/>
              </w:rPr>
              <w:t>疫情下，零售整体及</w:t>
            </w:r>
            <w:r w:rsidRPr="00B10B55">
              <w:rPr>
                <w:rFonts w:ascii="楷体_GB2312" w:eastAsia="楷体_GB2312" w:hAnsi="华文细黑" w:hint="eastAsia"/>
                <w:sz w:val="21"/>
              </w:rPr>
              <w:t>信用卡和</w:t>
            </w:r>
            <w:r w:rsidRPr="00B10B55">
              <w:rPr>
                <w:rFonts w:ascii="楷体_GB2312" w:eastAsia="楷体_GB2312" w:hAnsi="华文细黑" w:hint="eastAsia"/>
                <w:bCs w:val="0"/>
                <w:sz w:val="21"/>
              </w:rPr>
              <w:t>新一贷等产品资产质量情况？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自疫情发生以来，我行始终坚持以客户为先，优先支持疫情防控，维护金融市场稳定，灵活调整个人信贷还款安排。同时，积极开辟金融服务绿色通道，对于特殊无法正常还款的客户，根据具体情况酌情延期还款、减免利息费用、提供征信保护，全面降低疫情对于客户影响。</w:t>
            </w:r>
          </w:p>
          <w:p w:rsidR="009D11D5" w:rsidRPr="00B10B55" w:rsidRDefault="009D11D5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个人贷款不良率1.56%，较上年末上升0.37个百分点。其中，信用卡应收账款不良率2.35%；“新一贷”贷款不良率1.84%；汽车金融贷款不良率为1.40%，较年初均有上升。</w:t>
            </w:r>
          </w:p>
          <w:p w:rsidR="009D11D5" w:rsidRPr="00B10B55" w:rsidRDefault="009D11D5" w:rsidP="009D11D5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9D11D5" w:rsidP="009D11D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房屋按揭及持证抵押贷款情况如何？</w:t>
            </w:r>
          </w:p>
          <w:p w:rsidR="009D11D5" w:rsidRPr="00B10B55" w:rsidRDefault="009D11D5" w:rsidP="00B10B55">
            <w:pPr>
              <w:widowControl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疫情期间，我行充分应用互联网技术，进一步减少线下流程节点，提升业务办理时效和客户体验。</w:t>
            </w:r>
          </w:p>
          <w:p w:rsidR="009D11D5" w:rsidRPr="00B10B55" w:rsidRDefault="009D11D5" w:rsidP="00B10B55">
            <w:pPr>
              <w:widowControl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个人房屋按揭及持证抵押贷款新发放1,070亿元，同比增长35%；6月末，个人房屋按揭及持证抵押贷款余额4,567亿元，较上年末增长11%。</w:t>
            </w:r>
          </w:p>
          <w:p w:rsidR="009D11D5" w:rsidRPr="00B10B55" w:rsidRDefault="009D11D5" w:rsidP="00B10B55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E32B71" w:rsidRPr="00B10B55" w:rsidRDefault="00E32B71" w:rsidP="00E32B71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bCs w:val="0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对公贷款投放情况如何</w:t>
            </w:r>
            <w:r w:rsidRPr="00B10B55">
              <w:rPr>
                <w:rFonts w:ascii="楷体_GB2312" w:eastAsia="楷体_GB2312" w:hAnsi="华文细黑" w:hint="eastAsia"/>
                <w:bCs w:val="0"/>
                <w:sz w:val="21"/>
              </w:rPr>
              <w:t>？</w:t>
            </w:r>
          </w:p>
          <w:p w:rsidR="00E32B71" w:rsidRPr="00B10B55" w:rsidRDefault="00E32B71" w:rsidP="00E32B71">
            <w:pPr>
              <w:widowControl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我行全力支持实体经济发展，持续加大对重点行业、战略客户的资产投放。6月末，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企业贷款余额1,090,653亿元，较上年末增长12.9%，其中，交通基建、房地产、医疗健康、电子制造、新能源等重点行业的客户授信余额占比为46.9%。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重点行业客户授信余额占比为46.9%。战略客群贷款余额较上年末增长22.2%，在企业贷款余额中的占比较上年末上升3.6个百分点。</w:t>
            </w:r>
          </w:p>
          <w:p w:rsidR="00E32B71" w:rsidRPr="00B10B55" w:rsidRDefault="00E32B71" w:rsidP="00E32B71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E32B71" w:rsidRPr="00B10B55" w:rsidRDefault="00E32B71" w:rsidP="00E32B71">
            <w:pPr>
              <w:pStyle w:val="3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对公综合金融目前取得了哪些进展？</w:t>
            </w:r>
          </w:p>
          <w:p w:rsidR="00E32B71" w:rsidRPr="00B10B55" w:rsidRDefault="00E32B71" w:rsidP="00E32B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我行作为集团综合金融的发动机，目标是打造生态化综拓，挖掘银行对公渠道价值，成为集团内外部资源的生态连接器。</w:t>
            </w:r>
          </w:p>
          <w:p w:rsidR="00E32B71" w:rsidRPr="00B10B55" w:rsidRDefault="00E32B71" w:rsidP="00E32B71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上半年，银行推保险规模18.96亿元，同比增长</w:t>
            </w:r>
            <w:r w:rsidR="007F408A">
              <w:rPr>
                <w:rFonts w:ascii="楷体_GB2312" w:eastAsia="楷体_GB2312" w:hAnsi="华文细黑" w:hint="eastAsia"/>
                <w:sz w:val="21"/>
                <w:szCs w:val="21"/>
              </w:rPr>
              <w:t>271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%；银行与集团内专业公司合作落地的新增投融资项目规模2,350亿元，同比增长153.8%；通过深化综合金融业务合作带来的团体客户存款日均余额1,268亿元，较上年全年日均余额增长112.5%，其中活期存款日均余额占比60.9%。</w:t>
            </w:r>
          </w:p>
          <w:p w:rsidR="00A62259" w:rsidRPr="00B10B55" w:rsidRDefault="00A62259" w:rsidP="00E32B71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E321C" w:rsidRPr="00B10B55" w:rsidRDefault="003E321C" w:rsidP="003E321C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bCs w:val="0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bCs w:val="0"/>
                <w:sz w:val="21"/>
              </w:rPr>
              <w:t>小微企业贷款情况？</w:t>
            </w:r>
          </w:p>
          <w:p w:rsidR="003E321C" w:rsidRPr="00B10B55" w:rsidRDefault="003E321C" w:rsidP="003E321C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通过数字口袋和小企业数字金融，提升民营企业及小微企业客群整体经营能力，持续加大对民营企业及中小微企业客群的支持力度。6月末，普惠型小微企业贷款余额户数达68.25万户，贷款余额2,371.11亿元，较上年末增长7.73%。</w:t>
            </w:r>
          </w:p>
          <w:p w:rsidR="003E321C" w:rsidRPr="00B10B55" w:rsidRDefault="003E321C" w:rsidP="00E32B71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A62259" w:rsidRPr="00B10B55" w:rsidRDefault="00A62259" w:rsidP="00A62259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资金业务最新战略及</w:t>
            </w:r>
            <w:r w:rsidR="002F08CA" w:rsidRPr="00B10B55">
              <w:rPr>
                <w:rFonts w:ascii="楷体_GB2312" w:eastAsia="楷体_GB2312" w:hAnsi="华文细黑" w:hint="eastAsia"/>
                <w:sz w:val="21"/>
              </w:rPr>
              <w:t>上半年</w:t>
            </w:r>
            <w:r w:rsidRPr="00B10B55">
              <w:rPr>
                <w:rFonts w:ascii="楷体_GB2312" w:eastAsia="楷体_GB2312" w:hAnsi="华文细黑" w:hint="eastAsia"/>
                <w:sz w:val="21"/>
              </w:rPr>
              <w:t>情况？</w:t>
            </w:r>
          </w:p>
          <w:p w:rsidR="00B94CFD" w:rsidRPr="00B10B55" w:rsidRDefault="002F08CA" w:rsidP="00B94CF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="00B94CFD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资金同业业务以“推动新增长、打造新品牌”作为新三年的发展方向，全面推进资金同业业务“3+2+1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”经营策略，</w:t>
            </w:r>
            <w:r w:rsidR="00B94CFD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积极应对疫情挑战，稳经营、保发展。</w:t>
            </w:r>
          </w:p>
          <w:p w:rsidR="00B94CFD" w:rsidRPr="00B10B55" w:rsidRDefault="00F606BC" w:rsidP="00B94CF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</w:t>
            </w:r>
            <w:r w:rsidR="00B94CFD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我行交易净收入46.34亿元，其中利率互换交易量市场份额达到12.7%。利率互换及外汇衍生品代客交易量588.41亿元，同比提升20.4%。</w:t>
            </w:r>
          </w:p>
          <w:p w:rsidR="009D11D5" w:rsidRPr="00B10B55" w:rsidRDefault="009D11D5" w:rsidP="003677A7">
            <w:pPr>
              <w:adjustRightInd w:val="0"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677A7" w:rsidRPr="00B10B55" w:rsidRDefault="003677A7" w:rsidP="003677A7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如何持续优化负债成本？</w:t>
            </w:r>
          </w:p>
          <w:p w:rsidR="003677A7" w:rsidRPr="00B10B55" w:rsidRDefault="003677A7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我行在持续加大对实体经济的信贷投放力度、降低实体经济融资成本的同时，主动优化资产负债结构，引导负债成本下降，净息差水平保持相对稳定。上半年，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净息差2.59%，较去年同期下降3个基点；负债平均成本率2.42%，较去年同期下降27个基点，其中，吸收存款平均成本率2.35%，较去年同期下降14个基点。</w:t>
            </w:r>
          </w:p>
          <w:p w:rsidR="003677A7" w:rsidRPr="00B10B55" w:rsidRDefault="003677A7" w:rsidP="003677A7">
            <w:pPr>
              <w:rPr>
                <w:rFonts w:ascii="楷体_GB2312" w:eastAsia="楷体_GB2312"/>
                <w:sz w:val="21"/>
                <w:szCs w:val="21"/>
                <w:lang w:bidi="he-IL"/>
              </w:rPr>
            </w:pPr>
          </w:p>
          <w:p w:rsidR="003677A7" w:rsidRPr="00B10B55" w:rsidRDefault="003677A7" w:rsidP="003677A7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非息收入增长情况？</w:t>
            </w:r>
          </w:p>
          <w:p w:rsidR="003677A7" w:rsidRPr="00B10B55" w:rsidRDefault="003677A7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实现非利息净收入280.23亿元，同比增长15.8%，主要得益于个人代理基金及信托计划手续费收入、债券投资收益等非利息净收入增长；非利息净收入占比35.78%，同比提升0.12个百分点。</w:t>
            </w:r>
          </w:p>
          <w:p w:rsidR="003677A7" w:rsidRPr="00B10B55" w:rsidRDefault="003677A7" w:rsidP="003677A7">
            <w:pPr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677A7" w:rsidRPr="00B10B55" w:rsidRDefault="003677A7" w:rsidP="003677A7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成本收入比有一定程度的下降，主要原因？</w:t>
            </w:r>
          </w:p>
          <w:p w:rsidR="003677A7" w:rsidRPr="00B10B55" w:rsidRDefault="003677A7" w:rsidP="00B10B5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上半年，进一步强化投产管控，借助科技赋能，加快推进科技成果运用，提升资源使用效益，持续优化投入产出效率，成本收入比27.30%，同比下降2.16个百分点。</w:t>
            </w:r>
          </w:p>
          <w:p w:rsidR="003677A7" w:rsidRPr="00B10B55" w:rsidRDefault="003677A7" w:rsidP="003677A7">
            <w:pPr>
              <w:adjustRightInd w:val="0"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9D11D5" w:rsidRPr="00B10B55" w:rsidRDefault="00B94CFD" w:rsidP="009D11D5">
            <w:pPr>
              <w:pStyle w:val="3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 </w:t>
            </w:r>
            <w:r w:rsidR="009D11D5" w:rsidRPr="00B10B55">
              <w:rPr>
                <w:rFonts w:ascii="楷体_GB2312" w:eastAsia="楷体_GB2312" w:hAnsi="华文细黑" w:hint="eastAsia"/>
                <w:sz w:val="21"/>
              </w:rPr>
              <w:t>近期有无资本补充计划？</w:t>
            </w:r>
          </w:p>
          <w:p w:rsidR="009D11D5" w:rsidRPr="00B10B55" w:rsidRDefault="009D11D5" w:rsidP="009D11D5">
            <w:pPr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6月末，</w:t>
            </w:r>
            <w:r w:rsidR="00414192"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核心一级资本充足率、一级资本充足率及资本充足率分别为8.93%、11.35%及13.96%，均满足监管达标要求。</w:t>
            </w:r>
          </w:p>
          <w:p w:rsidR="00A62259" w:rsidRPr="00B10B55" w:rsidRDefault="00A62259" w:rsidP="00B94CF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A62259" w:rsidRPr="00B10B55" w:rsidRDefault="00A62259" w:rsidP="00A62259">
            <w:pPr>
              <w:pStyle w:val="3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网点布局是否受到疫情影响，目前情况如何？</w:t>
            </w:r>
          </w:p>
          <w:p w:rsidR="00A62259" w:rsidRPr="00B10B55" w:rsidRDefault="00414192" w:rsidP="00B94CF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b/>
                <w:sz w:val="21"/>
                <w:szCs w:val="21"/>
              </w:rPr>
            </w:pPr>
            <w:r>
              <w:rPr>
                <w:rFonts w:ascii="楷体_GB2312" w:eastAsia="楷体_GB2312" w:hAnsi="华文细黑" w:hint="eastAsia"/>
                <w:sz w:val="21"/>
                <w:szCs w:val="21"/>
              </w:rPr>
              <w:lastRenderedPageBreak/>
              <w:t>我行</w:t>
            </w:r>
            <w:r w:rsidR="00B94CFD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持续实施网点智能化建设，合理配置网点布局，截至6月末，</w:t>
            </w:r>
            <w:r>
              <w:rPr>
                <w:rFonts w:ascii="楷体_GB2312" w:eastAsia="楷体_GB2312" w:hAnsi="华文细黑" w:hint="eastAsia"/>
                <w:sz w:val="21"/>
                <w:szCs w:val="21"/>
              </w:rPr>
              <w:t>我行</w:t>
            </w:r>
            <w:r w:rsidR="00B94CFD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有92家分行（含香港分行）、共1,078家营业机构。</w:t>
            </w:r>
          </w:p>
          <w:p w:rsidR="00323CE2" w:rsidRPr="00B10B55" w:rsidRDefault="00323CE2" w:rsidP="00B21955">
            <w:pPr>
              <w:adjustRightInd w:val="0"/>
              <w:snapToGrid w:val="0"/>
              <w:spacing w:afterLines="20" w:after="62"/>
              <w:rPr>
                <w:rFonts w:ascii="楷体_GB2312" w:eastAsia="楷体_GB2312" w:hAnsi="华文细黑"/>
                <w:sz w:val="21"/>
                <w:szCs w:val="21"/>
              </w:rPr>
            </w:pPr>
          </w:p>
          <w:p w:rsidR="00323CE2" w:rsidRPr="00B10B55" w:rsidRDefault="00D92C07" w:rsidP="00B21955">
            <w:pPr>
              <w:pStyle w:val="30"/>
              <w:numPr>
                <w:ilvl w:val="0"/>
                <w:numId w:val="33"/>
              </w:numPr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</w:rPr>
              <w:t>理财子什么时候开业？</w:t>
            </w:r>
          </w:p>
          <w:p w:rsidR="00323CE2" w:rsidRPr="00B10B55" w:rsidRDefault="00323CE2" w:rsidP="00F729BD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华文细黑"/>
                <w:sz w:val="21"/>
                <w:szCs w:val="21"/>
              </w:rPr>
            </w:pP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平安理财已经于8月19</w:t>
            </w:r>
            <w:r w:rsidR="00A211D6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日得到监管的开业批复，基于疫情考虑，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8月28</w:t>
            </w:r>
            <w:r w:rsidR="00D92C07" w:rsidRPr="00B10B55">
              <w:rPr>
                <w:rFonts w:ascii="楷体_GB2312" w:eastAsia="楷体_GB2312" w:hAnsi="华文细黑" w:hint="eastAsia"/>
                <w:sz w:val="21"/>
                <w:szCs w:val="21"/>
              </w:rPr>
              <w:t>日已</w:t>
            </w:r>
            <w:r w:rsidRPr="00B10B55">
              <w:rPr>
                <w:rFonts w:ascii="楷体_GB2312" w:eastAsia="楷体_GB2312" w:hAnsi="华文细黑" w:hint="eastAsia"/>
                <w:sz w:val="21"/>
                <w:szCs w:val="21"/>
              </w:rPr>
              <w:t>内部开业。</w:t>
            </w:r>
          </w:p>
          <w:p w:rsidR="00323CE2" w:rsidRPr="00B10B55" w:rsidRDefault="00323CE2" w:rsidP="00A211D6">
            <w:pPr>
              <w:pStyle w:val="30"/>
              <w:spacing w:beforeLines="0" w:before="0"/>
              <w:outlineLvl w:val="2"/>
              <w:rPr>
                <w:rFonts w:ascii="楷体_GB2312" w:eastAsia="楷体_GB2312" w:hAnsi="华文细黑"/>
                <w:sz w:val="21"/>
              </w:rPr>
            </w:pPr>
          </w:p>
          <w:p w:rsidR="00C03E1A" w:rsidRPr="00B10B55" w:rsidRDefault="00AE02C7" w:rsidP="00B10B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spacing w:afterLines="20" w:after="62"/>
              <w:ind w:firstLineChars="200" w:firstLine="420"/>
              <w:rPr>
                <w:rFonts w:ascii="楷体_GB2312" w:eastAsia="楷体_GB2312" w:hAnsi="Arial"/>
                <w:sz w:val="21"/>
                <w:szCs w:val="21"/>
              </w:rPr>
            </w:pPr>
            <w:r w:rsidRPr="00B10B55">
              <w:rPr>
                <w:rStyle w:val="a8"/>
                <w:rFonts w:ascii="楷体_GB2312" w:eastAsia="楷体_GB2312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B10B55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C21A8C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6350C6" w:rsidP="00A52A70">
            <w:pPr>
              <w:jc w:val="left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A52A70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B94CFD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中报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业绩PPT</w:t>
            </w:r>
            <w:r w:rsidR="006B0B04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（请参见bank.pingan.com投资者</w:t>
            </w:r>
            <w:bookmarkStart w:id="0" w:name="_GoBack"/>
            <w:bookmarkEnd w:id="0"/>
            <w:r w:rsidR="006B0B04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关系-公司推介栏目）</w:t>
            </w:r>
          </w:p>
        </w:tc>
      </w:tr>
      <w:tr w:rsidR="00EE1C10" w:rsidRPr="00B10B55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EE1C10" w:rsidP="00C21A8C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B10B55" w:rsidRDefault="006350C6" w:rsidP="009D11D5">
            <w:pPr>
              <w:jc w:val="center"/>
              <w:rPr>
                <w:rFonts w:ascii="楷体_GB2312" w:eastAsia="楷体_GB2312" w:hAnsi="Arial"/>
                <w:bCs/>
                <w:iCs/>
                <w:color w:val="000000"/>
                <w:sz w:val="21"/>
                <w:szCs w:val="21"/>
              </w:rPr>
            </w:pP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="004F64B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20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BA228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09</w:t>
            </w:r>
            <w:r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BA228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0</w:t>
            </w:r>
            <w:r w:rsidR="009D11D5" w:rsidRPr="00B10B55">
              <w:rPr>
                <w:rFonts w:ascii="楷体_GB2312" w:eastAsia="楷体_GB2312" w:hAnsi="Arial" w:hint="eastAsia"/>
                <w:bCs/>
                <w:iCs/>
                <w:color w:val="000000"/>
                <w:sz w:val="21"/>
                <w:szCs w:val="21"/>
              </w:rPr>
              <w:t>2-03</w:t>
            </w:r>
          </w:p>
        </w:tc>
      </w:tr>
    </w:tbl>
    <w:p w:rsidR="00941F1C" w:rsidRPr="000E05E7" w:rsidRDefault="00941F1C" w:rsidP="00862CF2">
      <w:pPr>
        <w:rPr>
          <w:rFonts w:ascii="楷体_GB2312" w:eastAsia="楷体_GB2312" w:hAnsi="Arial"/>
          <w:szCs w:val="21"/>
        </w:rPr>
      </w:pPr>
    </w:p>
    <w:sectPr w:rsidR="00941F1C" w:rsidRPr="000E05E7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4F" w:rsidRDefault="000A624F" w:rsidP="00D96584">
      <w:r>
        <w:separator/>
      </w:r>
    </w:p>
  </w:endnote>
  <w:endnote w:type="continuationSeparator" w:id="0">
    <w:p w:rsidR="000A624F" w:rsidRDefault="000A624F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2OcuAe">
    <w:altName w:val="Times New Roman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4F" w:rsidRDefault="000A624F" w:rsidP="00D96584">
      <w:r>
        <w:separator/>
      </w:r>
    </w:p>
  </w:footnote>
  <w:footnote w:type="continuationSeparator" w:id="0">
    <w:p w:rsidR="000A624F" w:rsidRDefault="000A624F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07D"/>
    <w:multiLevelType w:val="hybridMultilevel"/>
    <w:tmpl w:val="37B22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1B8A2265"/>
    <w:multiLevelType w:val="hybridMultilevel"/>
    <w:tmpl w:val="90465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D16322"/>
    <w:multiLevelType w:val="hybridMultilevel"/>
    <w:tmpl w:val="FBCEA6A2"/>
    <w:lvl w:ilvl="0" w:tplc="419EDC28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DAB03B3"/>
    <w:multiLevelType w:val="hybridMultilevel"/>
    <w:tmpl w:val="9FDA1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CB286E20">
      <w:start w:val="1"/>
      <w:numFmt w:val="decimal"/>
      <w:lvlText w:val="（%3）"/>
      <w:lvlJc w:val="left"/>
      <w:pPr>
        <w:ind w:left="1800" w:hanging="9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5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7"/>
  </w:num>
  <w:num w:numId="32">
    <w:abstractNumId w:val="4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21C46"/>
    <w:rsid w:val="00043512"/>
    <w:rsid w:val="0005090F"/>
    <w:rsid w:val="00065AA6"/>
    <w:rsid w:val="0006657F"/>
    <w:rsid w:val="00080A64"/>
    <w:rsid w:val="00082013"/>
    <w:rsid w:val="00083D6A"/>
    <w:rsid w:val="000A2DF8"/>
    <w:rsid w:val="000A624F"/>
    <w:rsid w:val="000B3693"/>
    <w:rsid w:val="000B41B6"/>
    <w:rsid w:val="000D607F"/>
    <w:rsid w:val="000E05E7"/>
    <w:rsid w:val="00101C48"/>
    <w:rsid w:val="00130F3C"/>
    <w:rsid w:val="001362E7"/>
    <w:rsid w:val="001434EB"/>
    <w:rsid w:val="001516B8"/>
    <w:rsid w:val="0015535F"/>
    <w:rsid w:val="00157667"/>
    <w:rsid w:val="00161A96"/>
    <w:rsid w:val="00197FFA"/>
    <w:rsid w:val="001B33AC"/>
    <w:rsid w:val="001B72DE"/>
    <w:rsid w:val="001C10A8"/>
    <w:rsid w:val="001C3AC1"/>
    <w:rsid w:val="001C4C8A"/>
    <w:rsid w:val="001D2529"/>
    <w:rsid w:val="001D5474"/>
    <w:rsid w:val="001E2C63"/>
    <w:rsid w:val="001F3B5D"/>
    <w:rsid w:val="00210939"/>
    <w:rsid w:val="00217D1A"/>
    <w:rsid w:val="00227050"/>
    <w:rsid w:val="002515C0"/>
    <w:rsid w:val="002721F3"/>
    <w:rsid w:val="00276DAA"/>
    <w:rsid w:val="002B200E"/>
    <w:rsid w:val="002B4EAA"/>
    <w:rsid w:val="002B5D00"/>
    <w:rsid w:val="002F08CA"/>
    <w:rsid w:val="002F1CBE"/>
    <w:rsid w:val="002F68DD"/>
    <w:rsid w:val="003075A1"/>
    <w:rsid w:val="00323CE2"/>
    <w:rsid w:val="003317E5"/>
    <w:rsid w:val="00335C20"/>
    <w:rsid w:val="0034241B"/>
    <w:rsid w:val="00342D12"/>
    <w:rsid w:val="003450A0"/>
    <w:rsid w:val="00354883"/>
    <w:rsid w:val="003677A7"/>
    <w:rsid w:val="00375010"/>
    <w:rsid w:val="00376989"/>
    <w:rsid w:val="003777D5"/>
    <w:rsid w:val="00381783"/>
    <w:rsid w:val="003B107D"/>
    <w:rsid w:val="003B323B"/>
    <w:rsid w:val="003B5748"/>
    <w:rsid w:val="003B721F"/>
    <w:rsid w:val="003C375D"/>
    <w:rsid w:val="003C42A4"/>
    <w:rsid w:val="003E321C"/>
    <w:rsid w:val="003F144D"/>
    <w:rsid w:val="003F79D6"/>
    <w:rsid w:val="00413B4B"/>
    <w:rsid w:val="00414192"/>
    <w:rsid w:val="0043629D"/>
    <w:rsid w:val="00442349"/>
    <w:rsid w:val="0045059E"/>
    <w:rsid w:val="00461C9C"/>
    <w:rsid w:val="00471475"/>
    <w:rsid w:val="0049405C"/>
    <w:rsid w:val="00497C7E"/>
    <w:rsid w:val="004B47B1"/>
    <w:rsid w:val="004F64B5"/>
    <w:rsid w:val="004F6F03"/>
    <w:rsid w:val="00511122"/>
    <w:rsid w:val="0051123B"/>
    <w:rsid w:val="0051176B"/>
    <w:rsid w:val="00535D6F"/>
    <w:rsid w:val="00541176"/>
    <w:rsid w:val="005425DD"/>
    <w:rsid w:val="005435E0"/>
    <w:rsid w:val="005464C3"/>
    <w:rsid w:val="00550FD9"/>
    <w:rsid w:val="0055309B"/>
    <w:rsid w:val="005B3BAE"/>
    <w:rsid w:val="005C02D2"/>
    <w:rsid w:val="005C32E3"/>
    <w:rsid w:val="005E33CA"/>
    <w:rsid w:val="005E4299"/>
    <w:rsid w:val="00603A26"/>
    <w:rsid w:val="00622C3A"/>
    <w:rsid w:val="00623A26"/>
    <w:rsid w:val="00631CC9"/>
    <w:rsid w:val="0063326E"/>
    <w:rsid w:val="006350C6"/>
    <w:rsid w:val="0068350A"/>
    <w:rsid w:val="00684A13"/>
    <w:rsid w:val="00693E35"/>
    <w:rsid w:val="006A1753"/>
    <w:rsid w:val="006A7B25"/>
    <w:rsid w:val="006B0B04"/>
    <w:rsid w:val="006C5210"/>
    <w:rsid w:val="006D2880"/>
    <w:rsid w:val="006E4D55"/>
    <w:rsid w:val="006F64B3"/>
    <w:rsid w:val="00740C1A"/>
    <w:rsid w:val="00761259"/>
    <w:rsid w:val="00777BC7"/>
    <w:rsid w:val="0079079A"/>
    <w:rsid w:val="00793203"/>
    <w:rsid w:val="007C213F"/>
    <w:rsid w:val="007E3D85"/>
    <w:rsid w:val="007F408A"/>
    <w:rsid w:val="00803207"/>
    <w:rsid w:val="008132CB"/>
    <w:rsid w:val="0082259D"/>
    <w:rsid w:val="008439B9"/>
    <w:rsid w:val="00845B88"/>
    <w:rsid w:val="0084646C"/>
    <w:rsid w:val="00853994"/>
    <w:rsid w:val="00862CF2"/>
    <w:rsid w:val="008633E9"/>
    <w:rsid w:val="008710F9"/>
    <w:rsid w:val="00875F50"/>
    <w:rsid w:val="00880699"/>
    <w:rsid w:val="0089673B"/>
    <w:rsid w:val="008A3FD9"/>
    <w:rsid w:val="008A4E3E"/>
    <w:rsid w:val="008B1616"/>
    <w:rsid w:val="008B3EDE"/>
    <w:rsid w:val="008B60BD"/>
    <w:rsid w:val="008C111F"/>
    <w:rsid w:val="008C63FE"/>
    <w:rsid w:val="008F16A2"/>
    <w:rsid w:val="008F22A3"/>
    <w:rsid w:val="009043C5"/>
    <w:rsid w:val="00921892"/>
    <w:rsid w:val="00930952"/>
    <w:rsid w:val="009345A0"/>
    <w:rsid w:val="0093537D"/>
    <w:rsid w:val="00941F1C"/>
    <w:rsid w:val="00951547"/>
    <w:rsid w:val="009561FA"/>
    <w:rsid w:val="009A4D67"/>
    <w:rsid w:val="009C4894"/>
    <w:rsid w:val="009C5679"/>
    <w:rsid w:val="009D11D5"/>
    <w:rsid w:val="009E293D"/>
    <w:rsid w:val="009E71F2"/>
    <w:rsid w:val="009F13CD"/>
    <w:rsid w:val="00A06B39"/>
    <w:rsid w:val="00A115A1"/>
    <w:rsid w:val="00A12BD3"/>
    <w:rsid w:val="00A140B8"/>
    <w:rsid w:val="00A1521F"/>
    <w:rsid w:val="00A211D6"/>
    <w:rsid w:val="00A42C40"/>
    <w:rsid w:val="00A52A70"/>
    <w:rsid w:val="00A62259"/>
    <w:rsid w:val="00A84DCD"/>
    <w:rsid w:val="00A87A56"/>
    <w:rsid w:val="00A954CC"/>
    <w:rsid w:val="00AA5A95"/>
    <w:rsid w:val="00AB47CE"/>
    <w:rsid w:val="00AB67BB"/>
    <w:rsid w:val="00AD4C28"/>
    <w:rsid w:val="00AE02C7"/>
    <w:rsid w:val="00B10B55"/>
    <w:rsid w:val="00B17ECB"/>
    <w:rsid w:val="00B21955"/>
    <w:rsid w:val="00B24B6B"/>
    <w:rsid w:val="00B31C4E"/>
    <w:rsid w:val="00B454CA"/>
    <w:rsid w:val="00B51E62"/>
    <w:rsid w:val="00B65391"/>
    <w:rsid w:val="00B708D6"/>
    <w:rsid w:val="00B71E2E"/>
    <w:rsid w:val="00B84A84"/>
    <w:rsid w:val="00B84C2E"/>
    <w:rsid w:val="00B94CFD"/>
    <w:rsid w:val="00BA2285"/>
    <w:rsid w:val="00BB741D"/>
    <w:rsid w:val="00BE11BC"/>
    <w:rsid w:val="00BE3743"/>
    <w:rsid w:val="00C03E1A"/>
    <w:rsid w:val="00C12E89"/>
    <w:rsid w:val="00C21A8C"/>
    <w:rsid w:val="00C30CA5"/>
    <w:rsid w:val="00C35BCB"/>
    <w:rsid w:val="00C47D53"/>
    <w:rsid w:val="00C51768"/>
    <w:rsid w:val="00C81677"/>
    <w:rsid w:val="00C87159"/>
    <w:rsid w:val="00CA0689"/>
    <w:rsid w:val="00CA1629"/>
    <w:rsid w:val="00CB4AC9"/>
    <w:rsid w:val="00CC12EA"/>
    <w:rsid w:val="00CF7823"/>
    <w:rsid w:val="00CF7851"/>
    <w:rsid w:val="00D03DFD"/>
    <w:rsid w:val="00D06801"/>
    <w:rsid w:val="00D302B7"/>
    <w:rsid w:val="00D50045"/>
    <w:rsid w:val="00D87038"/>
    <w:rsid w:val="00D91B1B"/>
    <w:rsid w:val="00D926C5"/>
    <w:rsid w:val="00D92BD1"/>
    <w:rsid w:val="00D92C07"/>
    <w:rsid w:val="00D96584"/>
    <w:rsid w:val="00DB35CA"/>
    <w:rsid w:val="00DC7C3C"/>
    <w:rsid w:val="00DD1E65"/>
    <w:rsid w:val="00DD684A"/>
    <w:rsid w:val="00DD7DFF"/>
    <w:rsid w:val="00DE4B3F"/>
    <w:rsid w:val="00E00681"/>
    <w:rsid w:val="00E017C9"/>
    <w:rsid w:val="00E055AC"/>
    <w:rsid w:val="00E1525A"/>
    <w:rsid w:val="00E32B71"/>
    <w:rsid w:val="00E37317"/>
    <w:rsid w:val="00E50C4A"/>
    <w:rsid w:val="00E724E3"/>
    <w:rsid w:val="00E733AB"/>
    <w:rsid w:val="00E97341"/>
    <w:rsid w:val="00EB2B4C"/>
    <w:rsid w:val="00EC6B0A"/>
    <w:rsid w:val="00ED2A52"/>
    <w:rsid w:val="00EE1C10"/>
    <w:rsid w:val="00EE4F68"/>
    <w:rsid w:val="00EE7C01"/>
    <w:rsid w:val="00EF7AE4"/>
    <w:rsid w:val="00F0207E"/>
    <w:rsid w:val="00F0381B"/>
    <w:rsid w:val="00F03DE2"/>
    <w:rsid w:val="00F16F75"/>
    <w:rsid w:val="00F46360"/>
    <w:rsid w:val="00F564FB"/>
    <w:rsid w:val="00F606BC"/>
    <w:rsid w:val="00F628CA"/>
    <w:rsid w:val="00F65E26"/>
    <w:rsid w:val="00F66AD9"/>
    <w:rsid w:val="00F729BD"/>
    <w:rsid w:val="00F730BE"/>
    <w:rsid w:val="00FA1FC9"/>
    <w:rsid w:val="00FA7D26"/>
    <w:rsid w:val="00FC0257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autoRedefine/>
    <w:uiPriority w:val="99"/>
    <w:qFormat/>
    <w:rsid w:val="00C21A8C"/>
    <w:pPr>
      <w:widowControl/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  <w:style w:type="paragraph" w:styleId="aa">
    <w:name w:val="footnote text"/>
    <w:basedOn w:val="a"/>
    <w:link w:val="Char2"/>
    <w:uiPriority w:val="99"/>
    <w:rsid w:val="00A42C40"/>
    <w:pPr>
      <w:autoSpaceDE w:val="0"/>
      <w:autoSpaceDN w:val="0"/>
      <w:adjustRightInd w:val="0"/>
      <w:jc w:val="left"/>
      <w:textAlignment w:val="baseline"/>
    </w:pPr>
    <w:rPr>
      <w:rFonts w:ascii="2OcuAe" w:eastAsia="2OcuAe" w:cs="2OcuAe"/>
      <w:kern w:val="0"/>
      <w:sz w:val="20"/>
      <w:szCs w:val="20"/>
    </w:rPr>
  </w:style>
  <w:style w:type="character" w:customStyle="1" w:styleId="Char2">
    <w:name w:val="脚注文本 Char"/>
    <w:basedOn w:val="a0"/>
    <w:link w:val="aa"/>
    <w:uiPriority w:val="99"/>
    <w:rsid w:val="00A42C40"/>
    <w:rPr>
      <w:rFonts w:ascii="2OcuAe" w:eastAsia="2OcuAe" w:hAnsi="Times New Roman" w:cs="2OcuAe"/>
      <w:kern w:val="0"/>
      <w:sz w:val="20"/>
      <w:szCs w:val="20"/>
    </w:rPr>
  </w:style>
  <w:style w:type="character" w:styleId="ab">
    <w:name w:val="footnote reference"/>
    <w:basedOn w:val="a0"/>
    <w:uiPriority w:val="99"/>
    <w:unhideWhenUsed/>
    <w:rsid w:val="00A42C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autoRedefine/>
    <w:uiPriority w:val="99"/>
    <w:qFormat/>
    <w:rsid w:val="00C21A8C"/>
    <w:pPr>
      <w:widowControl/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1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2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3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4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  <w:style w:type="paragraph" w:styleId="aa">
    <w:name w:val="footnote text"/>
    <w:basedOn w:val="a"/>
    <w:link w:val="Char2"/>
    <w:uiPriority w:val="99"/>
    <w:rsid w:val="00A42C40"/>
    <w:pPr>
      <w:autoSpaceDE w:val="0"/>
      <w:autoSpaceDN w:val="0"/>
      <w:adjustRightInd w:val="0"/>
      <w:jc w:val="left"/>
      <w:textAlignment w:val="baseline"/>
    </w:pPr>
    <w:rPr>
      <w:rFonts w:ascii="2OcuAe" w:eastAsia="2OcuAe" w:cs="2OcuAe"/>
      <w:kern w:val="0"/>
      <w:sz w:val="20"/>
      <w:szCs w:val="20"/>
    </w:rPr>
  </w:style>
  <w:style w:type="character" w:customStyle="1" w:styleId="Char2">
    <w:name w:val="脚注文本 Char"/>
    <w:basedOn w:val="a0"/>
    <w:link w:val="aa"/>
    <w:uiPriority w:val="99"/>
    <w:rsid w:val="00A42C40"/>
    <w:rPr>
      <w:rFonts w:ascii="2OcuAe" w:eastAsia="2OcuAe" w:hAnsi="Times New Roman" w:cs="2OcuAe"/>
      <w:kern w:val="0"/>
      <w:sz w:val="20"/>
      <w:szCs w:val="20"/>
    </w:rPr>
  </w:style>
  <w:style w:type="character" w:styleId="ab">
    <w:name w:val="footnote reference"/>
    <w:basedOn w:val="a0"/>
    <w:uiPriority w:val="99"/>
    <w:unhideWhenUsed/>
    <w:rsid w:val="00A4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514</Words>
  <Characters>2933</Characters>
  <Application>Microsoft Office Word</Application>
  <DocSecurity>0</DocSecurity>
  <Lines>24</Lines>
  <Paragraphs>6</Paragraphs>
  <ScaleCrop>false</ScaleCrop>
  <Company>sdb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PINGAN</cp:lastModifiedBy>
  <cp:revision>7</cp:revision>
  <dcterms:created xsi:type="dcterms:W3CDTF">2020-10-16T02:53:00Z</dcterms:created>
  <dcterms:modified xsi:type="dcterms:W3CDTF">2020-10-16T06:32:00Z</dcterms:modified>
</cp:coreProperties>
</file>