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E5618B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E5618B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E5618B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E5618B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E3557B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E3557B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197EE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691478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197EEC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D63DF1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197EEC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197EEC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FF0263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197EEC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197EEC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197EEC" w:rsidRDefault="00691478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197EEC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197EEC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197EEC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691478" w:rsidP="0085399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标普评级</w:t>
            </w:r>
          </w:p>
        </w:tc>
      </w:tr>
      <w:tr w:rsidR="00EE1C10" w:rsidRPr="00197EEC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43629D" w:rsidP="00691478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691478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691478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22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197EEC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197EEC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197EEC" w:rsidP="00197EEC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项有志</w:t>
            </w:r>
            <w:r w:rsidR="00ED2A52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197EE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197EEC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197EEC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C03E1A" w:rsidRPr="00197EEC" w:rsidRDefault="00C03E1A" w:rsidP="00E43152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557B" w:rsidRPr="00197EEC" w:rsidRDefault="00197EEC" w:rsidP="00E3557B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请问贵司</w:t>
            </w:r>
            <w:r w:rsidR="00E27D38" w:rsidRPr="00197EEC">
              <w:rPr>
                <w:rFonts w:ascii="楷体_GB2312" w:eastAsia="楷体_GB2312" w:hint="eastAsia"/>
                <w:sz w:val="21"/>
              </w:rPr>
              <w:t>战略方向和经营策略</w:t>
            </w:r>
            <w:r w:rsidR="00E3557B" w:rsidRPr="00197EEC">
              <w:rPr>
                <w:rFonts w:ascii="楷体_GB2312" w:eastAsia="楷体_GB2312" w:hint="eastAsia"/>
                <w:sz w:val="21"/>
              </w:rPr>
              <w:t>？</w:t>
            </w:r>
          </w:p>
          <w:p w:rsidR="00E3557B" w:rsidRPr="00197EEC" w:rsidRDefault="00CA4BDD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E27D38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以打造“中国最卓越、全球领先的智能化零售银行”为战略目标，坚持“科技引领、零售突破、对公做精”十二字策略方针。2020年是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E27D38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新三年战略举措的起步之年，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="00E27D38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分别构建零售业务、对公业务、资金同业业务“3+2+1”经营策略，实现业务均衡发展，并着力打造“数字银行、生态银行、平台银行”三张名片，优化资产负债结构，夯实转型升级基础，推动发展迈向新台阶。</w:t>
            </w:r>
          </w:p>
          <w:p w:rsidR="00E3557B" w:rsidRPr="00197EEC" w:rsidRDefault="00E3557B" w:rsidP="00E3557B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557B" w:rsidRPr="00197EEC" w:rsidRDefault="00E27D38" w:rsidP="00E3557B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疫情下贵行资产质量有何变化</w:t>
            </w:r>
            <w:r w:rsidR="00E3557B" w:rsidRPr="00197EEC">
              <w:rPr>
                <w:rFonts w:ascii="楷体_GB2312" w:eastAsia="楷体_GB2312" w:hint="eastAsia"/>
                <w:sz w:val="21"/>
              </w:rPr>
              <w:t>？</w:t>
            </w:r>
          </w:p>
          <w:p w:rsidR="00E27D38" w:rsidRPr="00197EEC" w:rsidRDefault="00E27D38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2020年上半年，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全力支持疫情防控工作和金融市场稳定，提供差异化应急金融服务，帮助受疫情影响的企业和个人渡过难关。同时，持续调整优化业务结构，切实支持中小微企业发展，并加大不良资产核销和清收处置力度，整体资产质量风险可控。</w:t>
            </w:r>
          </w:p>
          <w:p w:rsidR="00EE4C5F" w:rsidRPr="00197EEC" w:rsidRDefault="00E27D38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不良贷款率为1.65%，与上年末持平；关注贷款、逾期60天以上贷款及逾期90天以上贷款的占比分别为1.86%、1.55%和1.33%，较上年末分别下降0.15个百分点、0.03个百分点和0.02个百分点；逾期60天及逾期90天以上贷款偏离度均低于1；拨备覆盖率、逾期60天以上贷款拨备覆盖率及逾期90天以上贷款拨备覆盖率分别为214.93%、228.44%和267.01%，较上年末分别上升31.81个百分点、38.10个百分点和44.12个百分点。</w:t>
            </w:r>
          </w:p>
          <w:p w:rsidR="00197EEC" w:rsidRDefault="00197EEC" w:rsidP="00197EEC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CA4BDD" w:rsidRDefault="00CA4BDD" w:rsidP="00197EEC">
            <w:pPr>
              <w:pStyle w:val="3"/>
              <w:outlineLvl w:val="2"/>
              <w:rPr>
                <w:rFonts w:ascii="楷体_GB2312" w:eastAsia="楷体_GB2312"/>
                <w:bCs w:val="0"/>
                <w:color w:val="000000" w:themeColor="text1"/>
                <w:sz w:val="21"/>
              </w:rPr>
            </w:pPr>
            <w:r>
              <w:rPr>
                <w:rFonts w:ascii="楷体_GB2312" w:eastAsia="楷体_GB2312" w:hint="eastAsia"/>
                <w:bCs w:val="0"/>
                <w:color w:val="000000" w:themeColor="text1"/>
                <w:sz w:val="21"/>
              </w:rPr>
              <w:t>上半年清收成果如何？</w:t>
            </w:r>
          </w:p>
          <w:p w:rsidR="00CA4BDD" w:rsidRDefault="00CA4BDD" w:rsidP="00CA4BDD">
            <w:pPr>
              <w:snapToGrid w:val="0"/>
              <w:spacing w:afterLines="20" w:after="62"/>
              <w:ind w:firstLineChars="200" w:firstLine="420"/>
              <w:rPr>
                <w:lang w:bidi="he-IL"/>
              </w:rPr>
            </w:pPr>
            <w:r w:rsidRPr="00CA4BDD">
              <w:rPr>
                <w:rFonts w:ascii="楷体_GB2312" w:eastAsia="楷体_GB2312" w:hAnsi="华文细黑" w:hint="eastAsia"/>
                <w:sz w:val="21"/>
                <w:szCs w:val="21"/>
              </w:rPr>
              <w:t>通过特殊资产管理事业部，发挥问题资产专业化处置优势，通过对清收工作预判、项目过程督导、经营结果检视，形成事前有计划、事中有控制、事后有检视的精细化清收管理，加大问题资产整体处置力度，有效提升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A4BDD">
              <w:rPr>
                <w:rFonts w:ascii="楷体_GB2312" w:eastAsia="楷体_GB2312" w:hAnsi="华文细黑" w:hint="eastAsia"/>
                <w:sz w:val="21"/>
                <w:szCs w:val="21"/>
              </w:rPr>
              <w:t>存量问题资产处置速度。2020年上半年，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CA4BDD">
              <w:rPr>
                <w:rFonts w:ascii="楷体_GB2312" w:eastAsia="楷体_GB2312" w:hAnsi="华文细黑" w:hint="eastAsia"/>
                <w:sz w:val="21"/>
                <w:szCs w:val="21"/>
              </w:rPr>
              <w:t>收回不良资产总额141.09亿元，同比增长2.6%；其中特殊资产管理事业部收回不良资产总额98.15亿元，占全部不良资产回收总额的69.6%。</w:t>
            </w:r>
          </w:p>
          <w:p w:rsidR="00CA4BDD" w:rsidRPr="00CA4BDD" w:rsidRDefault="00CA4BDD" w:rsidP="00CA4BDD">
            <w:pPr>
              <w:rPr>
                <w:lang w:bidi="he-IL"/>
              </w:rPr>
            </w:pPr>
          </w:p>
          <w:p w:rsidR="00197EEC" w:rsidRPr="00197EEC" w:rsidRDefault="00197EEC" w:rsidP="00197EEC">
            <w:pPr>
              <w:pStyle w:val="3"/>
              <w:outlineLvl w:val="2"/>
              <w:rPr>
                <w:rFonts w:ascii="楷体_GB2312" w:eastAsia="楷体_GB2312"/>
                <w:bCs w:val="0"/>
                <w:color w:val="000000" w:themeColor="text1"/>
                <w:sz w:val="21"/>
              </w:rPr>
            </w:pPr>
            <w:r w:rsidRPr="00197EEC">
              <w:rPr>
                <w:rFonts w:ascii="楷体_GB2312" w:eastAsia="楷体_GB2312" w:hint="eastAsia"/>
                <w:bCs w:val="0"/>
                <w:color w:val="000000" w:themeColor="text1"/>
                <w:sz w:val="21"/>
              </w:rPr>
              <w:lastRenderedPageBreak/>
              <w:t>疫情期间零售资产质量表现如何？</w:t>
            </w:r>
          </w:p>
          <w:p w:rsidR="00197EEC" w:rsidRPr="00197EEC" w:rsidRDefault="00197EEC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2020年初疫情发生后，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个人贷款新增逾期有所上升，但3月以来催收部门复工率已迅速恢复， 3月以来的新增逾期已低于2月，但仍略高于疫情前水平。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预计未来随着宏观经济景气度提升，居民就业和消费逐步恢复，下半年开始零售月新增不良贷款将呈现回落趋势，预计零售资产的风险水平也将逐步回归正常。</w:t>
            </w:r>
          </w:p>
          <w:p w:rsidR="00197EEC" w:rsidRPr="00197EEC" w:rsidRDefault="00197EEC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6月末，我行个人贷款不良率1.56%，较上年末上升0.37个百分点。其中，信用卡应收账款不良率2.35%；“新一贷”贷款不良率1.84%；汽车金融贷款不良率为1.40%。</w:t>
            </w:r>
          </w:p>
          <w:p w:rsidR="00197EEC" w:rsidRPr="00197EEC" w:rsidRDefault="00197EEC" w:rsidP="00197EEC">
            <w:pPr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27D38" w:rsidRPr="00197EEC" w:rsidRDefault="00E27D38" w:rsidP="00E27D38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疫情对零售信贷需求和结构影响？</w:t>
            </w:r>
          </w:p>
          <w:p w:rsidR="00197EEC" w:rsidRPr="00197EEC" w:rsidRDefault="00197EEC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6月末，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个人贷款余额14,179亿元，较上年末增长4.5%。为尽快恢复到疫情前业务水平，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持续强化线上化运营能力，加强消费金融业务与私行财富业务的联动；同时，加大较低风险的个人房屋按揭及持证抵押贷款以及创新产品的投放。</w:t>
            </w:r>
          </w:p>
          <w:p w:rsidR="00F216AA" w:rsidRPr="00197EEC" w:rsidRDefault="00087E7C" w:rsidP="00087E7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087E7C">
              <w:rPr>
                <w:rFonts w:ascii="楷体_GB2312" w:eastAsia="楷体_GB2312" w:hAnsi="华文细黑" w:hint="eastAsia"/>
                <w:sz w:val="21"/>
                <w:szCs w:val="21"/>
              </w:rPr>
              <w:t>2020年6月末</w:t>
            </w:r>
            <w:r>
              <w:rPr>
                <w:rFonts w:ascii="楷体_GB2312" w:eastAsia="楷体_GB2312" w:hAnsi="华文细黑" w:hint="eastAsia"/>
                <w:sz w:val="21"/>
                <w:szCs w:val="21"/>
              </w:rPr>
              <w:t>，</w:t>
            </w:r>
            <w:r w:rsidR="00197EEC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整体个人贷款业务增长良好：信用卡贷款余额5,125.04亿元；“新一贷”余额1,479.83亿元；汽融贷款余额2,036.42亿元；个人房屋按揭及持证抵押贷款余额4,567.09亿元；占个人贷款的比例提升至32.2%，业务结构及客群结构持续优化。</w:t>
            </w:r>
          </w:p>
          <w:p w:rsidR="00197EEC" w:rsidRPr="00197EEC" w:rsidRDefault="00197EEC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F216AA" w:rsidRPr="00197EEC" w:rsidRDefault="00F216AA" w:rsidP="00F216AA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提高信用卡市场份额的策略有哪些？</w:t>
            </w:r>
          </w:p>
          <w:p w:rsidR="00197EEC" w:rsidRPr="00197EEC" w:rsidRDefault="00F216AA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 w:rsidR="00197EEC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我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行依托金融科技优势持续深入打造“快、易、好”的极致客户体验，不断完善一站式综合金融服务APP</w:t>
            </w:r>
            <w:r w:rsidR="00197EEC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平台；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强化科技赋能，持续升级业务与服务体系。</w:t>
            </w:r>
          </w:p>
          <w:p w:rsidR="00F216AA" w:rsidRPr="00197EEC" w:rsidRDefault="00197EEC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此外，我</w:t>
            </w:r>
            <w:r w:rsidR="00F216AA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行持续推动智能科技在客户服务方面的应用，优化AI智能语音技术并渗透到不同服务场景，其中智能语音月外呼规模已达1,200万通，相当于人工坐席约3,000人的工作量。</w:t>
            </w:r>
          </w:p>
          <w:p w:rsidR="00E3557B" w:rsidRPr="00197EEC" w:rsidRDefault="00E3557B" w:rsidP="00D63DF1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557B" w:rsidRPr="00197EEC" w:rsidRDefault="00E27D38" w:rsidP="00E3557B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AI BANK</w:t>
            </w:r>
            <w:r w:rsidR="00197EEC" w:rsidRPr="00197EEC">
              <w:rPr>
                <w:rFonts w:ascii="楷体_GB2312" w:eastAsia="楷体_GB2312" w:hint="eastAsia"/>
                <w:sz w:val="21"/>
              </w:rPr>
              <w:t>建设进度及对业务</w:t>
            </w:r>
            <w:r w:rsidRPr="00197EEC">
              <w:rPr>
                <w:rFonts w:ascii="楷体_GB2312" w:eastAsia="楷体_GB2312" w:hint="eastAsia"/>
                <w:sz w:val="21"/>
              </w:rPr>
              <w:t>赋能？</w:t>
            </w:r>
          </w:p>
          <w:p w:rsidR="00E27D38" w:rsidRPr="00197EEC" w:rsidRDefault="00197EEC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我</w:t>
            </w:r>
            <w:r w:rsidR="00E27D38" w:rsidRPr="00197EEC">
              <w:rPr>
                <w:rFonts w:ascii="楷体_GB2312" w:eastAsia="楷体_GB2312" w:hAnsi="Arial" w:hint="eastAsia"/>
                <w:sz w:val="21"/>
                <w:szCs w:val="21"/>
              </w:rPr>
              <w:t>行积极推进零售开放银行建设，现阶段主要聚焦“能力开放”目标，打造开放银行平台，</w:t>
            </w:r>
            <w:r w:rsidR="00E27D38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助力生态化发展</w:t>
            </w:r>
            <w:r w:rsidR="00E27D38" w:rsidRPr="00197EEC">
              <w:rPr>
                <w:rFonts w:ascii="楷体_GB2312" w:eastAsia="楷体_GB2312" w:hAnsi="Arial" w:hint="eastAsia"/>
                <w:sz w:val="21"/>
                <w:szCs w:val="21"/>
              </w:rPr>
              <w:t>。</w:t>
            </w:r>
            <w:r w:rsidR="00CA4BDD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="00E27D38" w:rsidRPr="00197EEC">
              <w:rPr>
                <w:rFonts w:ascii="楷体_GB2312" w:eastAsia="楷体_GB2312" w:hAnsi="Arial" w:hint="eastAsia"/>
                <w:sz w:val="21"/>
                <w:szCs w:val="21"/>
              </w:rPr>
              <w:t>零售开放银行1.0平台于3月底投产，已发布116个产品，573个API（应用程序编程接口）和H5接口，覆盖了账户、理财、支付、保证金、贷款等产品能力。</w:t>
            </w:r>
          </w:p>
          <w:p w:rsidR="00E3557B" w:rsidRPr="00197EEC" w:rsidRDefault="00E27D38" w:rsidP="00E27D38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在AI Bank建设上，</w:t>
            </w:r>
            <w:r w:rsidR="00CA4BDD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零售业务持续推动全面AI化，通过加强AI中台能力建设，助力全行经营模式升级和全渠道一致化用户体验打造，在夯实数据化经营能力的同时提升管理效能。截至6月末，</w:t>
            </w:r>
            <w:r w:rsidR="00CA4BDD">
              <w:rPr>
                <w:rFonts w:ascii="楷体_GB2312" w:eastAsia="楷体_GB2312" w:hAnsi="Arial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构建了完善的中台运营和AI中台管理平台，赋能了203个前台场景上线，共发布159项中台能力，且多项中台能力实现对外输出。</w:t>
            </w:r>
          </w:p>
          <w:p w:rsidR="00E27D38" w:rsidRPr="00197EEC" w:rsidRDefault="00E27D38" w:rsidP="00D63DF1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3557B" w:rsidRPr="00197EEC" w:rsidRDefault="00E27D38" w:rsidP="00E3557B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对公“3+2+1”新战略是什么？</w:t>
            </w:r>
          </w:p>
          <w:p w:rsidR="00E27D38" w:rsidRPr="00197EEC" w:rsidRDefault="00E27D38" w:rsidP="00E27D38">
            <w:pPr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对公业务以客户为中心，全面构建对公业务“AUM+LUM+平台”经营模式，进一步做精做强。坚持践行对公业务“3+2+1”经营策略，聚焦“行业银行、交易银行、综合金融”3大业务支柱，</w:t>
            </w:r>
            <w:r w:rsidRPr="00197EEC">
              <w:rPr>
                <w:rFonts w:ascii="楷体_GB2312" w:eastAsia="楷体_GB2312" w:hAnsi="Arial" w:hint="eastAsia"/>
                <w:sz w:val="21"/>
                <w:szCs w:val="21"/>
              </w:rPr>
              <w:t>重点发力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“战略客群、小微客群”2大核心客群，坚守资产质量“1条生命线”不动摇，并深度借助人工智能、区块链、物联网等科技手段驱动业务创新，全力支持全行业务均衡发展及零售转型战略落地实施。</w:t>
            </w:r>
          </w:p>
          <w:p w:rsidR="00E3557B" w:rsidRPr="00197EEC" w:rsidRDefault="00E3557B" w:rsidP="00D63DF1">
            <w:pPr>
              <w:widowControl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E27D38" w:rsidRPr="00197EEC" w:rsidRDefault="00E27D38" w:rsidP="00D63DF1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疫情下资金同业的新交易表现如何？</w:t>
            </w:r>
          </w:p>
          <w:p w:rsidR="00E27D38" w:rsidRPr="00197EEC" w:rsidRDefault="00E27D38" w:rsidP="00E27D38">
            <w:pPr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在复杂的市场环境与剧烈的市场变动中，我行</w:t>
            </w:r>
            <w:r w:rsidR="00197EEC">
              <w:rPr>
                <w:rFonts w:ascii="楷体_GB2312" w:eastAsia="楷体_GB2312" w:hAnsi="华文细黑" w:hint="eastAsia"/>
                <w:sz w:val="21"/>
                <w:szCs w:val="21"/>
              </w:rPr>
              <w:t>拥有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丰富产品类型、优化客户体验、强化研究分析、升级交易技术</w:t>
            </w:r>
            <w:r w:rsidR="00197EEC">
              <w:rPr>
                <w:rFonts w:ascii="楷体_GB2312" w:eastAsia="楷体_GB2312" w:hAnsi="华文细黑" w:hint="eastAsia"/>
                <w:sz w:val="21"/>
                <w:szCs w:val="21"/>
              </w:rPr>
              <w:t>等手段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，</w:t>
            </w:r>
            <w:r w:rsidR="00197EEC">
              <w:rPr>
                <w:rFonts w:ascii="楷体_GB2312" w:eastAsia="楷体_GB2312" w:hAnsi="华文细黑" w:hint="eastAsia"/>
                <w:sz w:val="21"/>
                <w:szCs w:val="21"/>
              </w:rPr>
              <w:t>并对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市场交易量激增</w:t>
            </w:r>
            <w:r w:rsidR="00197EEC">
              <w:rPr>
                <w:rFonts w:ascii="楷体_GB2312" w:eastAsia="楷体_GB2312" w:hAnsi="华文细黑" w:hint="eastAsia"/>
                <w:sz w:val="21"/>
                <w:szCs w:val="21"/>
              </w:rPr>
              <w:t>、波动率飙升的情况实施风险实时监控，保障业务稳健运营；同时，为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企业提供更优质的FICC</w:t>
            </w:r>
            <w:r w:rsidR="00F41E5A" w:rsidRPr="00197EEC">
              <w:rPr>
                <w:rFonts w:ascii="楷体_GB2312" w:eastAsia="楷体_GB2312" w:hAnsi="华文细黑" w:hint="eastAsia"/>
                <w:sz w:val="21"/>
                <w:szCs w:val="21"/>
              </w:rPr>
              <w:t>避险交易服务，做企业金融市场风险对冲的主交易服务商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。</w:t>
            </w:r>
          </w:p>
          <w:p w:rsidR="00E27D38" w:rsidRPr="00197EEC" w:rsidRDefault="00E27D38" w:rsidP="00E27D38">
            <w:pPr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2020年上半年，金融市场业务继续保持健康增长，实现交易净收入46.34亿元。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继续积极开展FICC做市交易业务，其中利率互换交易量市场份额达到12.7%，黄金交易量市场份额为5.6%，债券交易量市场份额为1.3%；在外汇交易中心公布的2020年上半年衍生品做市排名中，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继续保持市场领先地位。利率互换及外汇衍生品代客交易量588.41亿元，同比提升20.4%。</w:t>
            </w:r>
          </w:p>
          <w:p w:rsidR="00E27D38" w:rsidRDefault="00E27D38" w:rsidP="00E27D38">
            <w:pPr>
              <w:rPr>
                <w:rFonts w:ascii="楷体_GB2312" w:eastAsia="楷体_GB2312"/>
                <w:sz w:val="21"/>
                <w:szCs w:val="21"/>
                <w:lang w:bidi="he-IL"/>
              </w:rPr>
            </w:pPr>
          </w:p>
          <w:p w:rsidR="00197EEC" w:rsidRPr="00197EEC" w:rsidRDefault="00197EEC" w:rsidP="00197EEC">
            <w:pPr>
              <w:pStyle w:val="3"/>
              <w:outlineLvl w:val="2"/>
              <w:rPr>
                <w:rFonts w:ascii="楷体_GB2312" w:eastAsia="楷体_GB2312"/>
                <w:sz w:val="21"/>
              </w:rPr>
            </w:pPr>
            <w:r w:rsidRPr="00197EEC">
              <w:rPr>
                <w:rFonts w:ascii="楷体_GB2312" w:eastAsia="楷体_GB2312" w:hint="eastAsia"/>
                <w:sz w:val="21"/>
              </w:rPr>
              <w:t>非息收入增长情况？</w:t>
            </w:r>
          </w:p>
          <w:p w:rsidR="00197EEC" w:rsidRDefault="00197EEC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上半年，</w:t>
            </w:r>
            <w:r w:rsidR="00CA4BDD">
              <w:rPr>
                <w:rFonts w:ascii="楷体_GB2312" w:eastAsia="楷体_GB2312" w:hAnsi="华文细黑" w:hint="eastAsia"/>
                <w:sz w:val="21"/>
                <w:szCs w:val="21"/>
              </w:rPr>
              <w:t>我行</w:t>
            </w:r>
            <w:r w:rsidRPr="00197EEC">
              <w:rPr>
                <w:rFonts w:ascii="楷体_GB2312" w:eastAsia="楷体_GB2312" w:hAnsi="华文细黑" w:hint="eastAsia"/>
                <w:sz w:val="21"/>
                <w:szCs w:val="21"/>
              </w:rPr>
              <w:t>实现非利息净收入280.23亿元，同比增长15.8%，主要得益于个人代理基金及信托计划手续费收入、债券投资收益等非利息净收入增长；非利息净收入占比35.78%，同比提升0.12个百分点。</w:t>
            </w:r>
          </w:p>
          <w:p w:rsidR="00CA4BDD" w:rsidRPr="00197EEC" w:rsidRDefault="00CA4BDD" w:rsidP="00197EEC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CA4BDD" w:rsidRDefault="00CA4BDD" w:rsidP="00CA4BDD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utlineLvl w:val="2"/>
              <w:rPr>
                <w:rFonts w:ascii="楷体_GB2312" w:eastAsia="楷体_GB2312" w:hAnsi="Arial"/>
                <w:sz w:val="21"/>
              </w:rPr>
            </w:pPr>
            <w:r>
              <w:rPr>
                <w:rFonts w:ascii="楷体_GB2312" w:eastAsia="楷体_GB2312" w:hAnsi="Arial" w:hint="eastAsia"/>
                <w:sz w:val="21"/>
              </w:rPr>
              <w:t>未来如何降低存款成本？</w:t>
            </w:r>
          </w:p>
          <w:p w:rsidR="00197EEC" w:rsidRDefault="00CA4BDD" w:rsidP="00CA4BDD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/>
                <w:sz w:val="21"/>
                <w:szCs w:val="21"/>
                <w:lang w:bidi="he-IL"/>
              </w:rPr>
            </w:pPr>
            <w:r w:rsidRPr="00CA4BDD">
              <w:rPr>
                <w:rFonts w:ascii="楷体_GB2312" w:eastAsia="楷体_GB2312" w:hint="eastAsia"/>
                <w:sz w:val="21"/>
                <w:szCs w:val="21"/>
                <w:lang w:bidi="he-IL"/>
              </w:rPr>
              <w:t>2020年上半年，</w:t>
            </w:r>
            <w:r>
              <w:rPr>
                <w:rFonts w:ascii="楷体_GB2312" w:eastAsia="楷体_GB2312" w:hint="eastAsia"/>
                <w:sz w:val="21"/>
                <w:szCs w:val="21"/>
                <w:lang w:bidi="he-IL"/>
              </w:rPr>
              <w:t>我行</w:t>
            </w:r>
            <w:r w:rsidRPr="00CA4BDD">
              <w:rPr>
                <w:rFonts w:ascii="楷体_GB2312" w:eastAsia="楷体_GB2312" w:hint="eastAsia"/>
                <w:sz w:val="21"/>
                <w:szCs w:val="21"/>
                <w:lang w:bidi="he-IL"/>
              </w:rPr>
              <w:t>存款平均成本率2.35%，较去年同期下降14个基点。受新冠肺炎疫情影响，实体经济面临下行压力，贷款需求下降，随着LPR多次下调，银行资产收益率随之下降，息差承压。为积极应对市场变化，贯彻落实降低实体经济融资成本要求，</w:t>
            </w:r>
            <w:r>
              <w:rPr>
                <w:rFonts w:ascii="楷体_GB2312" w:eastAsia="楷体_GB2312" w:hint="eastAsia"/>
                <w:sz w:val="21"/>
                <w:szCs w:val="21"/>
                <w:lang w:bidi="he-IL"/>
              </w:rPr>
              <w:t>我行</w:t>
            </w:r>
            <w:r w:rsidRPr="00CA4BDD">
              <w:rPr>
                <w:rFonts w:ascii="楷体_GB2312" w:eastAsia="楷体_GB2312" w:hint="eastAsia"/>
                <w:sz w:val="21"/>
                <w:szCs w:val="21"/>
                <w:lang w:bidi="he-IL"/>
              </w:rPr>
              <w:t>启动了新三年战略，推动公司、零售业务转型，重塑资产负债结构，将负债成本管控提升至全行战略高度。上半年，</w:t>
            </w:r>
            <w:r>
              <w:rPr>
                <w:rFonts w:ascii="楷体_GB2312" w:eastAsia="楷体_GB2312" w:hint="eastAsia"/>
                <w:sz w:val="21"/>
                <w:szCs w:val="21"/>
                <w:lang w:bidi="he-IL"/>
              </w:rPr>
              <w:t>我行</w:t>
            </w:r>
            <w:r w:rsidRPr="00CA4BDD">
              <w:rPr>
                <w:rFonts w:ascii="楷体_GB2312" w:eastAsia="楷体_GB2312" w:hint="eastAsia"/>
                <w:sz w:val="21"/>
                <w:szCs w:val="21"/>
                <w:lang w:bidi="he-IL"/>
              </w:rPr>
              <w:t>按新三年战略降低负债成本要求，</w:t>
            </w:r>
            <w:r w:rsidRPr="00CA4BDD">
              <w:rPr>
                <w:rFonts w:ascii="楷体_GB2312" w:eastAsia="楷体_GB2312" w:hAnsi="华文细黑" w:hint="eastAsia"/>
                <w:sz w:val="21"/>
                <w:szCs w:val="21"/>
              </w:rPr>
              <w:t>一是优化考核体系</w:t>
            </w:r>
            <w:r w:rsidRPr="00CA4BDD">
              <w:rPr>
                <w:rFonts w:ascii="楷体_GB2312" w:eastAsia="楷体_GB2312" w:hint="eastAsia"/>
                <w:sz w:val="21"/>
                <w:szCs w:val="21"/>
                <w:lang w:bidi="he-IL"/>
              </w:rPr>
              <w:t>，增加付息率考核，降低存款规模考核权重，引导经营单位强化量价平衡；二是灵活调整内部转移价格、产品定价，主动压降协议存款、结构性存款等高成本存款；三是发挥“金融+科技”优势，拓展低成本存款。</w:t>
            </w:r>
          </w:p>
          <w:p w:rsidR="00CA4BDD" w:rsidRPr="00197EEC" w:rsidRDefault="00CA4BDD" w:rsidP="00E27D38">
            <w:pPr>
              <w:rPr>
                <w:rFonts w:ascii="楷体_GB2312" w:eastAsia="楷体_GB2312"/>
                <w:sz w:val="21"/>
                <w:szCs w:val="21"/>
                <w:lang w:bidi="he-IL"/>
              </w:rPr>
            </w:pPr>
            <w:bookmarkStart w:id="0" w:name="_GoBack"/>
            <w:bookmarkEnd w:id="0"/>
          </w:p>
          <w:p w:rsidR="00E5618B" w:rsidRPr="00197EEC" w:rsidRDefault="00E5618B" w:rsidP="00E35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197EEC">
              <w:rPr>
                <w:rStyle w:val="a8"/>
                <w:rFonts w:ascii="楷体_GB2312" w:eastAsia="楷体_GB2312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197EEC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6350C6" w:rsidP="00943242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A52A70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E27D38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业绩PPT</w:t>
            </w:r>
            <w:r w:rsidR="006B0B04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（请参见bank.pingan.com投资者关系-公司推介栏目）</w:t>
            </w:r>
          </w:p>
        </w:tc>
      </w:tr>
      <w:tr w:rsidR="00EE1C10" w:rsidRPr="00197EEC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97EEC" w:rsidRDefault="006350C6" w:rsidP="00E27D38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F64B5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E27D38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E27D38" w:rsidRPr="00197EEC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22</w:t>
            </w:r>
          </w:p>
        </w:tc>
      </w:tr>
    </w:tbl>
    <w:p w:rsidR="00941F1C" w:rsidRPr="00E5618B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E5618B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D1" w:rsidRDefault="00D92BD1" w:rsidP="00D96584">
      <w:r>
        <w:separator/>
      </w:r>
    </w:p>
  </w:endnote>
  <w:endnote w:type="continuationSeparator" w:id="0">
    <w:p w:rsidR="00D92BD1" w:rsidRDefault="00D92BD1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D1" w:rsidRDefault="00D92BD1" w:rsidP="00D96584">
      <w:r>
        <w:separator/>
      </w:r>
    </w:p>
  </w:footnote>
  <w:footnote w:type="continuationSeparator" w:id="0">
    <w:p w:rsidR="00D92BD1" w:rsidRDefault="00D92BD1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DB2CE1FC"/>
    <w:lvl w:ilvl="0" w:tplc="38104DB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B85C1C"/>
    <w:multiLevelType w:val="hybridMultilevel"/>
    <w:tmpl w:val="D6729330"/>
    <w:lvl w:ilvl="0" w:tplc="A266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 w:numId="34">
    <w:abstractNumId w:val="9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21C46"/>
    <w:rsid w:val="00043512"/>
    <w:rsid w:val="0005090F"/>
    <w:rsid w:val="00065AA6"/>
    <w:rsid w:val="00082013"/>
    <w:rsid w:val="00083D6A"/>
    <w:rsid w:val="00087E7C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EEC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02B7C"/>
    <w:rsid w:val="00204DA5"/>
    <w:rsid w:val="00210939"/>
    <w:rsid w:val="00217D1A"/>
    <w:rsid w:val="00227050"/>
    <w:rsid w:val="00244140"/>
    <w:rsid w:val="002515C0"/>
    <w:rsid w:val="002721F3"/>
    <w:rsid w:val="00276DAA"/>
    <w:rsid w:val="002A46D4"/>
    <w:rsid w:val="002B200E"/>
    <w:rsid w:val="002B4EAA"/>
    <w:rsid w:val="002B5D00"/>
    <w:rsid w:val="002F1CBE"/>
    <w:rsid w:val="003075A1"/>
    <w:rsid w:val="00327CCB"/>
    <w:rsid w:val="003317E5"/>
    <w:rsid w:val="0034241B"/>
    <w:rsid w:val="003450A0"/>
    <w:rsid w:val="00354883"/>
    <w:rsid w:val="00357AEE"/>
    <w:rsid w:val="00360EEC"/>
    <w:rsid w:val="00375010"/>
    <w:rsid w:val="003777D5"/>
    <w:rsid w:val="00381783"/>
    <w:rsid w:val="00384730"/>
    <w:rsid w:val="003B107D"/>
    <w:rsid w:val="003B323B"/>
    <w:rsid w:val="003B5748"/>
    <w:rsid w:val="003B721F"/>
    <w:rsid w:val="003C375D"/>
    <w:rsid w:val="003C42A4"/>
    <w:rsid w:val="003F144D"/>
    <w:rsid w:val="003F79D6"/>
    <w:rsid w:val="00413B4B"/>
    <w:rsid w:val="0043629D"/>
    <w:rsid w:val="00442349"/>
    <w:rsid w:val="0045059E"/>
    <w:rsid w:val="00461C9C"/>
    <w:rsid w:val="00471475"/>
    <w:rsid w:val="00486E4F"/>
    <w:rsid w:val="0049405C"/>
    <w:rsid w:val="00497C7E"/>
    <w:rsid w:val="004B47B1"/>
    <w:rsid w:val="004D489A"/>
    <w:rsid w:val="004F64B5"/>
    <w:rsid w:val="004F6F03"/>
    <w:rsid w:val="00511122"/>
    <w:rsid w:val="0051123B"/>
    <w:rsid w:val="0051176B"/>
    <w:rsid w:val="005322A5"/>
    <w:rsid w:val="00535D6F"/>
    <w:rsid w:val="005425DD"/>
    <w:rsid w:val="005435E0"/>
    <w:rsid w:val="005464C3"/>
    <w:rsid w:val="00550FD9"/>
    <w:rsid w:val="0055309B"/>
    <w:rsid w:val="00584D5E"/>
    <w:rsid w:val="00596DFC"/>
    <w:rsid w:val="005B3BAE"/>
    <w:rsid w:val="005C32E3"/>
    <w:rsid w:val="005E33CA"/>
    <w:rsid w:val="005E4299"/>
    <w:rsid w:val="00622C3A"/>
    <w:rsid w:val="00623A26"/>
    <w:rsid w:val="00631CC9"/>
    <w:rsid w:val="0063326E"/>
    <w:rsid w:val="006350C6"/>
    <w:rsid w:val="00684A13"/>
    <w:rsid w:val="00691478"/>
    <w:rsid w:val="00693E35"/>
    <w:rsid w:val="006A1753"/>
    <w:rsid w:val="006A7B25"/>
    <w:rsid w:val="006B04AB"/>
    <w:rsid w:val="006B0B04"/>
    <w:rsid w:val="006C5210"/>
    <w:rsid w:val="006E4D55"/>
    <w:rsid w:val="006F64B3"/>
    <w:rsid w:val="00705B27"/>
    <w:rsid w:val="007108C4"/>
    <w:rsid w:val="00740C1A"/>
    <w:rsid w:val="00761259"/>
    <w:rsid w:val="0077611E"/>
    <w:rsid w:val="00777BC7"/>
    <w:rsid w:val="0078118F"/>
    <w:rsid w:val="00793203"/>
    <w:rsid w:val="007C213F"/>
    <w:rsid w:val="00803207"/>
    <w:rsid w:val="008132CB"/>
    <w:rsid w:val="0081630D"/>
    <w:rsid w:val="0082259D"/>
    <w:rsid w:val="008439B9"/>
    <w:rsid w:val="00845B88"/>
    <w:rsid w:val="0084646C"/>
    <w:rsid w:val="00853994"/>
    <w:rsid w:val="00862CF2"/>
    <w:rsid w:val="008710F9"/>
    <w:rsid w:val="00875F50"/>
    <w:rsid w:val="00880699"/>
    <w:rsid w:val="0089673B"/>
    <w:rsid w:val="008A3FD9"/>
    <w:rsid w:val="008A4E3E"/>
    <w:rsid w:val="008B3EDE"/>
    <w:rsid w:val="008B60BD"/>
    <w:rsid w:val="008C111F"/>
    <w:rsid w:val="008F16A2"/>
    <w:rsid w:val="008F22A3"/>
    <w:rsid w:val="0091735E"/>
    <w:rsid w:val="00921892"/>
    <w:rsid w:val="00930952"/>
    <w:rsid w:val="00941F1C"/>
    <w:rsid w:val="00943242"/>
    <w:rsid w:val="00951547"/>
    <w:rsid w:val="009C4894"/>
    <w:rsid w:val="009C5679"/>
    <w:rsid w:val="009E293D"/>
    <w:rsid w:val="009E71F2"/>
    <w:rsid w:val="009F13CD"/>
    <w:rsid w:val="00A06B39"/>
    <w:rsid w:val="00A115A1"/>
    <w:rsid w:val="00A12BD3"/>
    <w:rsid w:val="00A140B8"/>
    <w:rsid w:val="00A1521F"/>
    <w:rsid w:val="00A42C40"/>
    <w:rsid w:val="00A52A70"/>
    <w:rsid w:val="00A755FA"/>
    <w:rsid w:val="00A84DCD"/>
    <w:rsid w:val="00A87A56"/>
    <w:rsid w:val="00AA5A95"/>
    <w:rsid w:val="00AB47CE"/>
    <w:rsid w:val="00AB67BB"/>
    <w:rsid w:val="00AC2942"/>
    <w:rsid w:val="00AD4C28"/>
    <w:rsid w:val="00B17ECB"/>
    <w:rsid w:val="00B24CFD"/>
    <w:rsid w:val="00B31C4E"/>
    <w:rsid w:val="00B454CA"/>
    <w:rsid w:val="00B65391"/>
    <w:rsid w:val="00B708D6"/>
    <w:rsid w:val="00B71E2E"/>
    <w:rsid w:val="00B84A84"/>
    <w:rsid w:val="00B84C2E"/>
    <w:rsid w:val="00BB741D"/>
    <w:rsid w:val="00BE11BC"/>
    <w:rsid w:val="00BE3743"/>
    <w:rsid w:val="00C03E1A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A4BDD"/>
    <w:rsid w:val="00CB4AC9"/>
    <w:rsid w:val="00CC12EA"/>
    <w:rsid w:val="00CF7823"/>
    <w:rsid w:val="00D03DFD"/>
    <w:rsid w:val="00D06801"/>
    <w:rsid w:val="00D302B7"/>
    <w:rsid w:val="00D50045"/>
    <w:rsid w:val="00D63DF1"/>
    <w:rsid w:val="00D87038"/>
    <w:rsid w:val="00D91B1B"/>
    <w:rsid w:val="00D926C5"/>
    <w:rsid w:val="00D92BD1"/>
    <w:rsid w:val="00D96584"/>
    <w:rsid w:val="00DB35CA"/>
    <w:rsid w:val="00DC7C3C"/>
    <w:rsid w:val="00DD1E65"/>
    <w:rsid w:val="00DD684A"/>
    <w:rsid w:val="00DD7DFF"/>
    <w:rsid w:val="00DE1E7B"/>
    <w:rsid w:val="00DE4B3F"/>
    <w:rsid w:val="00E00681"/>
    <w:rsid w:val="00E017C9"/>
    <w:rsid w:val="00E055AC"/>
    <w:rsid w:val="00E1525A"/>
    <w:rsid w:val="00E27D38"/>
    <w:rsid w:val="00E3557B"/>
    <w:rsid w:val="00E37317"/>
    <w:rsid w:val="00E43152"/>
    <w:rsid w:val="00E50C4A"/>
    <w:rsid w:val="00E5618B"/>
    <w:rsid w:val="00E724E3"/>
    <w:rsid w:val="00E733AB"/>
    <w:rsid w:val="00EA2CF3"/>
    <w:rsid w:val="00EB1DAC"/>
    <w:rsid w:val="00EB393D"/>
    <w:rsid w:val="00EC6B0A"/>
    <w:rsid w:val="00ED2A52"/>
    <w:rsid w:val="00EE1C10"/>
    <w:rsid w:val="00EE4C5F"/>
    <w:rsid w:val="00EE4F68"/>
    <w:rsid w:val="00EE7C01"/>
    <w:rsid w:val="00F0207E"/>
    <w:rsid w:val="00F0381B"/>
    <w:rsid w:val="00F16F75"/>
    <w:rsid w:val="00F216AA"/>
    <w:rsid w:val="00F41E5A"/>
    <w:rsid w:val="00F61CB4"/>
    <w:rsid w:val="00F628CA"/>
    <w:rsid w:val="00F66AD9"/>
    <w:rsid w:val="00FA1FC9"/>
    <w:rsid w:val="00FA7BC0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33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81630D"/>
    <w:pPr>
      <w:widowControl/>
      <w:numPr>
        <w:numId w:val="33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afterLines="20" w:after="62"/>
      <w:textAlignment w:val="baseline"/>
      <w:outlineLvl w:val="2"/>
    </w:pPr>
    <w:rPr>
      <w:rFonts w:ascii="华文细黑" w:eastAsia="华文细黑" w:hAnsi="华文细黑"/>
      <w:b/>
      <w:bCs/>
      <w:kern w:val="0"/>
      <w:sz w:val="2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81630D"/>
    <w:rPr>
      <w:rFonts w:ascii="华文细黑" w:eastAsia="华文细黑" w:hAnsi="华文细黑" w:cs="Times New Roman"/>
      <w:b/>
      <w:bCs/>
      <w:kern w:val="0"/>
      <w:sz w:val="2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eastAsia="华文细黑" w:hAnsiTheme="minorEastAsia" w:cs="Times New Roman"/>
      <w:b/>
      <w:bCs/>
      <w:kern w:val="0"/>
      <w:sz w:val="2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472</Words>
  <Characters>2693</Characters>
  <Application>Microsoft Office Word</Application>
  <DocSecurity>0</DocSecurity>
  <Lines>22</Lines>
  <Paragraphs>6</Paragraphs>
  <ScaleCrop>false</ScaleCrop>
  <Company>sdb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PINGAN</cp:lastModifiedBy>
  <cp:revision>15</cp:revision>
  <dcterms:created xsi:type="dcterms:W3CDTF">2020-10-16T01:22:00Z</dcterms:created>
  <dcterms:modified xsi:type="dcterms:W3CDTF">2020-10-16T06:33:00Z</dcterms:modified>
</cp:coreProperties>
</file>