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0C" w:rsidRPr="007C557C" w:rsidRDefault="00F4120C" w:rsidP="008213CD">
      <w:pPr>
        <w:spacing w:beforeLines="50" w:afterLines="50" w:line="400" w:lineRule="exact"/>
        <w:rPr>
          <w:rFonts w:ascii="宋体" w:hAnsi="宋体"/>
          <w:bCs/>
          <w:iCs/>
          <w:sz w:val="24"/>
        </w:rPr>
      </w:pPr>
      <w:r w:rsidRPr="007C557C">
        <w:rPr>
          <w:rFonts w:ascii="宋体" w:hAnsi="宋体" w:hint="eastAsia"/>
          <w:bCs/>
          <w:iCs/>
          <w:sz w:val="24"/>
        </w:rPr>
        <w:t xml:space="preserve">证券代码：002223               </w:t>
      </w:r>
      <w:r w:rsidR="00D02BB7" w:rsidRPr="007C557C">
        <w:rPr>
          <w:rFonts w:ascii="宋体" w:hAnsi="宋体" w:hint="eastAsia"/>
          <w:bCs/>
          <w:iCs/>
          <w:sz w:val="24"/>
        </w:rPr>
        <w:t xml:space="preserve">                       </w:t>
      </w:r>
      <w:r w:rsidRPr="007C557C">
        <w:rPr>
          <w:rFonts w:ascii="宋体" w:hAnsi="宋体" w:hint="eastAsia"/>
          <w:bCs/>
          <w:iCs/>
          <w:sz w:val="24"/>
        </w:rPr>
        <w:t xml:space="preserve">                证券简称：鱼跃医疗</w:t>
      </w:r>
    </w:p>
    <w:p w:rsidR="00F4120C" w:rsidRPr="007C557C" w:rsidRDefault="00F4120C" w:rsidP="008213CD">
      <w:pPr>
        <w:spacing w:beforeLines="50" w:afterLines="50" w:line="400" w:lineRule="exact"/>
        <w:ind w:firstLineChars="300" w:firstLine="720"/>
        <w:rPr>
          <w:rFonts w:ascii="宋体" w:hAnsi="宋体"/>
          <w:bCs/>
          <w:iCs/>
          <w:sz w:val="24"/>
        </w:rPr>
      </w:pPr>
    </w:p>
    <w:p w:rsidR="00F4120C" w:rsidRPr="007C557C" w:rsidRDefault="00F4120C" w:rsidP="008213CD">
      <w:pPr>
        <w:spacing w:beforeLines="50" w:afterLines="50" w:line="400" w:lineRule="exact"/>
        <w:jc w:val="center"/>
        <w:rPr>
          <w:rFonts w:ascii="宋体" w:hAnsi="宋体"/>
          <w:b/>
          <w:bCs/>
          <w:iCs/>
          <w:sz w:val="24"/>
          <w:szCs w:val="24"/>
        </w:rPr>
      </w:pPr>
      <w:r w:rsidRPr="007C557C">
        <w:rPr>
          <w:rFonts w:ascii="宋体" w:hAnsi="宋体" w:hint="eastAsia"/>
          <w:b/>
          <w:bCs/>
          <w:iCs/>
          <w:sz w:val="24"/>
          <w:szCs w:val="24"/>
        </w:rPr>
        <w:t>江苏鱼跃医疗设备股份有限公司投资者关系活动记录表</w:t>
      </w:r>
    </w:p>
    <w:p w:rsidR="00F4120C" w:rsidRPr="007C557C" w:rsidRDefault="00F4120C" w:rsidP="00F4120C">
      <w:pPr>
        <w:spacing w:line="400" w:lineRule="exact"/>
        <w:rPr>
          <w:rFonts w:ascii="宋体" w:hAnsi="宋体"/>
          <w:bCs/>
          <w:iCs/>
          <w:sz w:val="24"/>
          <w:szCs w:val="24"/>
        </w:rPr>
      </w:pPr>
      <w:r w:rsidRPr="007C557C">
        <w:rPr>
          <w:rFonts w:ascii="宋体" w:hAnsi="宋体" w:hint="eastAsia"/>
          <w:bCs/>
          <w:iCs/>
          <w:sz w:val="24"/>
          <w:szCs w:val="24"/>
        </w:rPr>
        <w:t xml:space="preserve">                                            </w:t>
      </w:r>
      <w:r w:rsidR="00F828B8" w:rsidRPr="007C557C">
        <w:rPr>
          <w:rFonts w:ascii="宋体" w:hAnsi="宋体" w:hint="eastAsia"/>
          <w:bCs/>
          <w:iCs/>
          <w:sz w:val="24"/>
          <w:szCs w:val="24"/>
        </w:rPr>
        <w:t xml:space="preserve">                   </w:t>
      </w:r>
      <w:r w:rsidR="00D814D0" w:rsidRPr="007C557C">
        <w:rPr>
          <w:rFonts w:ascii="宋体" w:hAnsi="宋体" w:hint="eastAsia"/>
          <w:bCs/>
          <w:iCs/>
          <w:sz w:val="24"/>
          <w:szCs w:val="24"/>
        </w:rPr>
        <w:t xml:space="preserve">         </w:t>
      </w:r>
      <w:r w:rsidRPr="007C557C">
        <w:rPr>
          <w:rFonts w:ascii="宋体" w:hAnsi="宋体" w:hint="eastAsia"/>
          <w:bCs/>
          <w:iCs/>
          <w:sz w:val="24"/>
          <w:szCs w:val="24"/>
        </w:rPr>
        <w:t>编号：</w:t>
      </w:r>
      <w:r w:rsidR="00B1746F" w:rsidRPr="007C557C">
        <w:rPr>
          <w:rFonts w:ascii="宋体" w:hAnsi="宋体" w:hint="eastAsia"/>
          <w:bCs/>
          <w:iCs/>
          <w:sz w:val="24"/>
          <w:szCs w:val="24"/>
        </w:rPr>
        <w:t>20</w:t>
      </w:r>
      <w:r w:rsidR="00901DF7" w:rsidRPr="007C557C">
        <w:rPr>
          <w:rFonts w:ascii="宋体" w:hAnsi="宋体" w:hint="eastAsia"/>
          <w:bCs/>
          <w:iCs/>
          <w:sz w:val="24"/>
          <w:szCs w:val="24"/>
        </w:rPr>
        <w:t>20-10</w:t>
      </w:r>
      <w:r w:rsidR="007060C8" w:rsidRPr="007C557C">
        <w:rPr>
          <w:rFonts w:ascii="宋体" w:hAnsi="宋体" w:hint="eastAsia"/>
          <w:bCs/>
          <w:iCs/>
          <w:sz w:val="24"/>
          <w:szCs w:val="24"/>
        </w:rPr>
        <w:t>-</w:t>
      </w:r>
      <w:r w:rsidR="00F976E4" w:rsidRPr="007C557C">
        <w:rPr>
          <w:rFonts w:ascii="宋体" w:hAnsi="宋体" w:hint="eastAsia"/>
          <w:bCs/>
          <w:iCs/>
          <w:sz w:val="24"/>
          <w:szCs w:val="24"/>
        </w:rPr>
        <w:t>2</w:t>
      </w:r>
      <w:r w:rsidR="00A25CC7" w:rsidRPr="007C557C">
        <w:rPr>
          <w:rFonts w:ascii="宋体" w:hAnsi="宋体" w:hint="eastAsia"/>
          <w:bCs/>
          <w:iCs/>
          <w:sz w:val="24"/>
          <w:szCs w:val="24"/>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1"/>
        <w:gridCol w:w="8291"/>
      </w:tblGrid>
      <w:tr w:rsidR="00F4120C" w:rsidRPr="007C557C" w:rsidTr="00D02BB7">
        <w:tc>
          <w:tcPr>
            <w:tcW w:w="1119" w:type="pct"/>
            <w:tcBorders>
              <w:top w:val="single" w:sz="4" w:space="0" w:color="auto"/>
              <w:left w:val="single" w:sz="4" w:space="0" w:color="auto"/>
              <w:bottom w:val="single" w:sz="4" w:space="0" w:color="auto"/>
              <w:right w:val="single" w:sz="4" w:space="0" w:color="auto"/>
            </w:tcBorders>
          </w:tcPr>
          <w:p w:rsidR="00F4120C" w:rsidRPr="007C557C" w:rsidRDefault="00F4120C">
            <w:pPr>
              <w:spacing w:line="480" w:lineRule="atLeast"/>
              <w:rPr>
                <w:rFonts w:ascii="宋体" w:hAnsi="宋体"/>
                <w:b/>
                <w:bCs/>
                <w:iCs/>
                <w:sz w:val="24"/>
                <w:szCs w:val="24"/>
              </w:rPr>
            </w:pPr>
            <w:r w:rsidRPr="007C557C">
              <w:rPr>
                <w:rFonts w:ascii="宋体" w:hAnsi="宋体" w:hint="eastAsia"/>
                <w:b/>
                <w:bCs/>
                <w:iCs/>
                <w:sz w:val="24"/>
                <w:szCs w:val="24"/>
              </w:rPr>
              <w:t>投资者关系活动类别</w:t>
            </w:r>
          </w:p>
          <w:p w:rsidR="00F4120C" w:rsidRPr="007C557C" w:rsidRDefault="00F4120C">
            <w:pPr>
              <w:spacing w:line="480" w:lineRule="atLeast"/>
              <w:rPr>
                <w:rFonts w:ascii="宋体" w:hAnsi="宋体"/>
                <w:b/>
                <w:bCs/>
                <w:iCs/>
                <w:sz w:val="24"/>
                <w:szCs w:val="24"/>
              </w:rPr>
            </w:pPr>
          </w:p>
        </w:tc>
        <w:tc>
          <w:tcPr>
            <w:tcW w:w="3881" w:type="pct"/>
            <w:tcBorders>
              <w:top w:val="single" w:sz="4" w:space="0" w:color="auto"/>
              <w:left w:val="single" w:sz="4" w:space="0" w:color="auto"/>
              <w:bottom w:val="single" w:sz="4" w:space="0" w:color="auto"/>
              <w:right w:val="single" w:sz="4" w:space="0" w:color="auto"/>
            </w:tcBorders>
          </w:tcPr>
          <w:p w:rsidR="00F4120C" w:rsidRPr="007C557C" w:rsidRDefault="00F4120C">
            <w:pPr>
              <w:spacing w:line="480" w:lineRule="atLeast"/>
              <w:rPr>
                <w:rFonts w:ascii="宋体" w:hAnsi="宋体"/>
                <w:bCs/>
                <w:iCs/>
                <w:sz w:val="24"/>
                <w:szCs w:val="24"/>
              </w:rPr>
            </w:pPr>
            <w:r w:rsidRPr="007C557C">
              <w:rPr>
                <w:rFonts w:ascii="宋体" w:hAnsi="宋体" w:hint="eastAsia"/>
                <w:bCs/>
                <w:iCs/>
                <w:sz w:val="24"/>
                <w:szCs w:val="24"/>
              </w:rPr>
              <w:t>■</w:t>
            </w:r>
            <w:r w:rsidRPr="007C557C">
              <w:rPr>
                <w:rFonts w:ascii="宋体" w:hAnsi="宋体" w:hint="eastAsia"/>
                <w:sz w:val="24"/>
                <w:szCs w:val="24"/>
              </w:rPr>
              <w:t xml:space="preserve">特定对象调研        </w:t>
            </w:r>
            <w:r w:rsidRPr="007C557C">
              <w:rPr>
                <w:rFonts w:ascii="宋体" w:hAnsi="宋体" w:hint="eastAsia"/>
                <w:bCs/>
                <w:iCs/>
                <w:sz w:val="24"/>
                <w:szCs w:val="24"/>
              </w:rPr>
              <w:t>□</w:t>
            </w:r>
            <w:r w:rsidRPr="007C557C">
              <w:rPr>
                <w:rFonts w:ascii="宋体" w:hAnsi="宋体" w:hint="eastAsia"/>
                <w:sz w:val="24"/>
                <w:szCs w:val="24"/>
              </w:rPr>
              <w:t>分析师会议</w:t>
            </w:r>
          </w:p>
          <w:p w:rsidR="00F4120C" w:rsidRPr="007C557C" w:rsidRDefault="00F4120C">
            <w:pPr>
              <w:spacing w:line="480" w:lineRule="atLeast"/>
              <w:rPr>
                <w:rFonts w:ascii="宋体" w:hAnsi="宋体"/>
                <w:bCs/>
                <w:iCs/>
                <w:sz w:val="24"/>
                <w:szCs w:val="24"/>
              </w:rPr>
            </w:pPr>
            <w:r w:rsidRPr="007C557C">
              <w:rPr>
                <w:rFonts w:ascii="宋体" w:hAnsi="宋体" w:hint="eastAsia"/>
                <w:bCs/>
                <w:iCs/>
                <w:sz w:val="24"/>
                <w:szCs w:val="24"/>
              </w:rPr>
              <w:t>□</w:t>
            </w:r>
            <w:r w:rsidRPr="007C557C">
              <w:rPr>
                <w:rFonts w:ascii="宋体" w:hAnsi="宋体" w:hint="eastAsia"/>
                <w:sz w:val="24"/>
                <w:szCs w:val="24"/>
              </w:rPr>
              <w:t xml:space="preserve">媒体采访            </w:t>
            </w:r>
            <w:r w:rsidRPr="007C557C">
              <w:rPr>
                <w:rFonts w:ascii="宋体" w:hAnsi="宋体" w:hint="eastAsia"/>
                <w:bCs/>
                <w:iCs/>
                <w:sz w:val="24"/>
                <w:szCs w:val="24"/>
              </w:rPr>
              <w:t>□</w:t>
            </w:r>
            <w:r w:rsidRPr="007C557C">
              <w:rPr>
                <w:rFonts w:ascii="宋体" w:hAnsi="宋体" w:hint="eastAsia"/>
                <w:sz w:val="24"/>
                <w:szCs w:val="24"/>
              </w:rPr>
              <w:t>业绩说明会</w:t>
            </w:r>
          </w:p>
          <w:p w:rsidR="00F4120C" w:rsidRPr="007C557C" w:rsidRDefault="00F4120C">
            <w:pPr>
              <w:spacing w:line="480" w:lineRule="atLeast"/>
              <w:rPr>
                <w:rFonts w:ascii="宋体" w:hAnsi="宋体"/>
                <w:bCs/>
                <w:iCs/>
                <w:sz w:val="24"/>
                <w:szCs w:val="24"/>
              </w:rPr>
            </w:pPr>
            <w:r w:rsidRPr="007C557C">
              <w:rPr>
                <w:rFonts w:ascii="宋体" w:hAnsi="宋体" w:hint="eastAsia"/>
                <w:bCs/>
                <w:iCs/>
                <w:sz w:val="24"/>
                <w:szCs w:val="24"/>
              </w:rPr>
              <w:t>□</w:t>
            </w:r>
            <w:r w:rsidRPr="007C557C">
              <w:rPr>
                <w:rFonts w:ascii="宋体" w:hAnsi="宋体" w:hint="eastAsia"/>
                <w:sz w:val="24"/>
                <w:szCs w:val="24"/>
              </w:rPr>
              <w:t xml:space="preserve">新闻发布会          </w:t>
            </w:r>
            <w:r w:rsidRPr="007C557C">
              <w:rPr>
                <w:rFonts w:ascii="宋体" w:hAnsi="宋体" w:hint="eastAsia"/>
                <w:bCs/>
                <w:iCs/>
                <w:sz w:val="24"/>
                <w:szCs w:val="24"/>
              </w:rPr>
              <w:t>□</w:t>
            </w:r>
            <w:r w:rsidRPr="007C557C">
              <w:rPr>
                <w:rFonts w:ascii="宋体" w:hAnsi="宋体" w:hint="eastAsia"/>
                <w:sz w:val="24"/>
                <w:szCs w:val="24"/>
              </w:rPr>
              <w:t>路演活动</w:t>
            </w:r>
          </w:p>
          <w:p w:rsidR="00F4120C" w:rsidRPr="007C557C" w:rsidRDefault="00F4120C">
            <w:pPr>
              <w:tabs>
                <w:tab w:val="left" w:pos="3045"/>
                <w:tab w:val="center" w:pos="3199"/>
              </w:tabs>
              <w:spacing w:line="480" w:lineRule="atLeast"/>
              <w:rPr>
                <w:rFonts w:ascii="宋体" w:hAnsi="宋体"/>
                <w:bCs/>
                <w:iCs/>
                <w:sz w:val="24"/>
                <w:szCs w:val="24"/>
              </w:rPr>
            </w:pPr>
            <w:r w:rsidRPr="007C557C">
              <w:rPr>
                <w:rFonts w:ascii="宋体" w:hAnsi="宋体" w:hint="eastAsia"/>
                <w:bCs/>
                <w:iCs/>
                <w:sz w:val="24"/>
                <w:szCs w:val="24"/>
              </w:rPr>
              <w:t>□</w:t>
            </w:r>
            <w:r w:rsidRPr="007C557C">
              <w:rPr>
                <w:rFonts w:ascii="宋体" w:hAnsi="宋体" w:hint="eastAsia"/>
                <w:sz w:val="24"/>
                <w:szCs w:val="24"/>
              </w:rPr>
              <w:t>现场参观</w:t>
            </w:r>
            <w:r w:rsidRPr="007C557C">
              <w:rPr>
                <w:rFonts w:ascii="宋体" w:hAnsi="宋体" w:hint="eastAsia"/>
                <w:bCs/>
                <w:iCs/>
                <w:sz w:val="24"/>
                <w:szCs w:val="24"/>
              </w:rPr>
              <w:tab/>
            </w:r>
          </w:p>
          <w:p w:rsidR="00F4120C" w:rsidRPr="007C557C" w:rsidRDefault="00F4120C">
            <w:pPr>
              <w:tabs>
                <w:tab w:val="center" w:pos="3199"/>
              </w:tabs>
              <w:spacing w:line="480" w:lineRule="atLeast"/>
              <w:rPr>
                <w:rFonts w:ascii="宋体" w:hAnsi="宋体"/>
                <w:bCs/>
                <w:iCs/>
                <w:sz w:val="24"/>
                <w:szCs w:val="24"/>
              </w:rPr>
            </w:pPr>
            <w:r w:rsidRPr="007C557C">
              <w:rPr>
                <w:rFonts w:ascii="宋体" w:hAnsi="宋体" w:hint="eastAsia"/>
                <w:bCs/>
                <w:iCs/>
                <w:sz w:val="24"/>
                <w:szCs w:val="24"/>
              </w:rPr>
              <w:t>□</w:t>
            </w:r>
            <w:r w:rsidRPr="007C557C">
              <w:rPr>
                <w:rFonts w:ascii="宋体" w:hAnsi="宋体" w:hint="eastAsia"/>
                <w:sz w:val="24"/>
                <w:szCs w:val="24"/>
              </w:rPr>
              <w:t>其他 （</w:t>
            </w:r>
            <w:r w:rsidRPr="007C557C">
              <w:rPr>
                <w:rFonts w:ascii="宋体" w:hAnsi="宋体" w:hint="eastAsia"/>
                <w:sz w:val="24"/>
                <w:szCs w:val="24"/>
                <w:u w:val="single"/>
              </w:rPr>
              <w:t>请文字说明其他活动内容）</w:t>
            </w:r>
          </w:p>
        </w:tc>
      </w:tr>
      <w:tr w:rsidR="00F4120C" w:rsidRPr="007C557C" w:rsidTr="00D02BB7">
        <w:tc>
          <w:tcPr>
            <w:tcW w:w="1119" w:type="pct"/>
            <w:tcBorders>
              <w:top w:val="single" w:sz="4" w:space="0" w:color="auto"/>
              <w:left w:val="single" w:sz="4" w:space="0" w:color="auto"/>
              <w:bottom w:val="single" w:sz="4" w:space="0" w:color="auto"/>
              <w:right w:val="single" w:sz="4" w:space="0" w:color="auto"/>
            </w:tcBorders>
          </w:tcPr>
          <w:p w:rsidR="00F4120C" w:rsidRPr="007C557C" w:rsidRDefault="00F4120C">
            <w:pPr>
              <w:spacing w:line="480" w:lineRule="atLeast"/>
              <w:rPr>
                <w:rFonts w:ascii="宋体" w:hAnsi="宋体"/>
                <w:b/>
                <w:bCs/>
                <w:iCs/>
                <w:sz w:val="24"/>
                <w:szCs w:val="24"/>
              </w:rPr>
            </w:pPr>
            <w:r w:rsidRPr="007C557C">
              <w:rPr>
                <w:rFonts w:ascii="宋体" w:hAnsi="宋体" w:hint="eastAsia"/>
                <w:b/>
                <w:bCs/>
                <w:iCs/>
                <w:sz w:val="24"/>
                <w:szCs w:val="24"/>
              </w:rPr>
              <w:t>参与单位名称及人员姓名</w:t>
            </w:r>
          </w:p>
        </w:tc>
        <w:tc>
          <w:tcPr>
            <w:tcW w:w="3881" w:type="pct"/>
            <w:tcBorders>
              <w:top w:val="single" w:sz="4" w:space="0" w:color="auto"/>
              <w:left w:val="single" w:sz="4" w:space="0" w:color="auto"/>
              <w:bottom w:val="single" w:sz="4" w:space="0" w:color="auto"/>
              <w:right w:val="single" w:sz="4" w:space="0" w:color="auto"/>
            </w:tcBorders>
          </w:tcPr>
          <w:p w:rsidR="00630B8B" w:rsidRPr="007C557C" w:rsidRDefault="00630B8B" w:rsidP="009E5B42">
            <w:pPr>
              <w:spacing w:line="480" w:lineRule="atLeast"/>
              <w:rPr>
                <w:rFonts w:ascii="宋体" w:hAnsi="宋体" w:cs="宋体"/>
                <w:color w:val="000000"/>
                <w:kern w:val="0"/>
                <w:szCs w:val="21"/>
              </w:rPr>
            </w:pPr>
            <w:bookmarkStart w:id="0" w:name="_GoBack"/>
            <w:bookmarkEnd w:id="0"/>
            <w:r w:rsidRPr="007C557C">
              <w:rPr>
                <w:rFonts w:ascii="宋体" w:hAnsi="宋体" w:cs="宋体" w:hint="eastAsia"/>
                <w:color w:val="000000"/>
                <w:kern w:val="0"/>
                <w:szCs w:val="21"/>
              </w:rPr>
              <w:t>安信证券 马帅；碧云资本 周伊莎；淳厚基金 陈浩；东方马拉松投资 黄俊 王攀峰；东方证券自营 刘迎；东吴证券 汪澜；光大证券 林小伟 宋硕；广发证券 李东升；国泰君安证券 于嘉轩；海通证券 孟陆；弘尚资产 何志俊；宏道投资 李永；华泰证券 孔垂岩；华泰证券自营 许泽昊；华泰证券投资部 李艳光；华泰证券资管 李勇剑；华西证券 谭国超；汇添富 谢杰；交银康联 王耀永；景裕资产 黄际超；浦发银行资管 汪宇明；森瑞投资 陈镇豪</w:t>
            </w:r>
            <w:r w:rsidR="00481648">
              <w:rPr>
                <w:rFonts w:ascii="宋体" w:hAnsi="宋体" w:cs="宋体" w:hint="eastAsia"/>
                <w:color w:val="000000"/>
                <w:kern w:val="0"/>
                <w:szCs w:val="21"/>
              </w:rPr>
              <w:t xml:space="preserve"> </w:t>
            </w:r>
            <w:r w:rsidRPr="007C557C">
              <w:rPr>
                <w:rFonts w:ascii="宋体" w:hAnsi="宋体" w:cs="宋体" w:hint="eastAsia"/>
                <w:color w:val="000000"/>
                <w:kern w:val="0"/>
                <w:szCs w:val="21"/>
              </w:rPr>
              <w:t>何山；上海德汇集团 舒欣；君和资本 崔雨菲；太平洋证券 谭紫媚；太平资产 代靖；天风证券 杜鹏程</w:t>
            </w:r>
            <w:r w:rsidR="005E73F2">
              <w:rPr>
                <w:rFonts w:ascii="宋体" w:hAnsi="宋体" w:cs="宋体" w:hint="eastAsia"/>
                <w:color w:val="000000"/>
                <w:kern w:val="0"/>
                <w:szCs w:val="21"/>
              </w:rPr>
              <w:t xml:space="preserve"> </w:t>
            </w:r>
            <w:r w:rsidRPr="007C557C">
              <w:rPr>
                <w:rFonts w:ascii="宋体" w:hAnsi="宋体" w:cs="宋体" w:hint="eastAsia"/>
                <w:color w:val="000000"/>
                <w:kern w:val="0"/>
                <w:szCs w:val="21"/>
              </w:rPr>
              <w:t>李沙；通用集团投资 张佳博；彤源投资 陈晓蕾；相聚资本 邓巧；兴业证券 刘鹭；兴业证券投资部 褚乐延；招银理财 熊超逸；中庚基金 余思慧；中金证券 朱言音；中泰证券 谢木青；中信建投</w:t>
            </w:r>
            <w:r w:rsidR="009E5B42">
              <w:rPr>
                <w:rFonts w:ascii="宋体" w:hAnsi="宋体" w:cs="宋体" w:hint="eastAsia"/>
                <w:color w:val="000000"/>
                <w:kern w:val="0"/>
                <w:szCs w:val="21"/>
              </w:rPr>
              <w:t xml:space="preserve"> </w:t>
            </w:r>
            <w:r w:rsidRPr="007C557C">
              <w:rPr>
                <w:rFonts w:ascii="宋体" w:hAnsi="宋体" w:cs="宋体" w:hint="eastAsia"/>
                <w:color w:val="000000"/>
                <w:kern w:val="0"/>
                <w:szCs w:val="21"/>
              </w:rPr>
              <w:t>王在存；中信证券 沈睦钧；中信证券江苏分公司 曹楠 高群 余靖；中域投资 袁鹏涛；朱雀投资 李扬；卓复投资 朱元；重阳投资 吴伟荣；爱建证券 沈蔚；东兴证券 刘佳</w:t>
            </w:r>
            <w:r w:rsidR="00583867">
              <w:rPr>
                <w:rFonts w:ascii="宋体" w:hAnsi="宋体" w:cs="宋体" w:hint="eastAsia"/>
                <w:color w:val="000000"/>
                <w:kern w:val="0"/>
                <w:szCs w:val="21"/>
              </w:rPr>
              <w:t>玮</w:t>
            </w:r>
            <w:r w:rsidRPr="007C557C">
              <w:rPr>
                <w:rFonts w:ascii="宋体" w:hAnsi="宋体" w:cs="宋体" w:hint="eastAsia"/>
                <w:color w:val="000000"/>
                <w:kern w:val="0"/>
                <w:szCs w:val="21"/>
              </w:rPr>
              <w:t>；安信证券 李奔；领颐（上海）资产 刘奥 尚金凯 ；永赢基金 焦阳；太平洋资产 吴晓丹；上海朴道瑞富投资 项炜；中国联合实业 年庆功；涌峰投资 梁欢；平安证券 倪亦道；盛信证券 陈兆梅</w:t>
            </w:r>
          </w:p>
        </w:tc>
      </w:tr>
      <w:tr w:rsidR="00F4120C" w:rsidRPr="007C557C" w:rsidTr="00D02BB7">
        <w:tc>
          <w:tcPr>
            <w:tcW w:w="1119" w:type="pct"/>
            <w:tcBorders>
              <w:top w:val="single" w:sz="4" w:space="0" w:color="auto"/>
              <w:left w:val="single" w:sz="4" w:space="0" w:color="auto"/>
              <w:bottom w:val="single" w:sz="4" w:space="0" w:color="auto"/>
              <w:right w:val="single" w:sz="4" w:space="0" w:color="auto"/>
            </w:tcBorders>
          </w:tcPr>
          <w:p w:rsidR="00F4120C" w:rsidRPr="007C557C" w:rsidRDefault="00F4120C">
            <w:pPr>
              <w:spacing w:line="480" w:lineRule="atLeast"/>
              <w:rPr>
                <w:rFonts w:ascii="宋体" w:hAnsi="宋体"/>
                <w:b/>
                <w:bCs/>
                <w:iCs/>
                <w:sz w:val="24"/>
                <w:szCs w:val="24"/>
              </w:rPr>
            </w:pPr>
            <w:r w:rsidRPr="007C557C">
              <w:rPr>
                <w:rFonts w:ascii="宋体" w:hAnsi="宋体" w:hint="eastAsia"/>
                <w:b/>
                <w:bCs/>
                <w:iCs/>
                <w:sz w:val="24"/>
                <w:szCs w:val="24"/>
              </w:rPr>
              <w:t>时间</w:t>
            </w:r>
          </w:p>
        </w:tc>
        <w:tc>
          <w:tcPr>
            <w:tcW w:w="3881" w:type="pct"/>
            <w:tcBorders>
              <w:top w:val="single" w:sz="4" w:space="0" w:color="auto"/>
              <w:left w:val="single" w:sz="4" w:space="0" w:color="auto"/>
              <w:bottom w:val="single" w:sz="4" w:space="0" w:color="auto"/>
              <w:right w:val="single" w:sz="4" w:space="0" w:color="auto"/>
            </w:tcBorders>
          </w:tcPr>
          <w:p w:rsidR="00F4120C" w:rsidRPr="007C557C" w:rsidRDefault="00DF3A8D" w:rsidP="00A25CC7">
            <w:pPr>
              <w:spacing w:line="480" w:lineRule="atLeast"/>
              <w:rPr>
                <w:rFonts w:ascii="宋体" w:hAnsi="宋体"/>
                <w:bCs/>
                <w:iCs/>
                <w:sz w:val="24"/>
                <w:szCs w:val="24"/>
              </w:rPr>
            </w:pPr>
            <w:r w:rsidRPr="007C557C">
              <w:rPr>
                <w:rFonts w:ascii="宋体" w:hAnsi="宋体" w:hint="eastAsia"/>
                <w:bCs/>
                <w:iCs/>
                <w:sz w:val="24"/>
                <w:szCs w:val="24"/>
              </w:rPr>
              <w:t>20</w:t>
            </w:r>
            <w:r w:rsidR="00901DF7" w:rsidRPr="007C557C">
              <w:rPr>
                <w:rFonts w:ascii="宋体" w:hAnsi="宋体" w:hint="eastAsia"/>
                <w:bCs/>
                <w:iCs/>
                <w:sz w:val="24"/>
                <w:szCs w:val="24"/>
              </w:rPr>
              <w:t>20</w:t>
            </w:r>
            <w:r w:rsidR="00C3278B" w:rsidRPr="007C557C">
              <w:rPr>
                <w:rFonts w:ascii="宋体" w:hAnsi="宋体" w:hint="eastAsia"/>
                <w:bCs/>
                <w:iCs/>
                <w:sz w:val="24"/>
                <w:szCs w:val="24"/>
              </w:rPr>
              <w:t>-</w:t>
            </w:r>
            <w:r w:rsidR="00901DF7" w:rsidRPr="007C557C">
              <w:rPr>
                <w:rFonts w:ascii="宋体" w:hAnsi="宋体" w:hint="eastAsia"/>
                <w:bCs/>
                <w:iCs/>
                <w:sz w:val="24"/>
                <w:szCs w:val="24"/>
              </w:rPr>
              <w:t>10</w:t>
            </w:r>
            <w:r w:rsidR="00E83C49" w:rsidRPr="007C557C">
              <w:rPr>
                <w:rFonts w:ascii="宋体" w:hAnsi="宋体" w:hint="eastAsia"/>
                <w:bCs/>
                <w:iCs/>
                <w:sz w:val="24"/>
                <w:szCs w:val="24"/>
              </w:rPr>
              <w:t>-</w:t>
            </w:r>
            <w:r w:rsidR="00322B34" w:rsidRPr="007C557C">
              <w:rPr>
                <w:rFonts w:ascii="宋体" w:hAnsi="宋体" w:hint="eastAsia"/>
                <w:bCs/>
                <w:iCs/>
                <w:sz w:val="24"/>
                <w:szCs w:val="24"/>
              </w:rPr>
              <w:t>2</w:t>
            </w:r>
            <w:r w:rsidR="00A25CC7" w:rsidRPr="007C557C">
              <w:rPr>
                <w:rFonts w:ascii="宋体" w:hAnsi="宋体" w:hint="eastAsia"/>
                <w:bCs/>
                <w:iCs/>
                <w:sz w:val="24"/>
                <w:szCs w:val="24"/>
              </w:rPr>
              <w:t>7</w:t>
            </w:r>
          </w:p>
        </w:tc>
      </w:tr>
      <w:tr w:rsidR="00F4120C" w:rsidRPr="007C557C" w:rsidTr="00D02BB7">
        <w:tc>
          <w:tcPr>
            <w:tcW w:w="1119" w:type="pct"/>
            <w:tcBorders>
              <w:top w:val="single" w:sz="4" w:space="0" w:color="auto"/>
              <w:left w:val="single" w:sz="4" w:space="0" w:color="auto"/>
              <w:bottom w:val="single" w:sz="4" w:space="0" w:color="auto"/>
              <w:right w:val="single" w:sz="4" w:space="0" w:color="auto"/>
            </w:tcBorders>
          </w:tcPr>
          <w:p w:rsidR="00F4120C" w:rsidRPr="007C557C" w:rsidRDefault="00F4120C">
            <w:pPr>
              <w:spacing w:line="480" w:lineRule="atLeast"/>
              <w:rPr>
                <w:rFonts w:ascii="宋体" w:hAnsi="宋体"/>
                <w:b/>
                <w:bCs/>
                <w:iCs/>
                <w:sz w:val="24"/>
                <w:szCs w:val="24"/>
              </w:rPr>
            </w:pPr>
            <w:r w:rsidRPr="007C557C">
              <w:rPr>
                <w:rFonts w:ascii="宋体" w:hAnsi="宋体" w:hint="eastAsia"/>
                <w:b/>
                <w:bCs/>
                <w:iCs/>
                <w:sz w:val="24"/>
                <w:szCs w:val="24"/>
              </w:rPr>
              <w:t>地点</w:t>
            </w:r>
          </w:p>
        </w:tc>
        <w:tc>
          <w:tcPr>
            <w:tcW w:w="3881" w:type="pct"/>
            <w:tcBorders>
              <w:top w:val="single" w:sz="4" w:space="0" w:color="auto"/>
              <w:left w:val="single" w:sz="4" w:space="0" w:color="auto"/>
              <w:bottom w:val="single" w:sz="4" w:space="0" w:color="auto"/>
              <w:right w:val="single" w:sz="4" w:space="0" w:color="auto"/>
            </w:tcBorders>
          </w:tcPr>
          <w:p w:rsidR="00F4120C" w:rsidRPr="007C557C" w:rsidRDefault="00901DF7">
            <w:pPr>
              <w:spacing w:line="480" w:lineRule="atLeast"/>
              <w:rPr>
                <w:rFonts w:ascii="宋体" w:hAnsi="宋体"/>
                <w:bCs/>
                <w:iCs/>
                <w:sz w:val="24"/>
                <w:szCs w:val="24"/>
              </w:rPr>
            </w:pPr>
            <w:r w:rsidRPr="007C557C">
              <w:rPr>
                <w:rFonts w:ascii="宋体" w:hAnsi="宋体"/>
                <w:bCs/>
                <w:iCs/>
                <w:sz w:val="24"/>
                <w:szCs w:val="24"/>
              </w:rPr>
              <w:t>公司报告厅</w:t>
            </w:r>
          </w:p>
        </w:tc>
      </w:tr>
      <w:tr w:rsidR="00F4120C" w:rsidRPr="007C557C" w:rsidTr="00D02BB7">
        <w:tc>
          <w:tcPr>
            <w:tcW w:w="1119" w:type="pct"/>
            <w:tcBorders>
              <w:top w:val="single" w:sz="4" w:space="0" w:color="auto"/>
              <w:left w:val="single" w:sz="4" w:space="0" w:color="auto"/>
              <w:bottom w:val="single" w:sz="4" w:space="0" w:color="auto"/>
              <w:right w:val="single" w:sz="4" w:space="0" w:color="auto"/>
            </w:tcBorders>
          </w:tcPr>
          <w:p w:rsidR="00F4120C" w:rsidRPr="007C557C" w:rsidRDefault="00F4120C">
            <w:pPr>
              <w:spacing w:line="480" w:lineRule="atLeast"/>
              <w:rPr>
                <w:rFonts w:ascii="宋体" w:hAnsi="宋体"/>
                <w:b/>
                <w:bCs/>
                <w:iCs/>
                <w:sz w:val="24"/>
                <w:szCs w:val="24"/>
              </w:rPr>
            </w:pPr>
            <w:r w:rsidRPr="007C557C">
              <w:rPr>
                <w:rFonts w:ascii="宋体" w:hAnsi="宋体" w:hint="eastAsia"/>
                <w:b/>
                <w:bCs/>
                <w:iCs/>
                <w:sz w:val="24"/>
                <w:szCs w:val="24"/>
              </w:rPr>
              <w:t>上市公司接待人员姓名</w:t>
            </w:r>
          </w:p>
        </w:tc>
        <w:tc>
          <w:tcPr>
            <w:tcW w:w="3881" w:type="pct"/>
            <w:tcBorders>
              <w:top w:val="single" w:sz="4" w:space="0" w:color="auto"/>
              <w:left w:val="single" w:sz="4" w:space="0" w:color="auto"/>
              <w:bottom w:val="single" w:sz="4" w:space="0" w:color="auto"/>
              <w:right w:val="single" w:sz="4" w:space="0" w:color="auto"/>
            </w:tcBorders>
          </w:tcPr>
          <w:p w:rsidR="00DF3A8D" w:rsidRPr="007C557C" w:rsidRDefault="0066564F" w:rsidP="00630B8B">
            <w:pPr>
              <w:spacing w:line="480" w:lineRule="atLeast"/>
              <w:rPr>
                <w:rFonts w:ascii="宋体" w:hAnsi="宋体"/>
                <w:bCs/>
                <w:iCs/>
                <w:sz w:val="24"/>
                <w:szCs w:val="24"/>
              </w:rPr>
            </w:pPr>
            <w:r w:rsidRPr="007C557C">
              <w:rPr>
                <w:rFonts w:ascii="宋体" w:hAnsi="宋体" w:hint="eastAsia"/>
                <w:bCs/>
                <w:iCs/>
                <w:sz w:val="24"/>
                <w:szCs w:val="24"/>
              </w:rPr>
              <w:t>吴光明</w:t>
            </w:r>
            <w:r w:rsidR="00630B8B" w:rsidRPr="007C557C">
              <w:rPr>
                <w:rFonts w:ascii="宋体" w:hAnsi="宋体" w:hint="eastAsia"/>
                <w:bCs/>
                <w:iCs/>
                <w:sz w:val="24"/>
                <w:szCs w:val="24"/>
              </w:rPr>
              <w:t xml:space="preserve"> </w:t>
            </w:r>
            <w:r w:rsidR="00322B34" w:rsidRPr="007C557C">
              <w:rPr>
                <w:rFonts w:ascii="宋体" w:hAnsi="宋体" w:hint="eastAsia"/>
                <w:bCs/>
                <w:iCs/>
                <w:sz w:val="24"/>
                <w:szCs w:val="24"/>
              </w:rPr>
              <w:t>吴群</w:t>
            </w:r>
            <w:r w:rsidR="00630B8B" w:rsidRPr="007C557C">
              <w:rPr>
                <w:rFonts w:ascii="宋体" w:hAnsi="宋体" w:hint="eastAsia"/>
                <w:bCs/>
                <w:iCs/>
                <w:sz w:val="24"/>
                <w:szCs w:val="24"/>
              </w:rPr>
              <w:t xml:space="preserve"> 陈坚 </w:t>
            </w:r>
            <w:r w:rsidRPr="007C557C">
              <w:rPr>
                <w:rFonts w:ascii="宋体" w:hAnsi="宋体" w:hint="eastAsia"/>
                <w:bCs/>
                <w:iCs/>
                <w:sz w:val="24"/>
                <w:szCs w:val="24"/>
              </w:rPr>
              <w:t>王瑞洁</w:t>
            </w:r>
            <w:r w:rsidR="00630B8B" w:rsidRPr="007C557C">
              <w:rPr>
                <w:rFonts w:ascii="宋体" w:hAnsi="宋体" w:hint="eastAsia"/>
                <w:bCs/>
                <w:iCs/>
                <w:sz w:val="24"/>
                <w:szCs w:val="24"/>
              </w:rPr>
              <w:t xml:space="preserve"> </w:t>
            </w:r>
            <w:r w:rsidRPr="007C557C">
              <w:rPr>
                <w:rFonts w:ascii="宋体" w:hAnsi="宋体" w:hint="eastAsia"/>
                <w:bCs/>
                <w:iCs/>
                <w:sz w:val="24"/>
                <w:szCs w:val="24"/>
              </w:rPr>
              <w:t>赵帅</w:t>
            </w:r>
            <w:r w:rsidR="00630B8B" w:rsidRPr="007C557C">
              <w:rPr>
                <w:rFonts w:ascii="宋体" w:hAnsi="宋体" w:hint="eastAsia"/>
                <w:bCs/>
                <w:iCs/>
                <w:sz w:val="24"/>
                <w:szCs w:val="24"/>
              </w:rPr>
              <w:t xml:space="preserve"> </w:t>
            </w:r>
            <w:r w:rsidRPr="007C557C">
              <w:rPr>
                <w:rFonts w:ascii="宋体" w:hAnsi="宋体" w:hint="eastAsia"/>
                <w:bCs/>
                <w:iCs/>
                <w:sz w:val="24"/>
                <w:szCs w:val="24"/>
              </w:rPr>
              <w:t>徐楠轩</w:t>
            </w:r>
            <w:r w:rsidR="00630B8B" w:rsidRPr="007C557C">
              <w:rPr>
                <w:rFonts w:ascii="宋体" w:hAnsi="宋体" w:hint="eastAsia"/>
                <w:bCs/>
                <w:iCs/>
                <w:sz w:val="24"/>
                <w:szCs w:val="24"/>
              </w:rPr>
              <w:t xml:space="preserve"> </w:t>
            </w:r>
            <w:r w:rsidRPr="007C557C">
              <w:rPr>
                <w:rFonts w:ascii="宋体" w:hAnsi="宋体" w:hint="eastAsia"/>
                <w:bCs/>
                <w:iCs/>
                <w:sz w:val="24"/>
                <w:szCs w:val="24"/>
              </w:rPr>
              <w:t>王丽华</w:t>
            </w:r>
            <w:r w:rsidR="00630B8B" w:rsidRPr="007C557C">
              <w:rPr>
                <w:rFonts w:ascii="宋体" w:hAnsi="宋体" w:hint="eastAsia"/>
                <w:bCs/>
                <w:iCs/>
                <w:sz w:val="24"/>
                <w:szCs w:val="24"/>
              </w:rPr>
              <w:t xml:space="preserve"> </w:t>
            </w:r>
            <w:r w:rsidRPr="007C557C">
              <w:rPr>
                <w:rFonts w:ascii="宋体" w:hAnsi="宋体" w:hint="eastAsia"/>
                <w:bCs/>
                <w:iCs/>
                <w:sz w:val="24"/>
                <w:szCs w:val="24"/>
              </w:rPr>
              <w:t>张雨阳</w:t>
            </w:r>
          </w:p>
        </w:tc>
      </w:tr>
      <w:tr w:rsidR="00F4120C" w:rsidRPr="007C557C" w:rsidTr="00D02BB7">
        <w:trPr>
          <w:trHeight w:val="1757"/>
        </w:trPr>
        <w:tc>
          <w:tcPr>
            <w:tcW w:w="1119" w:type="pct"/>
            <w:tcBorders>
              <w:top w:val="single" w:sz="4" w:space="0" w:color="auto"/>
              <w:left w:val="single" w:sz="4" w:space="0" w:color="auto"/>
              <w:bottom w:val="single" w:sz="4" w:space="0" w:color="auto"/>
              <w:right w:val="single" w:sz="4" w:space="0" w:color="auto"/>
            </w:tcBorders>
            <w:vAlign w:val="center"/>
          </w:tcPr>
          <w:p w:rsidR="00F4120C" w:rsidRPr="007C557C" w:rsidRDefault="00F4120C">
            <w:pPr>
              <w:spacing w:line="480" w:lineRule="atLeast"/>
              <w:rPr>
                <w:rFonts w:ascii="宋体" w:hAnsi="宋体"/>
                <w:b/>
                <w:bCs/>
                <w:iCs/>
                <w:sz w:val="24"/>
                <w:szCs w:val="24"/>
              </w:rPr>
            </w:pPr>
            <w:r w:rsidRPr="007C557C">
              <w:rPr>
                <w:rFonts w:ascii="宋体" w:hAnsi="宋体" w:hint="eastAsia"/>
                <w:b/>
                <w:bCs/>
                <w:iCs/>
                <w:sz w:val="24"/>
                <w:szCs w:val="24"/>
              </w:rPr>
              <w:t>投资者关系活动主要内容介绍</w:t>
            </w:r>
          </w:p>
          <w:p w:rsidR="00F4120C" w:rsidRPr="007C557C" w:rsidRDefault="00F4120C">
            <w:pPr>
              <w:spacing w:line="480" w:lineRule="atLeast"/>
              <w:rPr>
                <w:rFonts w:ascii="宋体" w:hAnsi="宋体"/>
                <w:b/>
                <w:bCs/>
                <w:iCs/>
                <w:sz w:val="24"/>
                <w:szCs w:val="24"/>
              </w:rPr>
            </w:pPr>
          </w:p>
        </w:tc>
        <w:tc>
          <w:tcPr>
            <w:tcW w:w="3881" w:type="pct"/>
            <w:tcBorders>
              <w:top w:val="single" w:sz="4" w:space="0" w:color="auto"/>
              <w:left w:val="single" w:sz="4" w:space="0" w:color="auto"/>
              <w:bottom w:val="single" w:sz="4" w:space="0" w:color="auto"/>
              <w:right w:val="single" w:sz="4" w:space="0" w:color="auto"/>
            </w:tcBorders>
          </w:tcPr>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1、公司对线上电商业务今年双十一的展望？未来线上业务的开展是否会采取直播电商的方式？</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答：“双十一”的线上销售活动，公司已经五连冠，今年同样也是准备充分，依然有信心在双十一期间创造优秀成绩，交与投资者一份满意答卷。公司一直有通过直播电商的形式开展销售业务，并设有专门直播间、直播团队，同</w:t>
            </w:r>
            <w:r w:rsidRPr="007C557C">
              <w:rPr>
                <w:rFonts w:ascii="宋体" w:hAnsi="宋体" w:hint="eastAsia"/>
                <w:color w:val="111F2C"/>
                <w:sz w:val="24"/>
                <w:szCs w:val="24"/>
              </w:rPr>
              <w:lastRenderedPageBreak/>
              <w:t>时会与头部主播进行带货合作，助推业绩增长。</w:t>
            </w:r>
          </w:p>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2、疫情过后，对海外市场有怎样的布局？</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 xml:space="preserve">答：往期海外业务在公司一直是规模占比较小的板块，最初主要以贸易形式开展经营。自从五年前开始在东南亚地区探索海外以自主品牌销售的模式，取得很好的成效，使得公司在东南亚地区销售额有近二十倍的增长，去年做到了一个多亿的规模。公司在泰国、越南、缅甸等地区都派出了负责人，在当地设立办事处并招聘本地员工，推广自主品牌，探索出一套本地化外销模式。 </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这次全球疫情相当于公司海外团队的压力测试，在疫情后续阶段，公司的疫情相关产品，甚至非疫情相关产品，在定价水平较高的情况下，依然受到海外客户的青睐，主要是源于海外客户对于鱼跃品牌的认可，亦说明公司产品质量已具备出海的能力。未来也将在海外各地区陆续推动人员外派-本地化销售的推广模式，并且现在已有新一批外销同事出征，奔赴一线。外销不止是销售问题，更多的是公司对自身资源的整合。随着对海外各市场多样化需求了解的逐步深入，相信未来海外业务板块会成为公司业绩增长的强劲动力。</w:t>
            </w:r>
          </w:p>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3、公司对动态血糖监测（CGM）的布局？</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答：CGM是家用医疗器械赛道的单品，公司希望取得高度成熟的CGM产品技术，当前CGM产品最大的场域主要在电商，也是公司具备完善渠道实力与销售能力的领域，此外公司在院内的医生资源也能发挥重大作用。当前天猫和京东有关产品价格还是一个比较大的问题，希望公司未来能推出CGM后会对市场有所改善，公司现有的血糖产品每年也在快速增长，对于血糖监测业务一直持有较大的信心。</w:t>
            </w:r>
          </w:p>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4、鱼跃医疗在创始人心目中的定位？在未来三年希望鱼跃发展为什么样的公司？</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答：公司董事长于1998年创立公司，现将旗帜交给其子吴群先生以及新的管理团队，在个人、家庭的事业中，对鱼跃医疗投入的资源最大、心血最多，全程为上市公司保驾护航，鱼跃集团也在为上市公司培养氛围和土壤，包括这次高管团队的重大变革，也是为将来的发展做准备。鱼跃医疗以后只会去并购其他公司，而非被并购。在河阳投入巨资建立产业基地，提升研发团队，是为未来奠定良好稳固的基础。创业至今，认为最强的是人才，其次是产品，再次是处于非常好的赛道，因此未来依然会将绝大部分的精力投入于上市公司，打造好的团队，将公司做大做强。</w:t>
            </w:r>
          </w:p>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5、呼吸治疗解决方案在院内院外销售展望？</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lastRenderedPageBreak/>
              <w:t>答：从13年第一台单水平无创呼吸机，到后来的双水平无创呼吸机，到最近新推出的高流量呼吸湿化治疗仪，公司也是经过一系列的摸索与讨论，最终将战略定位到无创产品的2B、2C领域，因为公司在院外有很好的基础，依托院内产品临床使用、医生认可及患者口碑，发挥院外批量复制的能力，为公司形成品牌选择壁垒</w:t>
            </w:r>
            <w:r w:rsidR="008E11EC">
              <w:rPr>
                <w:rFonts w:ascii="宋体" w:hAnsi="宋体" w:hint="eastAsia"/>
                <w:color w:val="111F2C"/>
                <w:sz w:val="24"/>
                <w:szCs w:val="24"/>
              </w:rPr>
              <w:t>的</w:t>
            </w:r>
            <w:r w:rsidRPr="007C557C">
              <w:rPr>
                <w:rFonts w:ascii="宋体" w:hAnsi="宋体" w:hint="eastAsia"/>
                <w:color w:val="111F2C"/>
                <w:sz w:val="24"/>
                <w:szCs w:val="24"/>
              </w:rPr>
              <w:t>作用。公司认为高流量系列产品今后的应用场景，不止是在医院，而是像制氧机一样，成为家庭必备，如同在临床端，原先是在呼吸科使用，现在已经应用到各科室。未来，公司也会结合制氧、呼吸、雾化等方面的技术优势，关联整合，不断尝试新品类，谢谢。</w:t>
            </w:r>
          </w:p>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6、对眼科领域苏州六六视觉科技股份有限公司的改造，以及对该公司未来的展望？</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答：第一，今年将苏州六六视觉的生产基地从苏州老城区搬迁到鱼跃的工业园区，初步计划明年一季度基本部署完成，会对六六的生产质量和生产效率方面均有较大提升；第二，公司会对六六的销售团队的组织管理进行一定调整；第三，在产品方面公司首先选择了两款销量和对销售影响最大的产品进行改善，由于传统眼科产品在光学设计的弱势，公司找到给蔡司做多年代工的厂家进行合作，共同改善光路光学问题。最后，公司会通过德国的专业团队对六六的产品进行工业设计、外观的改善，未来相关产品的推出，对六六的长远发展会有至关重要的作用。</w:t>
            </w:r>
          </w:p>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7、中优的院外业务状况如何？</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答：中优的消毒感控产品具有医院的背书，对民用市场的发展具有积极的作用，长期来看消毒系列产品的民用市场仍然是发展的重点方向。另外医院线方面仍然具有很大的空间，虽然疫情的影响正在下降，但是中优在院内的销售量预计不会</w:t>
            </w:r>
            <w:r w:rsidR="008E11EC">
              <w:rPr>
                <w:rFonts w:ascii="宋体" w:hAnsi="宋体" w:hint="eastAsia"/>
                <w:color w:val="111F2C"/>
                <w:sz w:val="24"/>
                <w:szCs w:val="24"/>
              </w:rPr>
              <w:t>受</w:t>
            </w:r>
            <w:r w:rsidRPr="007C557C">
              <w:rPr>
                <w:rFonts w:ascii="宋体" w:hAnsi="宋体" w:hint="eastAsia"/>
                <w:color w:val="111F2C"/>
                <w:sz w:val="24"/>
                <w:szCs w:val="24"/>
              </w:rPr>
              <w:t>到太大影响，因为疫情期间只有20%的科室正常工作并在使用消毒产品，随着医院接诊的恢复正常，各科室的消毒产品使用量正在提升。除了消毒洗手液外其他系列产品的民用推广也正在进行中。</w:t>
            </w:r>
          </w:p>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8、今年中报合同负债接近10亿，三季报接近6亿多，</w:t>
            </w:r>
            <w:r w:rsidR="008213CD">
              <w:rPr>
                <w:rFonts w:ascii="宋体" w:hAnsi="宋体" w:hint="eastAsia"/>
                <w:b/>
                <w:color w:val="111F2C"/>
                <w:sz w:val="24"/>
                <w:szCs w:val="24"/>
              </w:rPr>
              <w:t>可以</w:t>
            </w:r>
            <w:r w:rsidRPr="007C557C">
              <w:rPr>
                <w:rFonts w:ascii="宋体" w:hAnsi="宋体" w:hint="eastAsia"/>
                <w:b/>
                <w:color w:val="111F2C"/>
                <w:sz w:val="24"/>
                <w:szCs w:val="24"/>
              </w:rPr>
              <w:t xml:space="preserve">展望一下明年的收入和利润吗？ </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答：受疫情影响，今年公司的合同负债大部分是外销形成的，今年上半年是卖方市场，因此公司的现金流良好。公司从今年4月起，已在筹划2021年及其以后公司的发展规划。从公司的长期逻辑看，疫情打开了公司在呼吸类产品、消毒感控产品和外销业务的发展空间，加之公司现金流良好、人才到位，均为公司的发展奠定了良好的基础。</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lastRenderedPageBreak/>
              <w:t>本次疫情对</w:t>
            </w:r>
            <w:r w:rsidR="007F34A7">
              <w:rPr>
                <w:rFonts w:ascii="宋体" w:hAnsi="宋体" w:hint="eastAsia"/>
                <w:color w:val="111F2C"/>
                <w:sz w:val="24"/>
                <w:szCs w:val="24"/>
              </w:rPr>
              <w:t>公司长期的发展具有重大作用，首先疫情使</w:t>
            </w:r>
            <w:r w:rsidRPr="007C557C">
              <w:rPr>
                <w:rFonts w:ascii="宋体" w:hAnsi="宋体" w:hint="eastAsia"/>
                <w:color w:val="111F2C"/>
                <w:sz w:val="24"/>
                <w:szCs w:val="24"/>
              </w:rPr>
              <w:t>医疗器械领域受到</w:t>
            </w:r>
            <w:r w:rsidR="007F34A7">
              <w:rPr>
                <w:rFonts w:ascii="宋体" w:hAnsi="宋体" w:hint="eastAsia"/>
                <w:color w:val="111F2C"/>
                <w:sz w:val="24"/>
                <w:szCs w:val="24"/>
              </w:rPr>
              <w:t>重视</w:t>
            </w:r>
            <w:r w:rsidRPr="007C557C">
              <w:rPr>
                <w:rFonts w:ascii="宋体" w:hAnsi="宋体" w:hint="eastAsia"/>
                <w:color w:val="111F2C"/>
                <w:sz w:val="24"/>
                <w:szCs w:val="24"/>
              </w:rPr>
              <w:t>，其次家用医疗器械是受政治因素影响比较小的赛道，随着未来人民收入的增长以及60后进入老龄化带来的消费模式的改变，家用医疗器械领域仍然是非常值得关注的。</w:t>
            </w:r>
          </w:p>
          <w:p w:rsidR="00A046BD" w:rsidRPr="007C557C" w:rsidRDefault="00A046BD" w:rsidP="00A046BD">
            <w:pPr>
              <w:spacing w:line="360" w:lineRule="auto"/>
              <w:ind w:firstLineChars="200" w:firstLine="482"/>
              <w:rPr>
                <w:rFonts w:ascii="宋体" w:hAnsi="宋体"/>
                <w:b/>
                <w:color w:val="111F2C"/>
                <w:sz w:val="24"/>
                <w:szCs w:val="24"/>
              </w:rPr>
            </w:pPr>
            <w:r w:rsidRPr="007C557C">
              <w:rPr>
                <w:rFonts w:ascii="宋体" w:hAnsi="宋体" w:hint="eastAsia"/>
                <w:b/>
                <w:color w:val="111F2C"/>
                <w:sz w:val="24"/>
                <w:szCs w:val="24"/>
              </w:rPr>
              <w:t>9、公司是否有类似3G Capital等体系的输送、整合？以及并购百胜之后怎么管理？</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答：首先在投管上，公司的投后体系正在进一步升级。目前的投管公司以院内医疗器械为主，按照今年的商业计划，现有投管企业的月度和季度的经营分析管理报告都在持续搭建。</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同时，近几个月，公司新一届管理团队已在推进未来3-5年的长期发展战略，也邀请了麦肯锡团队进行指导，相关方案将尽快制定落地，公司会形成从战略到商业计划到月度、季度经营分析报告及商业合同的投管体系的闭环。</w:t>
            </w:r>
          </w:p>
          <w:p w:rsidR="00A046BD" w:rsidRPr="007C557C" w:rsidRDefault="00A046BD" w:rsidP="008213C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其次，对投管企业的赋能上，公司目前正在做的是财务和生产上的赋能。在财务方面，鱼跃作为上市公司，财务管理规范，在财务处理上能帮助到投管企业；另外，公司也为一些投管企业解决了一些历史遗留的财务问题。在生产方面，公司力求实现对投管企业生产及大规模工业制造上的赋能，比如上手厂的部分生产线搬迁至丹阳的生产基地，六六的部分生产线搬迁到了苏州的工业园区，都是为了发挥鱼跃在智能制造上的赋能。未来公司还会重视在研发和销售人才上的储备和赋能。</w:t>
            </w:r>
          </w:p>
          <w:p w:rsidR="00A046BD" w:rsidRPr="007C557C" w:rsidRDefault="008213CD" w:rsidP="00A046BD">
            <w:pPr>
              <w:spacing w:line="360" w:lineRule="auto"/>
              <w:ind w:firstLineChars="200" w:firstLine="482"/>
              <w:rPr>
                <w:rFonts w:ascii="宋体" w:hAnsi="宋体"/>
                <w:b/>
                <w:color w:val="111F2C"/>
                <w:sz w:val="24"/>
                <w:szCs w:val="24"/>
              </w:rPr>
            </w:pPr>
            <w:r>
              <w:rPr>
                <w:rFonts w:ascii="宋体" w:hAnsi="宋体" w:hint="eastAsia"/>
                <w:b/>
                <w:color w:val="111F2C"/>
                <w:sz w:val="24"/>
                <w:szCs w:val="24"/>
              </w:rPr>
              <w:t>10</w:t>
            </w:r>
            <w:r w:rsidR="00A046BD" w:rsidRPr="007C557C">
              <w:rPr>
                <w:rFonts w:ascii="宋体" w:hAnsi="宋体" w:hint="eastAsia"/>
                <w:b/>
                <w:color w:val="111F2C"/>
                <w:sz w:val="24"/>
                <w:szCs w:val="24"/>
              </w:rPr>
              <w:t>、鱼跃前三季度表现靓丽，对前三季度贡献最大的几个产品，包括体温检测、呼吸、手消等在前三季度的业务状况如何？随着全球疫情进展，如何看待抗疫产品后续的订单情况？增量方面，在</w:t>
            </w:r>
            <w:r w:rsidR="00481648">
              <w:rPr>
                <w:rFonts w:ascii="宋体" w:hAnsi="宋体" w:hint="eastAsia"/>
                <w:b/>
                <w:color w:val="111F2C"/>
                <w:sz w:val="24"/>
                <w:szCs w:val="24"/>
              </w:rPr>
              <w:t>其他</w:t>
            </w:r>
            <w:r w:rsidR="00A046BD" w:rsidRPr="007C557C">
              <w:rPr>
                <w:rFonts w:ascii="宋体" w:hAnsi="宋体" w:hint="eastAsia"/>
                <w:b/>
                <w:color w:val="111F2C"/>
                <w:sz w:val="24"/>
                <w:szCs w:val="24"/>
              </w:rPr>
              <w:t>领域，像手术器械未来会有怎样的布局？</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答：呼吸机无疑是在上半年最大产品，特别是在利润端；制氧机、体温、血氧、消毒洗手液等都是上半年对公司业绩推动非常大的产品。制氧机在目前的海外订单增长还是很稳定，同比去年增量较大，并且公司制氧机产品在海外市场的品质、品牌、口碑基本都有进一步的提升，业务前景广阔。呼吸机产品经过全球饱和式救援需求后，订单增量偏少一点。体温、血氧监测类还是有持续有增量订单发生。</w:t>
            </w:r>
          </w:p>
          <w:p w:rsidR="00A046BD" w:rsidRPr="007C557C" w:rsidRDefault="00A046BD" w:rsidP="00A046BD">
            <w:pPr>
              <w:spacing w:line="360" w:lineRule="auto"/>
              <w:ind w:firstLineChars="200" w:firstLine="480"/>
              <w:rPr>
                <w:rFonts w:ascii="宋体" w:hAnsi="宋体"/>
                <w:color w:val="111F2C"/>
                <w:sz w:val="24"/>
                <w:szCs w:val="24"/>
              </w:rPr>
            </w:pPr>
            <w:r w:rsidRPr="007C557C">
              <w:rPr>
                <w:rFonts w:ascii="宋体" w:hAnsi="宋体" w:hint="eastAsia"/>
                <w:color w:val="111F2C"/>
                <w:sz w:val="24"/>
                <w:szCs w:val="24"/>
              </w:rPr>
              <w:t>此外，公司常规产品业务开展较好，电子血压计、血糖产品，单季度增速其实都恢复到了较高的水平，在部分产品疫情效益逐渐减弱的情况下，常规产品也有非常大的增量市场空间，为公司整体业绩提升提供了稳定助力。</w:t>
            </w:r>
          </w:p>
          <w:p w:rsidR="00420D53" w:rsidRPr="00A046BD" w:rsidRDefault="00A046BD" w:rsidP="00BB2A9D">
            <w:pPr>
              <w:spacing w:line="360" w:lineRule="auto"/>
            </w:pPr>
            <w:r w:rsidRPr="007C557C">
              <w:rPr>
                <w:rFonts w:ascii="宋体" w:hAnsi="宋体" w:hint="eastAsia"/>
                <w:color w:val="111F2C"/>
                <w:sz w:val="24"/>
                <w:szCs w:val="24"/>
              </w:rPr>
              <w:lastRenderedPageBreak/>
              <w:t>手术器械业务未来会分部分：一是传统手术器械，我们希望通过智能制造来解决生产问题，把上海工厂的一部分，即标品（标准的镊、剪、钳）搬到丹阳来，通过自动化改造提升品质与效率；二专科手术器械，这又涉及到几个领域的合</w:t>
            </w:r>
            <w:r w:rsidR="008908C1">
              <w:rPr>
                <w:rFonts w:ascii="宋体" w:hAnsi="宋体" w:hint="eastAsia"/>
                <w:color w:val="111F2C"/>
                <w:sz w:val="24"/>
                <w:szCs w:val="24"/>
              </w:rPr>
              <w:t>作，六六视觉眼科手术器械有一部分放在上海进行研发、制造，未来有与</w:t>
            </w:r>
            <w:r w:rsidRPr="007C557C">
              <w:rPr>
                <w:rFonts w:ascii="宋体" w:hAnsi="宋体" w:hint="eastAsia"/>
                <w:color w:val="111F2C"/>
                <w:sz w:val="24"/>
                <w:szCs w:val="24"/>
              </w:rPr>
              <w:t>兄弟公司开展专科手术器械合作</w:t>
            </w:r>
            <w:r w:rsidR="008908C1">
              <w:rPr>
                <w:rFonts w:ascii="宋体" w:hAnsi="宋体" w:hint="eastAsia"/>
                <w:color w:val="111F2C"/>
                <w:sz w:val="24"/>
                <w:szCs w:val="24"/>
              </w:rPr>
              <w:t>的可能</w:t>
            </w:r>
            <w:r w:rsidRPr="007C557C">
              <w:rPr>
                <w:rFonts w:ascii="宋体" w:hAnsi="宋体" w:hint="eastAsia"/>
                <w:color w:val="111F2C"/>
                <w:sz w:val="24"/>
                <w:szCs w:val="24"/>
              </w:rPr>
              <w:t>。</w:t>
            </w:r>
          </w:p>
        </w:tc>
      </w:tr>
      <w:tr w:rsidR="00F4120C" w:rsidRPr="007C557C" w:rsidTr="00D02BB7">
        <w:tc>
          <w:tcPr>
            <w:tcW w:w="1119" w:type="pct"/>
            <w:tcBorders>
              <w:top w:val="single" w:sz="4" w:space="0" w:color="auto"/>
              <w:left w:val="single" w:sz="4" w:space="0" w:color="auto"/>
              <w:bottom w:val="single" w:sz="4" w:space="0" w:color="auto"/>
              <w:right w:val="single" w:sz="4" w:space="0" w:color="auto"/>
            </w:tcBorders>
            <w:vAlign w:val="center"/>
          </w:tcPr>
          <w:p w:rsidR="00F4120C" w:rsidRPr="007C557C" w:rsidRDefault="00F4120C">
            <w:pPr>
              <w:spacing w:line="480" w:lineRule="atLeast"/>
              <w:rPr>
                <w:rFonts w:ascii="宋体" w:hAnsi="宋体"/>
                <w:b/>
                <w:bCs/>
                <w:iCs/>
                <w:sz w:val="24"/>
                <w:szCs w:val="24"/>
              </w:rPr>
            </w:pPr>
            <w:r w:rsidRPr="007C557C">
              <w:rPr>
                <w:rFonts w:ascii="宋体" w:hAnsi="宋体" w:hint="eastAsia"/>
                <w:b/>
                <w:bCs/>
                <w:iCs/>
                <w:sz w:val="24"/>
                <w:szCs w:val="24"/>
              </w:rPr>
              <w:lastRenderedPageBreak/>
              <w:t>附件清单（如有）</w:t>
            </w:r>
          </w:p>
        </w:tc>
        <w:tc>
          <w:tcPr>
            <w:tcW w:w="3881" w:type="pct"/>
            <w:tcBorders>
              <w:top w:val="single" w:sz="4" w:space="0" w:color="auto"/>
              <w:left w:val="single" w:sz="4" w:space="0" w:color="auto"/>
              <w:bottom w:val="single" w:sz="4" w:space="0" w:color="auto"/>
              <w:right w:val="single" w:sz="4" w:space="0" w:color="auto"/>
            </w:tcBorders>
          </w:tcPr>
          <w:p w:rsidR="00F4120C" w:rsidRPr="007C557C" w:rsidRDefault="00F4120C">
            <w:pPr>
              <w:spacing w:line="480" w:lineRule="atLeast"/>
              <w:rPr>
                <w:rFonts w:ascii="宋体" w:hAnsi="宋体"/>
                <w:bCs/>
                <w:iCs/>
                <w:sz w:val="24"/>
                <w:szCs w:val="24"/>
              </w:rPr>
            </w:pPr>
            <w:r w:rsidRPr="007C557C">
              <w:rPr>
                <w:rFonts w:ascii="宋体" w:hAnsi="宋体" w:hint="eastAsia"/>
                <w:bCs/>
                <w:iCs/>
                <w:sz w:val="24"/>
                <w:szCs w:val="24"/>
              </w:rPr>
              <w:t>无</w:t>
            </w:r>
          </w:p>
        </w:tc>
      </w:tr>
      <w:tr w:rsidR="00F4120C" w:rsidRPr="007C557C" w:rsidTr="00D02BB7">
        <w:tc>
          <w:tcPr>
            <w:tcW w:w="1119" w:type="pct"/>
            <w:tcBorders>
              <w:top w:val="single" w:sz="4" w:space="0" w:color="auto"/>
              <w:left w:val="single" w:sz="4" w:space="0" w:color="auto"/>
              <w:bottom w:val="single" w:sz="4" w:space="0" w:color="auto"/>
              <w:right w:val="single" w:sz="4" w:space="0" w:color="auto"/>
            </w:tcBorders>
            <w:vAlign w:val="center"/>
          </w:tcPr>
          <w:p w:rsidR="00F4120C" w:rsidRPr="007C557C" w:rsidRDefault="00F4120C">
            <w:pPr>
              <w:spacing w:line="480" w:lineRule="atLeast"/>
              <w:rPr>
                <w:rFonts w:ascii="宋体" w:hAnsi="宋体"/>
                <w:b/>
                <w:bCs/>
                <w:iCs/>
                <w:sz w:val="24"/>
                <w:szCs w:val="24"/>
              </w:rPr>
            </w:pPr>
            <w:r w:rsidRPr="007C557C">
              <w:rPr>
                <w:rFonts w:ascii="宋体" w:hAnsi="宋体" w:hint="eastAsia"/>
                <w:b/>
                <w:bCs/>
                <w:iCs/>
                <w:sz w:val="24"/>
                <w:szCs w:val="24"/>
              </w:rPr>
              <w:t>日期</w:t>
            </w:r>
          </w:p>
        </w:tc>
        <w:tc>
          <w:tcPr>
            <w:tcW w:w="3881" w:type="pct"/>
            <w:tcBorders>
              <w:top w:val="single" w:sz="4" w:space="0" w:color="auto"/>
              <w:left w:val="single" w:sz="4" w:space="0" w:color="auto"/>
              <w:bottom w:val="single" w:sz="4" w:space="0" w:color="auto"/>
              <w:right w:val="single" w:sz="4" w:space="0" w:color="auto"/>
            </w:tcBorders>
          </w:tcPr>
          <w:p w:rsidR="00F4120C" w:rsidRPr="007C557C" w:rsidRDefault="00901DF7" w:rsidP="00322B34">
            <w:pPr>
              <w:spacing w:line="480" w:lineRule="atLeast"/>
              <w:rPr>
                <w:rFonts w:ascii="宋体" w:hAnsi="宋体"/>
                <w:bCs/>
                <w:iCs/>
                <w:sz w:val="24"/>
                <w:szCs w:val="24"/>
              </w:rPr>
            </w:pPr>
            <w:r w:rsidRPr="007C557C">
              <w:rPr>
                <w:rFonts w:ascii="宋体" w:hAnsi="宋体" w:hint="eastAsia"/>
                <w:bCs/>
                <w:iCs/>
                <w:sz w:val="24"/>
                <w:szCs w:val="24"/>
              </w:rPr>
              <w:t>2020</w:t>
            </w:r>
            <w:r w:rsidR="00F72958" w:rsidRPr="007C557C">
              <w:rPr>
                <w:rFonts w:ascii="宋体" w:hAnsi="宋体" w:hint="eastAsia"/>
                <w:bCs/>
                <w:iCs/>
                <w:sz w:val="24"/>
                <w:szCs w:val="24"/>
              </w:rPr>
              <w:t>-</w:t>
            </w:r>
            <w:r w:rsidRPr="007C557C">
              <w:rPr>
                <w:rFonts w:ascii="宋体" w:hAnsi="宋体" w:hint="eastAsia"/>
                <w:bCs/>
                <w:iCs/>
                <w:sz w:val="24"/>
                <w:szCs w:val="24"/>
              </w:rPr>
              <w:t>10</w:t>
            </w:r>
            <w:r w:rsidR="00F72958" w:rsidRPr="007C557C">
              <w:rPr>
                <w:rFonts w:ascii="宋体" w:hAnsi="宋体" w:hint="eastAsia"/>
                <w:bCs/>
                <w:iCs/>
                <w:sz w:val="24"/>
                <w:szCs w:val="24"/>
              </w:rPr>
              <w:t>-</w:t>
            </w:r>
            <w:r w:rsidR="00322B34" w:rsidRPr="007C557C">
              <w:rPr>
                <w:rFonts w:ascii="宋体" w:hAnsi="宋体" w:hint="eastAsia"/>
                <w:bCs/>
                <w:iCs/>
                <w:sz w:val="24"/>
                <w:szCs w:val="24"/>
              </w:rPr>
              <w:t>2</w:t>
            </w:r>
            <w:r w:rsidR="00A25CC7" w:rsidRPr="007C557C">
              <w:rPr>
                <w:rFonts w:ascii="宋体" w:hAnsi="宋体" w:hint="eastAsia"/>
                <w:bCs/>
                <w:iCs/>
                <w:sz w:val="24"/>
                <w:szCs w:val="24"/>
              </w:rPr>
              <w:t>7</w:t>
            </w:r>
          </w:p>
        </w:tc>
      </w:tr>
    </w:tbl>
    <w:p w:rsidR="00EF3D88" w:rsidRPr="007C557C" w:rsidRDefault="00EF3D88" w:rsidP="007C557C">
      <w:pPr>
        <w:rPr>
          <w:sz w:val="10"/>
          <w:szCs w:val="10"/>
        </w:rPr>
      </w:pPr>
    </w:p>
    <w:sectPr w:rsidR="00EF3D88" w:rsidRPr="007C557C" w:rsidSect="00D02BB7">
      <w:pgSz w:w="11906" w:h="16838"/>
      <w:pgMar w:top="720" w:right="720" w:bottom="720" w:left="72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689A" w:rsidRDefault="0061689A" w:rsidP="00D814D0">
      <w:r>
        <w:separator/>
      </w:r>
    </w:p>
  </w:endnote>
  <w:endnote w:type="continuationSeparator" w:id="1">
    <w:p w:rsidR="0061689A" w:rsidRDefault="0061689A" w:rsidP="00D81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689A" w:rsidRDefault="0061689A" w:rsidP="00D814D0">
      <w:r>
        <w:separator/>
      </w:r>
    </w:p>
  </w:footnote>
  <w:footnote w:type="continuationSeparator" w:id="1">
    <w:p w:rsidR="0061689A" w:rsidRDefault="0061689A" w:rsidP="00D814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0733"/>
    <w:multiLevelType w:val="hybridMultilevel"/>
    <w:tmpl w:val="4B36D234"/>
    <w:lvl w:ilvl="0" w:tplc="4196828A">
      <w:start w:val="5"/>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783A61"/>
    <w:multiLevelType w:val="hybridMultilevel"/>
    <w:tmpl w:val="F85EE000"/>
    <w:lvl w:ilvl="0" w:tplc="BB786FA8">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A9E66D5"/>
    <w:multiLevelType w:val="hybridMultilevel"/>
    <w:tmpl w:val="8098A6A2"/>
    <w:lvl w:ilvl="0" w:tplc="726AA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804BB3"/>
    <w:multiLevelType w:val="hybridMultilevel"/>
    <w:tmpl w:val="838C1F6C"/>
    <w:lvl w:ilvl="0" w:tplc="1450B9F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9765471"/>
    <w:multiLevelType w:val="hybridMultilevel"/>
    <w:tmpl w:val="43E4D230"/>
    <w:lvl w:ilvl="0" w:tplc="C706C40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F2729B3"/>
    <w:multiLevelType w:val="multilevel"/>
    <w:tmpl w:val="3658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7E3301"/>
    <w:multiLevelType w:val="hybridMultilevel"/>
    <w:tmpl w:val="8952983E"/>
    <w:lvl w:ilvl="0" w:tplc="105A8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62A282A"/>
    <w:multiLevelType w:val="hybridMultilevel"/>
    <w:tmpl w:val="E01400E4"/>
    <w:lvl w:ilvl="0" w:tplc="E3FCF8EA">
      <w:start w:val="1"/>
      <w:numFmt w:val="japaneseCounting"/>
      <w:lvlText w:val="%1、"/>
      <w:lvlJc w:val="left"/>
      <w:pPr>
        <w:ind w:left="780" w:hanging="4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6"/>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120C"/>
    <w:rsid w:val="00002237"/>
    <w:rsid w:val="00011AF4"/>
    <w:rsid w:val="0001282D"/>
    <w:rsid w:val="00012EAF"/>
    <w:rsid w:val="00053F3A"/>
    <w:rsid w:val="00062552"/>
    <w:rsid w:val="000B1D99"/>
    <w:rsid w:val="000C4CB6"/>
    <w:rsid w:val="000E23CD"/>
    <w:rsid w:val="00177CF1"/>
    <w:rsid w:val="00194019"/>
    <w:rsid w:val="00195D53"/>
    <w:rsid w:val="00197B1F"/>
    <w:rsid w:val="001B308E"/>
    <w:rsid w:val="001C49D3"/>
    <w:rsid w:val="001F3416"/>
    <w:rsid w:val="00204CD5"/>
    <w:rsid w:val="00206A1B"/>
    <w:rsid w:val="00234B32"/>
    <w:rsid w:val="00257BC4"/>
    <w:rsid w:val="00296375"/>
    <w:rsid w:val="00296A18"/>
    <w:rsid w:val="002B4D71"/>
    <w:rsid w:val="002B6669"/>
    <w:rsid w:val="002C1AA3"/>
    <w:rsid w:val="002F6816"/>
    <w:rsid w:val="0031335E"/>
    <w:rsid w:val="0031560D"/>
    <w:rsid w:val="00322B34"/>
    <w:rsid w:val="00323135"/>
    <w:rsid w:val="00332632"/>
    <w:rsid w:val="0033726D"/>
    <w:rsid w:val="00362237"/>
    <w:rsid w:val="003A0C21"/>
    <w:rsid w:val="003B07E6"/>
    <w:rsid w:val="003B7E7C"/>
    <w:rsid w:val="003F014E"/>
    <w:rsid w:val="00400714"/>
    <w:rsid w:val="00401608"/>
    <w:rsid w:val="004176D9"/>
    <w:rsid w:val="00420D53"/>
    <w:rsid w:val="00444B1F"/>
    <w:rsid w:val="00481648"/>
    <w:rsid w:val="004F6100"/>
    <w:rsid w:val="005322C9"/>
    <w:rsid w:val="00533E02"/>
    <w:rsid w:val="0055077C"/>
    <w:rsid w:val="00583065"/>
    <w:rsid w:val="00583867"/>
    <w:rsid w:val="005B5F10"/>
    <w:rsid w:val="005D7F44"/>
    <w:rsid w:val="005E5111"/>
    <w:rsid w:val="005E73F2"/>
    <w:rsid w:val="0061689A"/>
    <w:rsid w:val="00630B8B"/>
    <w:rsid w:val="0066564F"/>
    <w:rsid w:val="00677F32"/>
    <w:rsid w:val="006922CD"/>
    <w:rsid w:val="006C1743"/>
    <w:rsid w:val="006E0392"/>
    <w:rsid w:val="007060C8"/>
    <w:rsid w:val="007134FA"/>
    <w:rsid w:val="007269F5"/>
    <w:rsid w:val="0075082A"/>
    <w:rsid w:val="00752E9F"/>
    <w:rsid w:val="00772DE8"/>
    <w:rsid w:val="00775333"/>
    <w:rsid w:val="0079520E"/>
    <w:rsid w:val="007B0419"/>
    <w:rsid w:val="007B46E0"/>
    <w:rsid w:val="007B52CC"/>
    <w:rsid w:val="007C557C"/>
    <w:rsid w:val="007E0B50"/>
    <w:rsid w:val="007F215E"/>
    <w:rsid w:val="007F34A7"/>
    <w:rsid w:val="008029E4"/>
    <w:rsid w:val="00805188"/>
    <w:rsid w:val="008213CD"/>
    <w:rsid w:val="00836F41"/>
    <w:rsid w:val="008908C1"/>
    <w:rsid w:val="008B1BFE"/>
    <w:rsid w:val="008B4872"/>
    <w:rsid w:val="008C50A4"/>
    <w:rsid w:val="008C53D7"/>
    <w:rsid w:val="008D144C"/>
    <w:rsid w:val="008E11EC"/>
    <w:rsid w:val="00901DF7"/>
    <w:rsid w:val="009105B3"/>
    <w:rsid w:val="00915822"/>
    <w:rsid w:val="00936FBA"/>
    <w:rsid w:val="009655F1"/>
    <w:rsid w:val="009737BE"/>
    <w:rsid w:val="00992D7B"/>
    <w:rsid w:val="009B6D7A"/>
    <w:rsid w:val="009C159D"/>
    <w:rsid w:val="009C5459"/>
    <w:rsid w:val="009C6A66"/>
    <w:rsid w:val="009D136F"/>
    <w:rsid w:val="009E5B42"/>
    <w:rsid w:val="009F1685"/>
    <w:rsid w:val="00A0450C"/>
    <w:rsid w:val="00A046BD"/>
    <w:rsid w:val="00A16698"/>
    <w:rsid w:val="00A25CC7"/>
    <w:rsid w:val="00A42CC5"/>
    <w:rsid w:val="00A44D4C"/>
    <w:rsid w:val="00A82BD4"/>
    <w:rsid w:val="00A82CC5"/>
    <w:rsid w:val="00AC0A5A"/>
    <w:rsid w:val="00AE2070"/>
    <w:rsid w:val="00B16984"/>
    <w:rsid w:val="00B1746F"/>
    <w:rsid w:val="00B61B3A"/>
    <w:rsid w:val="00B9782F"/>
    <w:rsid w:val="00BA0C6D"/>
    <w:rsid w:val="00BB2A9D"/>
    <w:rsid w:val="00BB3CC8"/>
    <w:rsid w:val="00BC18B3"/>
    <w:rsid w:val="00BD0AF4"/>
    <w:rsid w:val="00BE03CF"/>
    <w:rsid w:val="00C02071"/>
    <w:rsid w:val="00C05BED"/>
    <w:rsid w:val="00C1709E"/>
    <w:rsid w:val="00C3278B"/>
    <w:rsid w:val="00C53ED6"/>
    <w:rsid w:val="00C840FA"/>
    <w:rsid w:val="00C93C3C"/>
    <w:rsid w:val="00C97F8A"/>
    <w:rsid w:val="00CA6151"/>
    <w:rsid w:val="00D02BB7"/>
    <w:rsid w:val="00D26850"/>
    <w:rsid w:val="00D27E91"/>
    <w:rsid w:val="00D3495A"/>
    <w:rsid w:val="00D34B55"/>
    <w:rsid w:val="00D43458"/>
    <w:rsid w:val="00D5484A"/>
    <w:rsid w:val="00D64D48"/>
    <w:rsid w:val="00D7040A"/>
    <w:rsid w:val="00D814D0"/>
    <w:rsid w:val="00D865B3"/>
    <w:rsid w:val="00DD1DE2"/>
    <w:rsid w:val="00DD3111"/>
    <w:rsid w:val="00DD7263"/>
    <w:rsid w:val="00DF3A8D"/>
    <w:rsid w:val="00E4445B"/>
    <w:rsid w:val="00E5092A"/>
    <w:rsid w:val="00E73707"/>
    <w:rsid w:val="00E74614"/>
    <w:rsid w:val="00E83C49"/>
    <w:rsid w:val="00EB2F28"/>
    <w:rsid w:val="00EB76E3"/>
    <w:rsid w:val="00EC0142"/>
    <w:rsid w:val="00EC090B"/>
    <w:rsid w:val="00EC0D30"/>
    <w:rsid w:val="00EF3D88"/>
    <w:rsid w:val="00F36042"/>
    <w:rsid w:val="00F4120C"/>
    <w:rsid w:val="00F72958"/>
    <w:rsid w:val="00F828B8"/>
    <w:rsid w:val="00F9219D"/>
    <w:rsid w:val="00F976E4"/>
    <w:rsid w:val="00FA0BD3"/>
    <w:rsid w:val="00FA342C"/>
    <w:rsid w:val="00FD00BE"/>
    <w:rsid w:val="00FE6B6D"/>
    <w:rsid w:val="00FF61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120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1CharCharCharCharCharCharCharCharChar1CharCharChar">
    <w:name w:val="Char Char Char Char1 Char Char Char Char Char Char Char Char Char1 Char Char Char"/>
    <w:basedOn w:val="a"/>
    <w:rsid w:val="00F4120C"/>
    <w:pPr>
      <w:widowControl/>
      <w:spacing w:after="160" w:line="240" w:lineRule="exact"/>
      <w:jc w:val="left"/>
    </w:pPr>
    <w:rPr>
      <w:noProof/>
      <w:kern w:val="0"/>
      <w:sz w:val="20"/>
    </w:rPr>
  </w:style>
  <w:style w:type="paragraph" w:styleId="a3">
    <w:name w:val="List Paragraph"/>
    <w:basedOn w:val="a"/>
    <w:uiPriority w:val="34"/>
    <w:qFormat/>
    <w:rsid w:val="00DF3A8D"/>
    <w:pPr>
      <w:ind w:firstLineChars="200" w:firstLine="420"/>
    </w:pPr>
    <w:rPr>
      <w:rFonts w:ascii="Calibri" w:hAnsi="Calibri"/>
      <w:szCs w:val="22"/>
    </w:rPr>
  </w:style>
  <w:style w:type="paragraph" w:styleId="a4">
    <w:name w:val="header"/>
    <w:basedOn w:val="a"/>
    <w:link w:val="Char"/>
    <w:rsid w:val="00D814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814D0"/>
    <w:rPr>
      <w:kern w:val="2"/>
      <w:sz w:val="18"/>
      <w:szCs w:val="18"/>
    </w:rPr>
  </w:style>
  <w:style w:type="paragraph" w:styleId="a5">
    <w:name w:val="footer"/>
    <w:basedOn w:val="a"/>
    <w:link w:val="Char0"/>
    <w:rsid w:val="00D814D0"/>
    <w:pPr>
      <w:tabs>
        <w:tab w:val="center" w:pos="4153"/>
        <w:tab w:val="right" w:pos="8306"/>
      </w:tabs>
      <w:snapToGrid w:val="0"/>
      <w:jc w:val="left"/>
    </w:pPr>
    <w:rPr>
      <w:sz w:val="18"/>
      <w:szCs w:val="18"/>
    </w:rPr>
  </w:style>
  <w:style w:type="character" w:customStyle="1" w:styleId="Char0">
    <w:name w:val="页脚 Char"/>
    <w:basedOn w:val="a0"/>
    <w:link w:val="a5"/>
    <w:rsid w:val="00D814D0"/>
    <w:rPr>
      <w:kern w:val="2"/>
      <w:sz w:val="18"/>
      <w:szCs w:val="18"/>
    </w:rPr>
  </w:style>
  <w:style w:type="paragraph" w:styleId="a6">
    <w:name w:val="Balloon Text"/>
    <w:basedOn w:val="a"/>
    <w:link w:val="Char1"/>
    <w:rsid w:val="00BD0AF4"/>
    <w:rPr>
      <w:sz w:val="18"/>
      <w:szCs w:val="18"/>
    </w:rPr>
  </w:style>
  <w:style w:type="character" w:customStyle="1" w:styleId="Char1">
    <w:name w:val="批注框文本 Char"/>
    <w:basedOn w:val="a0"/>
    <w:link w:val="a6"/>
    <w:rsid w:val="00BD0AF4"/>
    <w:rPr>
      <w:kern w:val="2"/>
      <w:sz w:val="18"/>
      <w:szCs w:val="18"/>
    </w:rPr>
  </w:style>
</w:styles>
</file>

<file path=word/webSettings.xml><?xml version="1.0" encoding="utf-8"?>
<w:webSettings xmlns:r="http://schemas.openxmlformats.org/officeDocument/2006/relationships" xmlns:w="http://schemas.openxmlformats.org/wordprocessingml/2006/main">
  <w:divs>
    <w:div w:id="162315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BFB9-8D33-4AD7-9285-86929EC7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608</Words>
  <Characters>3469</Characters>
  <Application>Microsoft Office Word</Application>
  <DocSecurity>0</DocSecurity>
  <Lines>28</Lines>
  <Paragraphs>8</Paragraphs>
  <ScaleCrop>false</ScaleCrop>
  <Company>YUYUE</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yuyue</dc:creator>
  <cp:lastModifiedBy>User</cp:lastModifiedBy>
  <cp:revision>31</cp:revision>
  <cp:lastPrinted>2020-10-28T11:27:00Z</cp:lastPrinted>
  <dcterms:created xsi:type="dcterms:W3CDTF">2020-10-28T10:27:00Z</dcterms:created>
  <dcterms:modified xsi:type="dcterms:W3CDTF">2020-10-28T11:46:00Z</dcterms:modified>
</cp:coreProperties>
</file>