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60" w:rsidRDefault="00AB5C60">
      <w:pPr>
        <w:pStyle w:val="1"/>
        <w:snapToGrid w:val="0"/>
        <w:jc w:val="both"/>
        <w:rPr>
          <w:rFonts w:ascii="宋体" w:eastAsia="宋体" w:hAnsi="宋体"/>
        </w:rPr>
      </w:pPr>
    </w:p>
    <w:p w:rsidR="00AB5C60" w:rsidRDefault="00E16698">
      <w:pPr>
        <w:snapToGrid w:val="0"/>
        <w:spacing w:line="360" w:lineRule="auto"/>
        <w:jc w:val="center"/>
        <w:rPr>
          <w:rFonts w:ascii="宋体" w:eastAsia="宋体" w:hAnsi="宋体"/>
          <w:b/>
          <w:bCs/>
          <w:color w:val="000000"/>
          <w:sz w:val="44"/>
          <w:szCs w:val="44"/>
        </w:rPr>
      </w:pPr>
      <w:r>
        <w:rPr>
          <w:rFonts w:ascii="宋体" w:eastAsia="宋体" w:hAnsi="宋体"/>
          <w:b/>
          <w:bCs/>
          <w:color w:val="000000"/>
          <w:sz w:val="44"/>
          <w:szCs w:val="44"/>
        </w:rPr>
        <w:t>深圳中天精装股份有限公司</w:t>
      </w:r>
    </w:p>
    <w:p w:rsidR="00AB5C60" w:rsidRDefault="00E16698">
      <w:pPr>
        <w:snapToGrid w:val="0"/>
        <w:spacing w:line="360" w:lineRule="auto"/>
        <w:jc w:val="center"/>
        <w:rPr>
          <w:rFonts w:ascii="宋体" w:eastAsia="宋体" w:hAnsi="宋体"/>
          <w:b/>
          <w:bCs/>
          <w:color w:val="000000"/>
          <w:sz w:val="44"/>
          <w:szCs w:val="44"/>
        </w:rPr>
      </w:pPr>
      <w:r>
        <w:rPr>
          <w:rFonts w:ascii="宋体" w:eastAsia="宋体" w:hAnsi="宋体"/>
          <w:b/>
          <w:bCs/>
          <w:color w:val="000000"/>
          <w:sz w:val="44"/>
          <w:szCs w:val="44"/>
        </w:rPr>
        <w:t>投资者关系活动记录表</w:t>
      </w:r>
    </w:p>
    <w:p w:rsidR="00AB5C60" w:rsidRDefault="00E16698">
      <w:pPr>
        <w:snapToGrid w:val="0"/>
        <w:spacing w:before="51" w:after="32"/>
        <w:ind w:right="59"/>
        <w:jc w:val="right"/>
        <w:rPr>
          <w:rFonts w:ascii="Times New Roman" w:eastAsia="Times New Roman" w:hAnsi="Times New Roman"/>
          <w:color w:val="000000"/>
          <w:sz w:val="28"/>
          <w:szCs w:val="28"/>
        </w:rPr>
      </w:pPr>
      <w:r>
        <w:rPr>
          <w:rFonts w:ascii="宋体" w:eastAsia="宋体" w:hAnsi="宋体"/>
          <w:color w:val="000000"/>
          <w:sz w:val="28"/>
          <w:szCs w:val="28"/>
        </w:rPr>
        <w:t>编号：</w:t>
      </w:r>
      <w:r>
        <w:rPr>
          <w:rFonts w:ascii="Times New Roman" w:eastAsia="Times New Roman" w:hAnsi="Times New Roman"/>
          <w:color w:val="000000"/>
          <w:sz w:val="28"/>
          <w:szCs w:val="28"/>
        </w:rPr>
        <w:t>2020-016</w:t>
      </w:r>
    </w:p>
    <w:tbl>
      <w:tblPr>
        <w:tblStyle w:val="a5"/>
        <w:tblW w:w="8505" w:type="dxa"/>
        <w:tblLayout w:type="fixed"/>
        <w:tblCellMar>
          <w:top w:w="120" w:type="dxa"/>
          <w:left w:w="60" w:type="dxa"/>
          <w:bottom w:w="120" w:type="dxa"/>
          <w:right w:w="60" w:type="dxa"/>
        </w:tblCellMar>
        <w:tblLook w:val="04A0" w:firstRow="1" w:lastRow="0" w:firstColumn="1" w:lastColumn="0" w:noHBand="0" w:noVBand="1"/>
      </w:tblPr>
      <w:tblGrid>
        <w:gridCol w:w="2258"/>
        <w:gridCol w:w="6247"/>
      </w:tblGrid>
      <w:tr w:rsidR="00AB5C60" w:rsidTr="00C7743B">
        <w:trPr>
          <w:trHeight w:val="2790"/>
        </w:trPr>
        <w:tc>
          <w:tcPr>
            <w:tcW w:w="2258" w:type="dxa"/>
            <w:tcBorders>
              <w:top w:val="single" w:sz="8" w:space="0" w:color="000000"/>
              <w:left w:val="single" w:sz="8" w:space="0" w:color="000000"/>
              <w:bottom w:val="single" w:sz="8" w:space="0" w:color="000000"/>
              <w:right w:val="single" w:sz="8" w:space="0" w:color="000000"/>
            </w:tcBorders>
          </w:tcPr>
          <w:p w:rsidR="00AB5C60" w:rsidRDefault="00AB5C60">
            <w:pPr>
              <w:snapToGrid w:val="0"/>
              <w:spacing w:before="7"/>
              <w:rPr>
                <w:rFonts w:ascii="宋体" w:eastAsia="宋体" w:hAnsi="宋体"/>
                <w:color w:val="000000"/>
                <w:sz w:val="18"/>
                <w:szCs w:val="18"/>
              </w:rPr>
            </w:pPr>
          </w:p>
          <w:p w:rsidR="00AB5C60" w:rsidRDefault="00E16698">
            <w:pPr>
              <w:snapToGrid w:val="0"/>
              <w:spacing w:before="1"/>
              <w:ind w:left="107"/>
              <w:rPr>
                <w:rFonts w:ascii="宋体" w:eastAsia="宋体" w:hAnsi="宋体"/>
                <w:color w:val="000000"/>
                <w:szCs w:val="21"/>
              </w:rPr>
            </w:pPr>
            <w:r>
              <w:rPr>
                <w:rFonts w:ascii="宋体" w:eastAsia="宋体" w:hAnsi="宋体"/>
                <w:color w:val="000000"/>
                <w:szCs w:val="21"/>
              </w:rPr>
              <w:t>投资者关系活动类别</w:t>
            </w:r>
          </w:p>
        </w:tc>
        <w:tc>
          <w:tcPr>
            <w:tcW w:w="6247" w:type="dxa"/>
            <w:tcBorders>
              <w:top w:val="single" w:sz="8" w:space="0" w:color="000000"/>
              <w:left w:val="single" w:sz="8" w:space="0" w:color="000000"/>
              <w:bottom w:val="single" w:sz="8" w:space="0" w:color="000000"/>
              <w:right w:val="single" w:sz="8" w:space="0" w:color="000000"/>
            </w:tcBorders>
          </w:tcPr>
          <w:p w:rsidR="00AB5C60" w:rsidRDefault="00AB5C60">
            <w:pPr>
              <w:snapToGrid w:val="0"/>
              <w:spacing w:before="7"/>
              <w:rPr>
                <w:rFonts w:ascii="宋体" w:eastAsia="宋体" w:hAnsi="宋体"/>
                <w:color w:val="000000"/>
                <w:sz w:val="18"/>
                <w:szCs w:val="18"/>
              </w:rPr>
            </w:pPr>
          </w:p>
          <w:p w:rsidR="00AB5C60" w:rsidRDefault="00E16698">
            <w:pPr>
              <w:snapToGrid w:val="0"/>
              <w:ind w:left="107"/>
              <w:rPr>
                <w:rFonts w:ascii="宋体" w:eastAsia="宋体" w:hAnsi="宋体"/>
                <w:color w:val="000000"/>
                <w:szCs w:val="21"/>
              </w:rPr>
            </w:pPr>
            <w:r>
              <w:rPr>
                <w:rFonts w:ascii="宋体" w:eastAsia="宋体" w:hAnsi="宋体"/>
                <w:color w:val="000000"/>
                <w:szCs w:val="21"/>
              </w:rPr>
              <w:t>□特</w:t>
            </w:r>
            <w:r>
              <w:rPr>
                <w:rFonts w:ascii="宋体" w:eastAsia="宋体" w:hAnsi="宋体"/>
                <w:color w:val="000000"/>
                <w:spacing w:val="-3"/>
                <w:szCs w:val="21"/>
              </w:rPr>
              <w:t>定</w:t>
            </w:r>
            <w:r>
              <w:rPr>
                <w:rFonts w:ascii="宋体" w:eastAsia="宋体" w:hAnsi="宋体"/>
                <w:color w:val="000000"/>
                <w:szCs w:val="21"/>
              </w:rPr>
              <w:t>对</w:t>
            </w:r>
            <w:r>
              <w:rPr>
                <w:rFonts w:ascii="宋体" w:eastAsia="宋体" w:hAnsi="宋体"/>
                <w:color w:val="000000"/>
                <w:spacing w:val="-3"/>
                <w:szCs w:val="21"/>
              </w:rPr>
              <w:t>象</w:t>
            </w:r>
            <w:r>
              <w:rPr>
                <w:rFonts w:ascii="宋体" w:eastAsia="宋体" w:hAnsi="宋体"/>
                <w:color w:val="000000"/>
                <w:szCs w:val="21"/>
              </w:rPr>
              <w:t>调研</w:t>
            </w:r>
            <w:r>
              <w:rPr>
                <w:rFonts w:ascii="Times New Roman" w:eastAsia="Times New Roman" w:hAnsi="Times New Roman"/>
                <w:color w:val="000000"/>
                <w:szCs w:val="21"/>
              </w:rPr>
              <w:tab/>
            </w:r>
            <w:r>
              <w:rPr>
                <w:rFonts w:ascii="宋体" w:eastAsia="宋体" w:hAnsi="宋体"/>
                <w:color w:val="000000"/>
                <w:szCs w:val="21"/>
              </w:rPr>
              <w:t>□分</w:t>
            </w:r>
            <w:r>
              <w:rPr>
                <w:rFonts w:ascii="宋体" w:eastAsia="宋体" w:hAnsi="宋体"/>
                <w:color w:val="000000"/>
                <w:spacing w:val="-3"/>
                <w:szCs w:val="21"/>
              </w:rPr>
              <w:t>析</w:t>
            </w:r>
            <w:r>
              <w:rPr>
                <w:rFonts w:ascii="宋体" w:eastAsia="宋体" w:hAnsi="宋体"/>
                <w:color w:val="000000"/>
                <w:szCs w:val="21"/>
              </w:rPr>
              <w:t>师</w:t>
            </w:r>
            <w:r>
              <w:rPr>
                <w:rFonts w:ascii="宋体" w:eastAsia="宋体" w:hAnsi="宋体"/>
                <w:color w:val="000000"/>
                <w:spacing w:val="-3"/>
                <w:szCs w:val="21"/>
              </w:rPr>
              <w:t>会</w:t>
            </w:r>
            <w:r>
              <w:rPr>
                <w:rFonts w:ascii="宋体" w:eastAsia="宋体" w:hAnsi="宋体"/>
                <w:color w:val="000000"/>
                <w:szCs w:val="21"/>
              </w:rPr>
              <w:t>议</w:t>
            </w:r>
          </w:p>
          <w:p w:rsidR="00AB5C60" w:rsidRDefault="00AB5C60">
            <w:pPr>
              <w:snapToGrid w:val="0"/>
              <w:spacing w:before="11"/>
              <w:rPr>
                <w:rFonts w:ascii="宋体" w:eastAsia="宋体" w:hAnsi="宋体"/>
                <w:color w:val="000000"/>
                <w:sz w:val="22"/>
              </w:rPr>
            </w:pPr>
          </w:p>
          <w:p w:rsidR="00AB5C60" w:rsidRDefault="00E16698">
            <w:pPr>
              <w:snapToGrid w:val="0"/>
              <w:ind w:left="107"/>
              <w:rPr>
                <w:rFonts w:ascii="宋体" w:eastAsia="宋体" w:hAnsi="宋体"/>
                <w:color w:val="000000"/>
                <w:szCs w:val="21"/>
              </w:rPr>
            </w:pPr>
            <w:r>
              <w:rPr>
                <w:rFonts w:ascii="宋体" w:eastAsia="宋体" w:hAnsi="宋体"/>
                <w:color w:val="000000"/>
                <w:szCs w:val="21"/>
              </w:rPr>
              <w:t>□媒</w:t>
            </w:r>
            <w:r>
              <w:rPr>
                <w:rFonts w:ascii="宋体" w:eastAsia="宋体" w:hAnsi="宋体"/>
                <w:color w:val="000000"/>
                <w:spacing w:val="-3"/>
                <w:szCs w:val="21"/>
              </w:rPr>
              <w:t>体</w:t>
            </w:r>
            <w:r>
              <w:rPr>
                <w:rFonts w:ascii="宋体" w:eastAsia="宋体" w:hAnsi="宋体"/>
                <w:color w:val="000000"/>
                <w:szCs w:val="21"/>
              </w:rPr>
              <w:t>采访</w:t>
            </w:r>
            <w:r>
              <w:rPr>
                <w:rFonts w:ascii="Times New Roman" w:eastAsia="Times New Roman" w:hAnsi="Times New Roman"/>
                <w:color w:val="000000"/>
                <w:szCs w:val="21"/>
              </w:rPr>
              <w:tab/>
              <w:t xml:space="preserve">        </w:t>
            </w:r>
            <w:r>
              <w:rPr>
                <w:rFonts w:ascii="宋体" w:eastAsia="宋体" w:hAnsi="宋体"/>
                <w:color w:val="000000"/>
                <w:szCs w:val="21"/>
              </w:rPr>
              <w:t>□业</w:t>
            </w:r>
            <w:r>
              <w:rPr>
                <w:rFonts w:ascii="宋体" w:eastAsia="宋体" w:hAnsi="宋体"/>
                <w:color w:val="000000"/>
                <w:spacing w:val="-3"/>
                <w:szCs w:val="21"/>
              </w:rPr>
              <w:t>绩</w:t>
            </w:r>
            <w:r>
              <w:rPr>
                <w:rFonts w:ascii="宋体" w:eastAsia="宋体" w:hAnsi="宋体"/>
                <w:color w:val="000000"/>
                <w:szCs w:val="21"/>
              </w:rPr>
              <w:t>说</w:t>
            </w:r>
            <w:r>
              <w:rPr>
                <w:rFonts w:ascii="宋体" w:eastAsia="宋体" w:hAnsi="宋体"/>
                <w:color w:val="000000"/>
                <w:spacing w:val="-3"/>
                <w:szCs w:val="21"/>
              </w:rPr>
              <w:t>明</w:t>
            </w:r>
            <w:r>
              <w:rPr>
                <w:rFonts w:ascii="宋体" w:eastAsia="宋体" w:hAnsi="宋体"/>
                <w:color w:val="000000"/>
                <w:szCs w:val="21"/>
              </w:rPr>
              <w:t>会</w:t>
            </w:r>
          </w:p>
          <w:p w:rsidR="00AB5C60" w:rsidRDefault="00AB5C60">
            <w:pPr>
              <w:snapToGrid w:val="0"/>
              <w:spacing w:before="8"/>
              <w:rPr>
                <w:rFonts w:ascii="宋体" w:eastAsia="宋体" w:hAnsi="宋体"/>
                <w:color w:val="000000"/>
                <w:sz w:val="22"/>
              </w:rPr>
            </w:pPr>
          </w:p>
          <w:p w:rsidR="00AB5C60" w:rsidRDefault="00E16698">
            <w:pPr>
              <w:snapToGrid w:val="0"/>
              <w:ind w:left="107"/>
              <w:rPr>
                <w:rFonts w:ascii="宋体" w:eastAsia="宋体" w:hAnsi="宋体"/>
                <w:color w:val="000000"/>
                <w:szCs w:val="21"/>
              </w:rPr>
            </w:pPr>
            <w:r>
              <w:rPr>
                <w:rFonts w:ascii="宋体" w:eastAsia="宋体" w:hAnsi="宋体"/>
                <w:color w:val="000000"/>
                <w:szCs w:val="21"/>
              </w:rPr>
              <w:t>□新</w:t>
            </w:r>
            <w:r>
              <w:rPr>
                <w:rFonts w:ascii="宋体" w:eastAsia="宋体" w:hAnsi="宋体"/>
                <w:color w:val="000000"/>
                <w:spacing w:val="-3"/>
                <w:szCs w:val="21"/>
              </w:rPr>
              <w:t>闻</w:t>
            </w:r>
            <w:r>
              <w:rPr>
                <w:rFonts w:ascii="宋体" w:eastAsia="宋体" w:hAnsi="宋体"/>
                <w:color w:val="000000"/>
                <w:szCs w:val="21"/>
              </w:rPr>
              <w:t>发</w:t>
            </w:r>
            <w:r>
              <w:rPr>
                <w:rFonts w:ascii="宋体" w:eastAsia="宋体" w:hAnsi="宋体"/>
                <w:color w:val="000000"/>
                <w:spacing w:val="-3"/>
                <w:szCs w:val="21"/>
              </w:rPr>
              <w:t>布</w:t>
            </w:r>
            <w:r>
              <w:rPr>
                <w:rFonts w:ascii="宋体" w:eastAsia="宋体" w:hAnsi="宋体"/>
                <w:color w:val="000000"/>
                <w:szCs w:val="21"/>
              </w:rPr>
              <w:t>会</w:t>
            </w:r>
            <w:r>
              <w:rPr>
                <w:rFonts w:ascii="Times New Roman" w:eastAsia="Times New Roman" w:hAnsi="Times New Roman"/>
                <w:color w:val="000000"/>
                <w:szCs w:val="21"/>
              </w:rPr>
              <w:tab/>
              <w:t xml:space="preserve">        </w:t>
            </w:r>
            <w:r>
              <w:rPr>
                <w:rFonts w:ascii="宋体" w:eastAsia="宋体" w:hAnsi="宋体"/>
                <w:color w:val="000000"/>
                <w:szCs w:val="21"/>
              </w:rPr>
              <w:t>□路</w:t>
            </w:r>
            <w:r>
              <w:rPr>
                <w:rFonts w:ascii="宋体" w:eastAsia="宋体" w:hAnsi="宋体"/>
                <w:color w:val="000000"/>
                <w:spacing w:val="-3"/>
                <w:szCs w:val="21"/>
              </w:rPr>
              <w:t>演</w:t>
            </w:r>
            <w:r>
              <w:rPr>
                <w:rFonts w:ascii="宋体" w:eastAsia="宋体" w:hAnsi="宋体"/>
                <w:color w:val="000000"/>
                <w:szCs w:val="21"/>
              </w:rPr>
              <w:t>活动</w:t>
            </w:r>
          </w:p>
          <w:p w:rsidR="00AB5C60" w:rsidRDefault="00AB5C60">
            <w:pPr>
              <w:snapToGrid w:val="0"/>
              <w:spacing w:before="8"/>
              <w:rPr>
                <w:rFonts w:ascii="宋体" w:eastAsia="宋体" w:hAnsi="宋体"/>
                <w:color w:val="000000"/>
                <w:sz w:val="22"/>
              </w:rPr>
            </w:pPr>
          </w:p>
          <w:p w:rsidR="00AB5C60" w:rsidRDefault="00E16698">
            <w:pPr>
              <w:snapToGrid w:val="0"/>
              <w:ind w:left="107"/>
              <w:rPr>
                <w:rFonts w:ascii="宋体" w:eastAsia="宋体" w:hAnsi="宋体"/>
                <w:color w:val="000000"/>
                <w:szCs w:val="21"/>
              </w:rPr>
            </w:pPr>
            <w:r>
              <w:rPr>
                <w:rFonts w:ascii="宋体" w:eastAsia="宋体" w:hAnsi="宋体"/>
                <w:color w:val="000000"/>
                <w:szCs w:val="21"/>
              </w:rPr>
              <w:t>□现场参观</w:t>
            </w:r>
          </w:p>
          <w:p w:rsidR="00AB5C60" w:rsidRDefault="00AB5C60">
            <w:pPr>
              <w:snapToGrid w:val="0"/>
              <w:spacing w:before="11"/>
              <w:rPr>
                <w:rFonts w:ascii="宋体" w:eastAsia="宋体" w:hAnsi="宋体"/>
                <w:color w:val="000000"/>
                <w:sz w:val="22"/>
              </w:rPr>
            </w:pPr>
          </w:p>
          <w:p w:rsidR="00AB5C60" w:rsidRDefault="00E16698">
            <w:pPr>
              <w:snapToGrid w:val="0"/>
              <w:ind w:left="107"/>
              <w:rPr>
                <w:rFonts w:ascii="宋体" w:eastAsia="宋体" w:hAnsi="宋体"/>
                <w:color w:val="000000"/>
                <w:szCs w:val="21"/>
              </w:rPr>
            </w:pPr>
            <w:r>
              <w:rPr>
                <w:rFonts w:ascii="宋体" w:eastAsia="宋体" w:hAnsi="宋体"/>
                <w:color w:val="000000"/>
                <w:szCs w:val="21"/>
              </w:rPr>
              <w:t>√其他—腾讯会议</w:t>
            </w:r>
          </w:p>
        </w:tc>
      </w:tr>
      <w:tr w:rsidR="00AB5C60" w:rsidTr="00C7743B">
        <w:trPr>
          <w:trHeight w:val="1110"/>
        </w:trPr>
        <w:tc>
          <w:tcPr>
            <w:tcW w:w="2258" w:type="dxa"/>
            <w:tcBorders>
              <w:top w:val="single" w:sz="8" w:space="0" w:color="000000"/>
              <w:left w:val="single" w:sz="8" w:space="0" w:color="000000"/>
              <w:bottom w:val="single" w:sz="8" w:space="0" w:color="000000"/>
              <w:right w:val="single" w:sz="8" w:space="0" w:color="000000"/>
            </w:tcBorders>
          </w:tcPr>
          <w:p w:rsidR="00AB5C60" w:rsidRDefault="00E16698">
            <w:pPr>
              <w:snapToGrid w:val="0"/>
              <w:spacing w:line="560" w:lineRule="exact"/>
              <w:ind w:left="107" w:right="96"/>
              <w:rPr>
                <w:rFonts w:ascii="宋体" w:eastAsia="宋体" w:hAnsi="宋体"/>
                <w:color w:val="000000"/>
                <w:szCs w:val="21"/>
              </w:rPr>
            </w:pPr>
            <w:r>
              <w:rPr>
                <w:rFonts w:ascii="宋体" w:eastAsia="宋体" w:hAnsi="宋体"/>
                <w:color w:val="000000"/>
                <w:szCs w:val="21"/>
              </w:rPr>
              <w:t>参与单位名称及人员姓名</w:t>
            </w:r>
          </w:p>
        </w:tc>
        <w:tc>
          <w:tcPr>
            <w:tcW w:w="6247" w:type="dxa"/>
            <w:tcBorders>
              <w:top w:val="single" w:sz="8" w:space="0" w:color="000000"/>
              <w:left w:val="single" w:sz="8" w:space="0" w:color="000000"/>
              <w:bottom w:val="single" w:sz="8" w:space="0" w:color="000000"/>
              <w:right w:val="single" w:sz="8" w:space="0" w:color="000000"/>
            </w:tcBorders>
          </w:tcPr>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国盛证券研究所    何亚轩、廖文强</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汇添富基金        赵鹏程、徐逸舟</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广发基金          代振华</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景顺长城基金      余广、梁荣</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交银施罗德基金    王少成</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金鹰基金          孟思锜</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天弘基金          周强</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宝盈基金          朱建明</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中融基金          熊健</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中海基金          梁静静</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红土创新基金      陈方园</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东吴基金          徐嶒、吴昌柏</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高毅资产          袁野</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中银国际资管      李娜</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东北自营          金佳音</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长江资管          张剑鑫</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朴信投资          韩登科</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长乐汇资本        张小仁</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天虫资本          盛军锋</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基石资本          魏婷</w:t>
            </w:r>
          </w:p>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WTAssetManagement 学识</w:t>
            </w:r>
          </w:p>
          <w:p w:rsidR="00AB5C60" w:rsidRDefault="00E16698">
            <w:pPr>
              <w:snapToGrid w:val="0"/>
              <w:rPr>
                <w:rFonts w:ascii="宋体" w:eastAsia="宋体" w:hAnsi="宋体"/>
                <w:color w:val="000000"/>
                <w:spacing w:val="-3"/>
                <w:szCs w:val="21"/>
              </w:rPr>
            </w:pPr>
            <w:r>
              <w:rPr>
                <w:rFonts w:ascii="宋体" w:eastAsia="宋体" w:hAnsi="宋体"/>
                <w:color w:val="000000"/>
                <w:spacing w:val="-3"/>
                <w:szCs w:val="21"/>
              </w:rPr>
              <w:t>BNP               王国光</w:t>
            </w:r>
          </w:p>
        </w:tc>
      </w:tr>
      <w:tr w:rsidR="00AB5C60" w:rsidTr="00C7743B">
        <w:trPr>
          <w:trHeight w:val="555"/>
        </w:trPr>
        <w:tc>
          <w:tcPr>
            <w:tcW w:w="2258" w:type="dxa"/>
            <w:tcBorders>
              <w:top w:val="single" w:sz="8" w:space="0" w:color="000000"/>
              <w:left w:val="single" w:sz="8" w:space="0" w:color="000000"/>
              <w:bottom w:val="single" w:sz="8" w:space="0" w:color="000000"/>
              <w:right w:val="single" w:sz="8" w:space="0" w:color="000000"/>
            </w:tcBorders>
          </w:tcPr>
          <w:p w:rsidR="00AB5C60" w:rsidRDefault="00AB5C60">
            <w:pPr>
              <w:snapToGrid w:val="0"/>
              <w:spacing w:before="7"/>
              <w:rPr>
                <w:rFonts w:ascii="宋体" w:eastAsia="宋体" w:hAnsi="宋体"/>
                <w:color w:val="000000"/>
                <w:sz w:val="18"/>
                <w:szCs w:val="18"/>
              </w:rPr>
            </w:pPr>
          </w:p>
          <w:p w:rsidR="00AB5C60" w:rsidRDefault="00E16698">
            <w:pPr>
              <w:snapToGrid w:val="0"/>
              <w:spacing w:before="1"/>
              <w:ind w:left="107"/>
              <w:rPr>
                <w:rFonts w:ascii="宋体" w:eastAsia="宋体" w:hAnsi="宋体"/>
                <w:color w:val="000000"/>
                <w:szCs w:val="21"/>
              </w:rPr>
            </w:pPr>
            <w:r>
              <w:rPr>
                <w:rFonts w:ascii="宋体" w:eastAsia="宋体" w:hAnsi="宋体"/>
                <w:color w:val="000000"/>
                <w:szCs w:val="21"/>
              </w:rPr>
              <w:t>时间</w:t>
            </w:r>
          </w:p>
        </w:tc>
        <w:tc>
          <w:tcPr>
            <w:tcW w:w="6247" w:type="dxa"/>
            <w:tcBorders>
              <w:top w:val="single" w:sz="8" w:space="0" w:color="000000"/>
              <w:left w:val="single" w:sz="8" w:space="0" w:color="000000"/>
              <w:bottom w:val="single" w:sz="8" w:space="0" w:color="000000"/>
              <w:right w:val="single" w:sz="8" w:space="0" w:color="000000"/>
            </w:tcBorders>
          </w:tcPr>
          <w:p w:rsidR="00AB5C60" w:rsidRDefault="00E16698">
            <w:pPr>
              <w:snapToGrid w:val="0"/>
              <w:rPr>
                <w:rFonts w:ascii="Times New Roman" w:eastAsia="Times New Roman" w:hAnsi="Times New Roman"/>
                <w:color w:val="000000"/>
                <w:spacing w:val="-3"/>
                <w:szCs w:val="21"/>
              </w:rPr>
            </w:pPr>
            <w:r>
              <w:rPr>
                <w:rFonts w:ascii="Times New Roman" w:eastAsia="Times New Roman" w:hAnsi="Times New Roman"/>
                <w:color w:val="000000"/>
                <w:spacing w:val="-3"/>
                <w:szCs w:val="21"/>
              </w:rPr>
              <w:t>2020</w:t>
            </w:r>
            <w:r>
              <w:rPr>
                <w:rFonts w:ascii="宋体" w:eastAsia="宋体" w:hAnsi="宋体"/>
                <w:color w:val="000000"/>
                <w:spacing w:val="-3"/>
                <w:szCs w:val="21"/>
              </w:rPr>
              <w:t>年</w:t>
            </w:r>
            <w:r>
              <w:rPr>
                <w:rFonts w:ascii="Times New Roman" w:eastAsia="Times New Roman" w:hAnsi="Times New Roman"/>
                <w:color w:val="000000"/>
                <w:spacing w:val="-3"/>
                <w:szCs w:val="21"/>
              </w:rPr>
              <w:t>10</w:t>
            </w:r>
            <w:r>
              <w:rPr>
                <w:rFonts w:ascii="宋体" w:eastAsia="宋体" w:hAnsi="宋体"/>
                <w:color w:val="000000"/>
                <w:spacing w:val="-3"/>
                <w:szCs w:val="21"/>
              </w:rPr>
              <w:t>月</w:t>
            </w:r>
            <w:r>
              <w:rPr>
                <w:rFonts w:ascii="Times New Roman" w:eastAsia="Times New Roman" w:hAnsi="Times New Roman"/>
                <w:color w:val="000000"/>
                <w:spacing w:val="-3"/>
                <w:szCs w:val="21"/>
              </w:rPr>
              <w:t>28</w:t>
            </w:r>
            <w:r>
              <w:rPr>
                <w:rFonts w:ascii="宋体" w:eastAsia="宋体" w:hAnsi="宋体"/>
                <w:color w:val="000000"/>
                <w:spacing w:val="-3"/>
                <w:szCs w:val="21"/>
              </w:rPr>
              <w:t>日</w:t>
            </w:r>
            <w:r>
              <w:rPr>
                <w:rFonts w:ascii="Times New Roman" w:eastAsia="Times New Roman" w:hAnsi="Times New Roman"/>
                <w:color w:val="000000"/>
                <w:spacing w:val="-3"/>
                <w:szCs w:val="21"/>
              </w:rPr>
              <w:t xml:space="preserve"> 11:00-12:00</w:t>
            </w:r>
          </w:p>
        </w:tc>
      </w:tr>
      <w:tr w:rsidR="00AB5C60" w:rsidTr="00C7743B">
        <w:trPr>
          <w:trHeight w:val="555"/>
        </w:trPr>
        <w:tc>
          <w:tcPr>
            <w:tcW w:w="2258" w:type="dxa"/>
            <w:tcBorders>
              <w:top w:val="single" w:sz="8" w:space="0" w:color="000000"/>
              <w:left w:val="single" w:sz="8" w:space="0" w:color="000000"/>
              <w:bottom w:val="single" w:sz="8" w:space="0" w:color="000000"/>
              <w:right w:val="single" w:sz="8" w:space="0" w:color="000000"/>
            </w:tcBorders>
          </w:tcPr>
          <w:p w:rsidR="00AB5C60" w:rsidRDefault="00AB5C60">
            <w:pPr>
              <w:snapToGrid w:val="0"/>
              <w:spacing w:before="8"/>
              <w:rPr>
                <w:rFonts w:ascii="宋体" w:eastAsia="宋体" w:hAnsi="宋体"/>
                <w:color w:val="000000"/>
                <w:sz w:val="18"/>
                <w:szCs w:val="18"/>
              </w:rPr>
            </w:pPr>
          </w:p>
          <w:p w:rsidR="00AB5C60" w:rsidRDefault="00E16698">
            <w:pPr>
              <w:snapToGrid w:val="0"/>
              <w:ind w:left="107"/>
              <w:rPr>
                <w:rFonts w:ascii="宋体" w:eastAsia="宋体" w:hAnsi="宋体"/>
                <w:color w:val="000000"/>
                <w:szCs w:val="21"/>
              </w:rPr>
            </w:pPr>
            <w:r>
              <w:rPr>
                <w:rFonts w:ascii="宋体" w:eastAsia="宋体" w:hAnsi="宋体"/>
                <w:color w:val="000000"/>
                <w:szCs w:val="21"/>
              </w:rPr>
              <w:t>地点</w:t>
            </w:r>
          </w:p>
        </w:tc>
        <w:tc>
          <w:tcPr>
            <w:tcW w:w="6247" w:type="dxa"/>
            <w:tcBorders>
              <w:top w:val="single" w:sz="8" w:space="0" w:color="000000"/>
              <w:left w:val="single" w:sz="8" w:space="0" w:color="000000"/>
              <w:bottom w:val="single" w:sz="8" w:space="0" w:color="000000"/>
              <w:right w:val="single" w:sz="8" w:space="0" w:color="000000"/>
            </w:tcBorders>
          </w:tcPr>
          <w:p w:rsidR="00AB5C60" w:rsidRDefault="00E16698">
            <w:pPr>
              <w:snapToGrid w:val="0"/>
              <w:rPr>
                <w:rFonts w:ascii="宋体" w:eastAsia="宋体" w:hAnsi="宋体"/>
                <w:color w:val="000000"/>
                <w:spacing w:val="-3"/>
                <w:szCs w:val="21"/>
              </w:rPr>
            </w:pPr>
            <w:r>
              <w:rPr>
                <w:rFonts w:ascii="宋体" w:eastAsia="宋体" w:hAnsi="宋体"/>
                <w:color w:val="000000"/>
                <w:spacing w:val="-3"/>
                <w:szCs w:val="21"/>
              </w:rPr>
              <w:t>腾讯会议方式</w:t>
            </w:r>
          </w:p>
        </w:tc>
      </w:tr>
      <w:tr w:rsidR="00AB5C60" w:rsidTr="00C7743B">
        <w:trPr>
          <w:trHeight w:val="555"/>
        </w:trPr>
        <w:tc>
          <w:tcPr>
            <w:tcW w:w="2258" w:type="dxa"/>
            <w:tcBorders>
              <w:top w:val="single" w:sz="8" w:space="0" w:color="000000"/>
              <w:left w:val="single" w:sz="8" w:space="0" w:color="000000"/>
              <w:bottom w:val="single" w:sz="8" w:space="0" w:color="000000"/>
              <w:right w:val="single" w:sz="8" w:space="0" w:color="000000"/>
            </w:tcBorders>
          </w:tcPr>
          <w:p w:rsidR="00AB5C60" w:rsidRDefault="00AB5C60">
            <w:pPr>
              <w:snapToGrid w:val="0"/>
              <w:spacing w:before="7"/>
              <w:rPr>
                <w:rFonts w:ascii="宋体" w:eastAsia="宋体" w:hAnsi="宋体"/>
                <w:color w:val="000000"/>
                <w:sz w:val="18"/>
                <w:szCs w:val="18"/>
              </w:rPr>
            </w:pPr>
          </w:p>
          <w:p w:rsidR="00AB5C60" w:rsidRDefault="00E16698">
            <w:pPr>
              <w:snapToGrid w:val="0"/>
              <w:spacing w:before="1"/>
              <w:ind w:left="107"/>
              <w:rPr>
                <w:rFonts w:ascii="宋体" w:eastAsia="宋体" w:hAnsi="宋体"/>
                <w:color w:val="000000"/>
                <w:szCs w:val="21"/>
              </w:rPr>
            </w:pPr>
            <w:r>
              <w:rPr>
                <w:rFonts w:ascii="宋体" w:eastAsia="宋体" w:hAnsi="宋体"/>
                <w:color w:val="000000"/>
                <w:szCs w:val="21"/>
              </w:rPr>
              <w:t>上市公司接待人员姓名</w:t>
            </w:r>
          </w:p>
        </w:tc>
        <w:tc>
          <w:tcPr>
            <w:tcW w:w="6247" w:type="dxa"/>
            <w:tcBorders>
              <w:top w:val="single" w:sz="8" w:space="0" w:color="000000"/>
              <w:left w:val="single" w:sz="8" w:space="0" w:color="000000"/>
              <w:bottom w:val="single" w:sz="8" w:space="0" w:color="000000"/>
              <w:right w:val="single" w:sz="8" w:space="0" w:color="000000"/>
            </w:tcBorders>
          </w:tcPr>
          <w:p w:rsidR="00AB5C60" w:rsidRDefault="00E16698">
            <w:pPr>
              <w:snapToGrid w:val="0"/>
              <w:jc w:val="left"/>
              <w:rPr>
                <w:rFonts w:ascii="微软雅黑" w:eastAsia="微软雅黑" w:hAnsi="微软雅黑"/>
                <w:color w:val="000000"/>
                <w:szCs w:val="21"/>
              </w:rPr>
            </w:pPr>
            <w:r>
              <w:rPr>
                <w:rFonts w:ascii="宋体" w:eastAsia="宋体" w:hAnsi="宋体"/>
                <w:color w:val="000000"/>
                <w:spacing w:val="-3"/>
                <w:szCs w:val="21"/>
              </w:rPr>
              <w:t>总经理张安、财务总监兼董事会秘书毛爱军</w:t>
            </w:r>
          </w:p>
          <w:p w:rsidR="00AB5C60" w:rsidRDefault="00AB5C60">
            <w:pPr>
              <w:snapToGrid w:val="0"/>
              <w:rPr>
                <w:rFonts w:ascii="宋体" w:eastAsia="宋体" w:hAnsi="宋体"/>
                <w:color w:val="000000"/>
                <w:spacing w:val="-3"/>
                <w:szCs w:val="21"/>
              </w:rPr>
            </w:pPr>
          </w:p>
        </w:tc>
      </w:tr>
      <w:tr w:rsidR="00AB5C60" w:rsidTr="00C7743B">
        <w:trPr>
          <w:trHeight w:val="1545"/>
        </w:trPr>
        <w:tc>
          <w:tcPr>
            <w:tcW w:w="2258" w:type="dxa"/>
            <w:tcBorders>
              <w:top w:val="single" w:sz="8" w:space="0" w:color="000000"/>
              <w:left w:val="single" w:sz="8" w:space="0" w:color="000000"/>
              <w:bottom w:val="single" w:sz="8" w:space="0" w:color="000000"/>
              <w:right w:val="single" w:sz="8" w:space="0" w:color="000000"/>
            </w:tcBorders>
          </w:tcPr>
          <w:p w:rsidR="00AB5C60" w:rsidRDefault="00AB5C60">
            <w:pPr>
              <w:snapToGrid w:val="0"/>
              <w:rPr>
                <w:rFonts w:ascii="宋体" w:eastAsia="宋体" w:hAnsi="宋体"/>
                <w:color w:val="000000"/>
                <w:sz w:val="20"/>
                <w:szCs w:val="20"/>
              </w:rPr>
            </w:pPr>
          </w:p>
          <w:p w:rsidR="00AB5C60" w:rsidRDefault="00AB5C60">
            <w:pPr>
              <w:snapToGrid w:val="0"/>
              <w:rPr>
                <w:rFonts w:ascii="宋体" w:eastAsia="宋体" w:hAnsi="宋体"/>
                <w:color w:val="000000"/>
                <w:sz w:val="20"/>
                <w:szCs w:val="20"/>
              </w:rPr>
            </w:pPr>
          </w:p>
          <w:p w:rsidR="00AB5C60" w:rsidRDefault="00AB5C60">
            <w:pPr>
              <w:snapToGrid w:val="0"/>
              <w:spacing w:before="5"/>
              <w:rPr>
                <w:rFonts w:ascii="宋体" w:eastAsia="宋体" w:hAnsi="宋体"/>
                <w:color w:val="000000"/>
                <w:sz w:val="22"/>
              </w:rPr>
            </w:pPr>
          </w:p>
          <w:p w:rsidR="00AB5C60" w:rsidRDefault="00E16698">
            <w:pPr>
              <w:snapToGrid w:val="0"/>
              <w:spacing w:before="1" w:line="499" w:lineRule="auto"/>
              <w:ind w:left="107" w:right="96"/>
              <w:rPr>
                <w:rFonts w:ascii="宋体" w:eastAsia="宋体" w:hAnsi="宋体"/>
                <w:color w:val="000000"/>
                <w:szCs w:val="21"/>
              </w:rPr>
            </w:pPr>
            <w:r>
              <w:rPr>
                <w:rFonts w:ascii="宋体" w:eastAsia="宋体" w:hAnsi="宋体"/>
                <w:color w:val="000000"/>
                <w:szCs w:val="21"/>
              </w:rPr>
              <w:t>投资者关系活动主要内容介绍</w:t>
            </w:r>
          </w:p>
        </w:tc>
        <w:tc>
          <w:tcPr>
            <w:tcW w:w="6247" w:type="dxa"/>
            <w:tcBorders>
              <w:top w:val="single" w:sz="8" w:space="0" w:color="000000"/>
              <w:left w:val="single" w:sz="8" w:space="0" w:color="000000"/>
              <w:bottom w:val="single" w:sz="8" w:space="0" w:color="000000"/>
              <w:right w:val="single" w:sz="8" w:space="0" w:color="000000"/>
            </w:tcBorders>
          </w:tcPr>
          <w:p w:rsidR="00AB5C60" w:rsidRDefault="00E16698">
            <w:pPr>
              <w:snapToGrid w:val="0"/>
              <w:rPr>
                <w:rFonts w:ascii="仿宋" w:eastAsia="仿宋" w:hAnsi="仿宋"/>
                <w:b/>
                <w:bCs/>
                <w:color w:val="000000"/>
                <w:sz w:val="22"/>
              </w:rPr>
            </w:pPr>
            <w:r>
              <w:rPr>
                <w:rFonts w:ascii="仿宋" w:eastAsia="仿宋" w:hAnsi="仿宋"/>
                <w:b/>
                <w:bCs/>
                <w:color w:val="000000"/>
                <w:sz w:val="22"/>
              </w:rPr>
              <w:t>1、请介绍一下公司前三季度的业绩实现情况。</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面对今年疫情的影响以及房地产行业宏观调控不断收紧的严峻形势下，公司在克服房地产行业以及公司自身前2年的快速增长引起的甲、乙双方管控能力都被较快稀释的情况下，整体经营依旧保持了稳健发展。</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主要会计数据和财务指标等情况如下：</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1、 资产情况：</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截止2020年9月底，公司资产总额29.39亿元，比上年末19.98亿元增长47.1%；归属于上市公司股东的净资产为15.96亿元，比上年末7.20亿元增长121.5%。增长最主要的原因是因为公司今年上市导致净资产增加，以及今年实现的利润增加所致。</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2、业绩实现情况：</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1）2020年1-9月，公司实现营业收入18.54亿元，与去年同期相比增长19.15%；实现归属于上市公司股东的净利润1.56亿元，同比增长7.38%；实现归属于上市公司股东的扣除非经常性损益净利润1.49亿元，同比增长4.09%。</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2）公司盈利质量好：收现比（收到现金/营业收入）=91%,比去年同期和上半年提升。经营活动产生的现金流量净额1542.23万元，同比下降60.83%，下降的最主要原因是因为公司今年新增了6500多万的非现金收款，这部分票据暂时没有贴现，导致今年的经营性现金收入减少所致。如果将6500万倒算回去，经营性现金净流入比去年同比增长104.14%。总体看，公司利润含金量较高。</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3）公司实现基本每股收益为1.24元，同比去年下降3.13%，主要是因为今年公司上市新增股本3785万元，股本总额增加，则每股收益下降。公司1-9月加权平均净资产收益率为14.88%，仍属较好位置，同比去年下降37.08%。也是因为公司上市，公司的净资产比去年大幅增加，导致平均净资产收益率下降。</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3、利润增速低于收入增速的分析：</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公司今年营业收入对比去年同期的增长，是在一个公司预期的合理范围。实现的ROE也还在预计值。只是利润的增长率低于收入的增长率，可能让投资者有些小幅失望了，最主要的原因还是因为客观环境以及特殊较大工程合同的范围发生了变化，导致毛利率下降了2%所致。具体主要有3个方面的原因：</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1）疫情的影响：</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一季度二季度，疫情导致项目开工较晚，但各项管理费等刚性支出必须要发生。</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第三季度，体现比较明显的是，因为疫情耽误了工期，导致土建的作业面移交给装修单位也发生了延迟，业主方不愿意给予合理的延期，甲方要求装修单位必须在原定时间完工，导致发生</w:t>
            </w:r>
            <w:r>
              <w:rPr>
                <w:rFonts w:ascii="仿宋" w:eastAsia="仿宋" w:hAnsi="仿宋"/>
                <w:color w:val="000000"/>
                <w:sz w:val="22"/>
              </w:rPr>
              <w:lastRenderedPageBreak/>
              <w:t>了未予补偿的赶工费用。</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2）部分地方政府对于工程的验收标准更严格：</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由于宏观情况不好，房地产市场今年发生的投诉比较严重。不少政府基于投诉压力，对竣工备案标准把握较严，预留时间较多。有的地方政府要求项目干完验收才能开始销售，这样导致甲方也同时要求装修单位大幅提前交付时间，导致发生大量的赶工成本。</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3）特殊较大工程项目的承包范围发生了改变：</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公司今年最大单的工程项目，以前属于甲供材的部分，现在包含在公司的承包范围内，这部分材料超过1个多亿，但是取费只有1.5%，导致全公司整体毛利率下降了0.71%。</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以上3种情况，在今年4季度也会依旧存在。公司今年全年都需要消化这些因素的影响。这个只是一个时间段的问题。到了明年，消除了这些影响，加上公司的人员管理也更加成熟，公司的毛利率应该会在一个稳定的合理范围内。</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考虑今年发生的疫情、政府验收等预期外的情况，公司判断，全年利润的增长和收入的增长应该会大体匹配。当然现在也不能完全下结论，主要是因为今年下半年又新增了房地产行业三条红线的影响，应收账款的回收是否能达到预期还不能完全判断，这个会影响坏账的计提以及公司的整个业务情况。虽然前三季度收现比，比去年有提升，经营性现金流也比去年和上半年改善，但我们对于三条红线的影响还是无法看清楚。所以对于今年的全年增速，公司保持合理谨慎的态度。</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4、公司目前进行的一些管控措施</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1）对于市场开拓：</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市场开拓，一直都是公司的一个短板。公司前些年度，主要是靠公司口碑和大股东个人在业内的知名度承接业务，虽然这几年公司也有所改进，新增了市场部门和市场营销人员，但是公司发现坚朗五金的股价表现非常优异，各项增长速度都非常快，发现其营销人员占比特别高。公司意识到要想更快发展，这些市场人员，其实是远远不够公司的发展需要，公司最近又在大幅扩招市场营销人员，大力加强营销人员的培训，同时进一步完善公司的市场营销管理制度和加强营销管控力度。公司坚定地认为，大力拓展更多的客户资源，不对原有的客户形成依赖，才是一个公司健康成长和发展的基石。</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2）继续加强公司内部管理，提质增效</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由于公司的快速扩张，公司新人也大幅增加，公司的管理精度稀释过快，公司的成本管控能力和利润实现也没有达到预期。公司目前也在全力狠抓员工的教育培训工作，加强项目的预算管理、</w:t>
            </w:r>
            <w:bookmarkStart w:id="0" w:name="_GoBack"/>
            <w:bookmarkEnd w:id="0"/>
            <w:r>
              <w:rPr>
                <w:rFonts w:ascii="仿宋" w:eastAsia="仿宋" w:hAnsi="仿宋"/>
                <w:color w:val="000000"/>
                <w:sz w:val="22"/>
              </w:rPr>
              <w:t>过程控制、质量控制、结算管理和收款力度。公司希望这些新人，经过一定时间的沉淀，能够提质增效，让公司在未来的一年能够取得更大的成绩，不辜负投资者的期待。</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公司也诚挚地向各位投资者表示歉意，公司的利润没有达到期望值。</w:t>
            </w:r>
          </w:p>
          <w:p w:rsidR="00AB5C60" w:rsidRDefault="00AB5C60">
            <w:pPr>
              <w:snapToGrid w:val="0"/>
              <w:rPr>
                <w:rFonts w:ascii="仿宋" w:eastAsia="仿宋" w:hAnsi="仿宋"/>
                <w:b/>
                <w:bCs/>
                <w:color w:val="000000"/>
                <w:sz w:val="22"/>
              </w:rPr>
            </w:pPr>
          </w:p>
          <w:p w:rsidR="00AB5C60" w:rsidRDefault="00E16698">
            <w:pPr>
              <w:snapToGrid w:val="0"/>
              <w:rPr>
                <w:rFonts w:ascii="仿宋" w:eastAsia="仿宋" w:hAnsi="仿宋"/>
                <w:b/>
                <w:bCs/>
                <w:color w:val="000000"/>
                <w:sz w:val="22"/>
              </w:rPr>
            </w:pPr>
            <w:r>
              <w:rPr>
                <w:rFonts w:ascii="仿宋" w:eastAsia="仿宋" w:hAnsi="仿宋"/>
                <w:b/>
                <w:bCs/>
                <w:color w:val="000000"/>
                <w:sz w:val="22"/>
              </w:rPr>
              <w:t>2、请介绍一下公司的业务开展情况。</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公司从上市以来，整体发展态势良好。公司主要有三个优势：</w:t>
            </w:r>
            <w:r>
              <w:rPr>
                <w:rFonts w:ascii="仿宋" w:eastAsia="仿宋" w:hAnsi="仿宋"/>
                <w:color w:val="000000"/>
                <w:sz w:val="22"/>
              </w:rPr>
              <w:lastRenderedPageBreak/>
              <w:t>一是有人，公司目前在职员工在1400人左右，为公司的业务发展提供了充足的人力资源；二是有钱，在如今艰难的市场环境下资金充足毫无疑问是一个强有力的竞争优势；三是有口碑，今年我们的项目拿到了不少奖项，客户的满意度进一步得到了提高。但遗憾的是，公司的这些优势还没有进一步转化为对公司业务的有力提升。</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公司在管理方面有一些新的举措：</w:t>
            </w:r>
          </w:p>
          <w:p w:rsidR="00AB5C60" w:rsidRDefault="00E16698">
            <w:pPr>
              <w:numPr>
                <w:ilvl w:val="0"/>
                <w:numId w:val="33"/>
              </w:numPr>
              <w:snapToGrid w:val="0"/>
              <w:ind w:leftChars="209" w:left="791" w:hangingChars="160" w:hanging="352"/>
              <w:rPr>
                <w:rFonts w:ascii="仿宋" w:eastAsia="仿宋" w:hAnsi="仿宋"/>
                <w:color w:val="000000"/>
                <w:sz w:val="22"/>
              </w:rPr>
            </w:pPr>
            <w:r>
              <w:rPr>
                <w:rFonts w:ascii="仿宋" w:eastAsia="仿宋" w:hAnsi="仿宋"/>
                <w:color w:val="000000"/>
                <w:sz w:val="22"/>
              </w:rPr>
              <w:t>加强市场营销，大力扩充营销队伍</w:t>
            </w:r>
          </w:p>
          <w:p w:rsidR="00AB5C60" w:rsidRDefault="00E16698">
            <w:pPr>
              <w:numPr>
                <w:ilvl w:val="0"/>
                <w:numId w:val="33"/>
              </w:numPr>
              <w:snapToGrid w:val="0"/>
              <w:ind w:leftChars="209" w:left="791" w:hangingChars="160" w:hanging="352"/>
              <w:rPr>
                <w:rFonts w:ascii="仿宋" w:eastAsia="仿宋" w:hAnsi="仿宋"/>
                <w:color w:val="000000"/>
                <w:sz w:val="22"/>
              </w:rPr>
            </w:pPr>
            <w:r>
              <w:rPr>
                <w:rFonts w:ascii="仿宋" w:eastAsia="仿宋" w:hAnsi="仿宋"/>
                <w:color w:val="000000"/>
                <w:sz w:val="22"/>
              </w:rPr>
              <w:t>加强片区管理</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年初公司的片区已经达到了16个，一些新的区域已经开始进驻新的城市、承接新的项目了。原有的区域也在积极开拓新资源，像西北区域，也进驻了新的城市——银川、西宁，也开辟了华北市场。公司会继续加强对各个片区的建设，不断进驻新城市，开发新客户。</w:t>
            </w:r>
          </w:p>
          <w:p w:rsidR="00AB5C60" w:rsidRDefault="00E16698">
            <w:pPr>
              <w:numPr>
                <w:ilvl w:val="0"/>
                <w:numId w:val="33"/>
              </w:numPr>
              <w:snapToGrid w:val="0"/>
              <w:ind w:leftChars="209" w:left="791" w:hangingChars="160" w:hanging="352"/>
              <w:rPr>
                <w:rFonts w:ascii="仿宋" w:eastAsia="仿宋" w:hAnsi="仿宋"/>
                <w:color w:val="000000"/>
                <w:sz w:val="22"/>
              </w:rPr>
            </w:pPr>
            <w:r>
              <w:rPr>
                <w:rFonts w:ascii="仿宋" w:eastAsia="仿宋" w:hAnsi="仿宋"/>
                <w:color w:val="000000"/>
                <w:sz w:val="22"/>
              </w:rPr>
              <w:t>加强内部管理</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去年高速增长让我们认识到公司在管理方面存在的一些漏洞，公司也在不断反思，在投标、策划、应收账款的收回等方面进行查漏补缺。公司会始终立足于批量精装修市场，心无旁骛，深耕主业。</w:t>
            </w:r>
          </w:p>
          <w:p w:rsidR="00AB5C60" w:rsidRDefault="00AB5C60">
            <w:pPr>
              <w:snapToGrid w:val="0"/>
              <w:ind w:firstLineChars="100" w:firstLine="220"/>
              <w:rPr>
                <w:rFonts w:ascii="仿宋" w:eastAsia="仿宋" w:hAnsi="仿宋"/>
                <w:color w:val="000000"/>
                <w:sz w:val="22"/>
              </w:rPr>
            </w:pPr>
          </w:p>
          <w:p w:rsidR="00AB5C60" w:rsidRDefault="00E16698">
            <w:pPr>
              <w:snapToGrid w:val="0"/>
              <w:ind w:hanging="340"/>
              <w:rPr>
                <w:rFonts w:ascii="仿宋" w:eastAsia="仿宋" w:hAnsi="仿宋"/>
                <w:b/>
                <w:bCs/>
                <w:color w:val="000000"/>
                <w:sz w:val="22"/>
              </w:rPr>
            </w:pPr>
            <w:r>
              <w:rPr>
                <w:rFonts w:ascii="仿宋" w:eastAsia="仿宋" w:hAnsi="仿宋"/>
                <w:b/>
                <w:bCs/>
                <w:color w:val="000000"/>
                <w:sz w:val="22"/>
              </w:rPr>
              <w:t>3、</w:t>
            </w:r>
            <w:r w:rsidR="00C7743B">
              <w:rPr>
                <w:rFonts w:ascii="仿宋" w:eastAsia="仿宋" w:hAnsi="仿宋" w:hint="eastAsia"/>
                <w:b/>
                <w:bCs/>
                <w:color w:val="000000"/>
                <w:sz w:val="22"/>
              </w:rPr>
              <w:t>3、</w:t>
            </w:r>
            <w:r>
              <w:rPr>
                <w:rFonts w:ascii="仿宋" w:eastAsia="仿宋" w:hAnsi="仿宋"/>
                <w:b/>
                <w:bCs/>
                <w:color w:val="000000"/>
                <w:sz w:val="22"/>
              </w:rPr>
              <w:t>不管是相对于去年同期还是今年二季度，公司收入与利润的增速都有所放缓，原因是什么？</w:t>
            </w:r>
          </w:p>
          <w:p w:rsidR="00AB5C60" w:rsidRDefault="00E16698">
            <w:pPr>
              <w:numPr>
                <w:ilvl w:val="0"/>
                <w:numId w:val="32"/>
              </w:numPr>
              <w:snapToGrid w:val="0"/>
              <w:ind w:leftChars="209" w:left="791" w:hangingChars="160" w:hanging="352"/>
              <w:rPr>
                <w:rFonts w:ascii="仿宋" w:eastAsia="仿宋" w:hAnsi="仿宋"/>
                <w:color w:val="000000"/>
                <w:sz w:val="22"/>
              </w:rPr>
            </w:pPr>
            <w:r>
              <w:rPr>
                <w:rFonts w:ascii="仿宋" w:eastAsia="仿宋" w:hAnsi="仿宋"/>
                <w:color w:val="000000"/>
                <w:sz w:val="22"/>
              </w:rPr>
              <w:t>收入放缓：</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相对于去年同期来说，确实是因为去年的增速太快了</w:t>
            </w:r>
            <w:r>
              <w:rPr>
                <w:rFonts w:ascii="仿宋" w:eastAsia="仿宋" w:hAnsi="仿宋" w:hint="eastAsia"/>
                <w:color w:val="000000"/>
                <w:sz w:val="22"/>
              </w:rPr>
              <w:t>，基数过大</w:t>
            </w:r>
            <w:r>
              <w:rPr>
                <w:rFonts w:ascii="仿宋" w:eastAsia="仿宋" w:hAnsi="仿宋"/>
                <w:color w:val="000000"/>
                <w:sz w:val="22"/>
              </w:rPr>
              <w:t>；相对于今年二季度的增速，是因为今年1季度疫情爆发项目开工延缓，所以在二季度回调导致增速会高一些。</w:t>
            </w:r>
          </w:p>
          <w:p w:rsidR="00AB5C60" w:rsidRDefault="00E16698">
            <w:pPr>
              <w:numPr>
                <w:ilvl w:val="0"/>
                <w:numId w:val="32"/>
              </w:numPr>
              <w:snapToGrid w:val="0"/>
              <w:ind w:leftChars="209" w:left="791" w:hangingChars="160" w:hanging="352"/>
              <w:rPr>
                <w:rFonts w:ascii="仿宋" w:eastAsia="仿宋" w:hAnsi="仿宋"/>
                <w:color w:val="000000"/>
                <w:sz w:val="22"/>
              </w:rPr>
            </w:pPr>
            <w:r>
              <w:rPr>
                <w:rFonts w:ascii="仿宋" w:eastAsia="仿宋" w:hAnsi="仿宋"/>
                <w:color w:val="000000"/>
                <w:sz w:val="22"/>
              </w:rPr>
              <w:t>利润放缓：</w:t>
            </w:r>
          </w:p>
          <w:p w:rsidR="00D77548" w:rsidRDefault="00D77548">
            <w:pPr>
              <w:snapToGrid w:val="0"/>
              <w:ind w:firstLineChars="200" w:firstLine="440"/>
              <w:rPr>
                <w:rFonts w:ascii="仿宋" w:eastAsia="仿宋" w:hAnsi="仿宋"/>
                <w:color w:val="000000"/>
                <w:sz w:val="22"/>
              </w:rPr>
            </w:pPr>
            <w:r>
              <w:rPr>
                <w:rFonts w:ascii="仿宋" w:eastAsia="仿宋" w:hAnsi="仿宋"/>
                <w:color w:val="000000"/>
                <w:sz w:val="22"/>
              </w:rPr>
              <w:t>三季度出现了一些项目因为疫情导致的土建移交延迟和政府验收的变化导致了一些没有补偿的赶工成本的发生</w:t>
            </w:r>
            <w:r>
              <w:rPr>
                <w:rFonts w:ascii="仿宋" w:eastAsia="仿宋" w:hAnsi="仿宋" w:hint="eastAsia"/>
                <w:color w:val="000000"/>
                <w:sz w:val="22"/>
              </w:rPr>
              <w:t>。</w:t>
            </w:r>
          </w:p>
          <w:p w:rsidR="00AB5C60" w:rsidRDefault="00D77548">
            <w:pPr>
              <w:snapToGrid w:val="0"/>
              <w:ind w:firstLineChars="200" w:firstLine="440"/>
              <w:rPr>
                <w:rFonts w:ascii="仿宋" w:eastAsia="仿宋" w:hAnsi="仿宋"/>
                <w:color w:val="000000"/>
                <w:sz w:val="22"/>
              </w:rPr>
            </w:pPr>
            <w:r>
              <w:rPr>
                <w:rFonts w:ascii="仿宋" w:eastAsia="仿宋" w:hAnsi="仿宋"/>
                <w:color w:val="000000"/>
                <w:sz w:val="22"/>
              </w:rPr>
              <w:t>但</w:t>
            </w:r>
            <w:r w:rsidR="00E16698">
              <w:rPr>
                <w:rFonts w:ascii="仿宋" w:eastAsia="仿宋" w:hAnsi="仿宋"/>
                <w:color w:val="000000"/>
                <w:sz w:val="22"/>
              </w:rPr>
              <w:t>由此</w:t>
            </w:r>
            <w:r>
              <w:rPr>
                <w:rFonts w:ascii="仿宋" w:eastAsia="仿宋" w:hAnsi="仿宋"/>
                <w:color w:val="000000"/>
                <w:sz w:val="22"/>
              </w:rPr>
              <w:t>也</w:t>
            </w:r>
            <w:r w:rsidR="00E16698">
              <w:rPr>
                <w:rFonts w:ascii="仿宋" w:eastAsia="仿宋" w:hAnsi="仿宋"/>
                <w:color w:val="000000"/>
                <w:sz w:val="22"/>
              </w:rPr>
              <w:t xml:space="preserve">暴露出公司内部管理存在的一些问题，公司今年是查漏补缺、不断完善内部管理体系的一年，追求稳健的、有质量的增长。 </w:t>
            </w:r>
          </w:p>
          <w:p w:rsidR="00AB5C60" w:rsidRDefault="00AB5C60">
            <w:pPr>
              <w:snapToGrid w:val="0"/>
              <w:ind w:firstLineChars="200" w:firstLine="440"/>
              <w:rPr>
                <w:rFonts w:ascii="仿宋" w:eastAsia="仿宋" w:hAnsi="仿宋"/>
                <w:color w:val="000000"/>
                <w:sz w:val="22"/>
              </w:rPr>
            </w:pPr>
          </w:p>
          <w:p w:rsidR="00AB5C60" w:rsidRDefault="00E16698">
            <w:pPr>
              <w:snapToGrid w:val="0"/>
              <w:ind w:hanging="340"/>
              <w:rPr>
                <w:rFonts w:ascii="仿宋" w:eastAsia="仿宋" w:hAnsi="仿宋"/>
                <w:b/>
                <w:bCs/>
                <w:color w:val="000000"/>
                <w:sz w:val="22"/>
              </w:rPr>
            </w:pPr>
            <w:r>
              <w:rPr>
                <w:rFonts w:ascii="仿宋" w:eastAsia="仿宋" w:hAnsi="仿宋"/>
                <w:b/>
                <w:bCs/>
                <w:color w:val="000000"/>
                <w:sz w:val="22"/>
              </w:rPr>
              <w:t>4、</w:t>
            </w:r>
            <w:r w:rsidR="00C7743B">
              <w:rPr>
                <w:rFonts w:ascii="仿宋" w:eastAsia="仿宋" w:hAnsi="仿宋" w:hint="eastAsia"/>
                <w:b/>
                <w:bCs/>
                <w:color w:val="000000"/>
                <w:sz w:val="22"/>
              </w:rPr>
              <w:t>4、</w:t>
            </w:r>
            <w:r>
              <w:rPr>
                <w:rFonts w:ascii="仿宋" w:eastAsia="仿宋" w:hAnsi="仿宋"/>
                <w:b/>
                <w:bCs/>
                <w:color w:val="000000"/>
                <w:sz w:val="22"/>
              </w:rPr>
              <w:t>前面提到公司三季度的毛利率受到单一大项目甲供材的影响，会对公司后续甲指、甲供的占比趋势产生影响吗？</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这个项目具有偶然性，具体来说是甲方的一个试验，将以前甲方负责的部分委托给我们进行管理，1.6亿的项目，1.1亿属于甲供材、甲分包，但是并没有对这一部分支付足够的管理费用，由此导致单一项目引起毛利的重大变化。从全国范围看，这种情况极少，是一个偶然现象，对公司未来的甲指、甲供占比趋势不具有一般性的指导意义。</w:t>
            </w:r>
          </w:p>
          <w:p w:rsidR="00AB5C60" w:rsidRDefault="00AB5C60">
            <w:pPr>
              <w:snapToGrid w:val="0"/>
              <w:rPr>
                <w:rFonts w:ascii="仿宋" w:eastAsia="仿宋" w:hAnsi="仿宋"/>
                <w:color w:val="000000"/>
                <w:sz w:val="22"/>
              </w:rPr>
            </w:pPr>
          </w:p>
          <w:p w:rsidR="00AB5C60" w:rsidRDefault="00E16698">
            <w:pPr>
              <w:snapToGrid w:val="0"/>
              <w:ind w:hanging="340"/>
              <w:rPr>
                <w:rFonts w:ascii="仿宋" w:eastAsia="仿宋" w:hAnsi="仿宋"/>
                <w:b/>
                <w:bCs/>
                <w:color w:val="000000"/>
                <w:sz w:val="22"/>
              </w:rPr>
            </w:pPr>
            <w:r>
              <w:rPr>
                <w:rFonts w:ascii="仿宋" w:eastAsia="仿宋" w:hAnsi="仿宋"/>
                <w:b/>
                <w:bCs/>
                <w:color w:val="000000"/>
                <w:sz w:val="22"/>
              </w:rPr>
              <w:t>5、</w:t>
            </w:r>
            <w:r w:rsidR="00C7743B">
              <w:rPr>
                <w:rFonts w:ascii="仿宋" w:eastAsia="仿宋" w:hAnsi="仿宋" w:hint="eastAsia"/>
                <w:b/>
                <w:bCs/>
                <w:color w:val="000000"/>
                <w:sz w:val="22"/>
              </w:rPr>
              <w:t>5、</w:t>
            </w:r>
            <w:r>
              <w:rPr>
                <w:rFonts w:ascii="仿宋" w:eastAsia="仿宋" w:hAnsi="仿宋"/>
                <w:b/>
                <w:bCs/>
                <w:color w:val="000000"/>
                <w:sz w:val="22"/>
              </w:rPr>
              <w:t>请介绍一下目前公司的客户结构？</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公司目前的前五大客户如下：第一是万科，占比30.88%；第二是美的，占比12.43%；第三是保利，占比7.24%；第四是融创，占比5.17%；第五是旭辉，占比4.52%，前五大客户与之前相比，没有发生明显变化。</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lastRenderedPageBreak/>
              <w:t>从公司最新的情况来看，基于对市场风险的考量，认为原先的客户依旧需要进行优化，公司加大了与一些优质的国企、本地知名房地产企业的合作。在公司已开工和即将开工的项目中，万科依旧排名第一，第二是迅速上升的保利，目前保利的在建项目达到了22个，且均是市场竞争的结果。而且保利已经开始战略招标了，公司也希望能够争取再次扩大与保利的合作范围。除了保利，还有几个优质客户的占比也处于上升趋势，比如说中海、仁恒等。2020年公司十分注重客户的优化，希望能降低潜在的风险，在这种考虑下公司新的客户结构会更好一些。</w:t>
            </w:r>
          </w:p>
          <w:p w:rsidR="00AB5C60" w:rsidRDefault="00AB5C60">
            <w:pPr>
              <w:snapToGrid w:val="0"/>
              <w:rPr>
                <w:rFonts w:ascii="仿宋" w:eastAsia="仿宋" w:hAnsi="仿宋"/>
                <w:color w:val="000000"/>
                <w:sz w:val="22"/>
              </w:rPr>
            </w:pPr>
          </w:p>
          <w:p w:rsidR="00AB5C60" w:rsidRDefault="00E16698">
            <w:pPr>
              <w:snapToGrid w:val="0"/>
              <w:rPr>
                <w:rFonts w:ascii="仿宋" w:eastAsia="仿宋" w:hAnsi="仿宋"/>
                <w:b/>
                <w:bCs/>
                <w:color w:val="000000"/>
                <w:sz w:val="22"/>
              </w:rPr>
            </w:pPr>
            <w:r>
              <w:rPr>
                <w:rFonts w:ascii="仿宋" w:eastAsia="仿宋" w:hAnsi="仿宋"/>
                <w:b/>
                <w:bCs/>
                <w:color w:val="000000"/>
                <w:sz w:val="22"/>
              </w:rPr>
              <w:t>6、当前行业的整体政策环境处于一个大变的时间窗口，公司的经营策略是如何来进行调整的？</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公司目前处于一个特别好但又特别谨慎的状态，主要就是因为三大红线的规定对于房地产商的影响是很大的。我们是希望头部的地产商能够更加稳健，部分激进的地产商的市场份额能够降下来，这样整个市场就会更加健康。公司在这个时间窗口还是保持一个谨慎的观望状态，坚持严格筛选客户，我们也希望与行业内的专家多沟通、多交流对相关政策的看法。</w:t>
            </w:r>
          </w:p>
          <w:p w:rsidR="00AB5C60" w:rsidRDefault="00AB5C60">
            <w:pPr>
              <w:snapToGrid w:val="0"/>
              <w:rPr>
                <w:rFonts w:ascii="仿宋" w:eastAsia="仿宋" w:hAnsi="仿宋"/>
                <w:color w:val="000000"/>
                <w:sz w:val="22"/>
              </w:rPr>
            </w:pPr>
          </w:p>
          <w:p w:rsidR="00AB5C60" w:rsidRDefault="00E16698">
            <w:pPr>
              <w:snapToGrid w:val="0"/>
              <w:ind w:hanging="340"/>
              <w:rPr>
                <w:rFonts w:ascii="仿宋" w:eastAsia="仿宋" w:hAnsi="仿宋"/>
                <w:b/>
                <w:bCs/>
                <w:color w:val="000000"/>
                <w:sz w:val="22"/>
              </w:rPr>
            </w:pPr>
            <w:r>
              <w:rPr>
                <w:rFonts w:ascii="仿宋" w:eastAsia="仿宋" w:hAnsi="仿宋"/>
                <w:b/>
                <w:bCs/>
                <w:color w:val="000000"/>
                <w:sz w:val="22"/>
              </w:rPr>
              <w:t>7、</w:t>
            </w:r>
            <w:r w:rsidR="00C7743B">
              <w:rPr>
                <w:rFonts w:ascii="仿宋" w:eastAsia="仿宋" w:hAnsi="仿宋" w:hint="eastAsia"/>
                <w:b/>
                <w:bCs/>
                <w:color w:val="000000"/>
                <w:sz w:val="22"/>
              </w:rPr>
              <w:t>7、</w:t>
            </w:r>
            <w:r>
              <w:rPr>
                <w:rFonts w:ascii="仿宋" w:eastAsia="仿宋" w:hAnsi="仿宋"/>
                <w:b/>
                <w:bCs/>
                <w:color w:val="000000"/>
                <w:sz w:val="22"/>
              </w:rPr>
              <w:t>公司三季度以来整体的回款趋势怎么样？票据的占比增多了，未来会延续这一趋势吗？</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今年公司总共收了7450万的票据，占比最多的华润就达到了3254万，接下来是美的、雅居乐、保利。雅居乐主要是因为结算太久，为了早日收款接受了一些票据，其他客户主要是出于对其资金能力强，信誉度高的考虑。且目前公司资金状况良好，客户对于票据贴现也会给予一定的贴息补偿，公司在判断安全性后会接受一些商票。受到市场大环境的影响，公司认为短时间内收款不会太乐观，但是对于商票的接收还是持谨慎态度。</w:t>
            </w:r>
          </w:p>
          <w:p w:rsidR="00AB5C60" w:rsidRDefault="00AB5C60">
            <w:pPr>
              <w:snapToGrid w:val="0"/>
              <w:rPr>
                <w:rFonts w:ascii="仿宋" w:eastAsia="仿宋" w:hAnsi="仿宋"/>
                <w:color w:val="000000"/>
                <w:sz w:val="22"/>
              </w:rPr>
            </w:pPr>
          </w:p>
          <w:p w:rsidR="00AB5C60" w:rsidRDefault="00E16698">
            <w:pPr>
              <w:snapToGrid w:val="0"/>
              <w:rPr>
                <w:rFonts w:ascii="仿宋" w:eastAsia="仿宋" w:hAnsi="仿宋"/>
                <w:b/>
                <w:bCs/>
                <w:color w:val="000000"/>
                <w:sz w:val="22"/>
              </w:rPr>
            </w:pPr>
            <w:r>
              <w:rPr>
                <w:rFonts w:ascii="仿宋" w:eastAsia="仿宋" w:hAnsi="仿宋"/>
                <w:b/>
                <w:bCs/>
                <w:color w:val="000000"/>
                <w:sz w:val="22"/>
              </w:rPr>
              <w:t>8、介绍一下公司的“小班组”模式。</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公司劳务采购采取“小班组”组织模式，即单一项目按不同工艺专业分别聘请劳务班组，并保证各个专业作业流程有两个以上班组参与并相互竞争，从而使公司对劳务供应商在工程质量、作业效率和采购成本等方面有较强的掌控能力。公司目前全年工程项目直接协调调度的劳务班组数量达700多个，同个区域的多个项目之间可以直接进行劳务资源的调配，体现出公司良好的班组管理能力。</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另一方面，农民工队伍，毕竟不是产业工人。既有善良勤劳的一面，只要有活干付够钱就很满足，也有需要提升的另一面。在劳务工职业化培训的道路上，公司和我们国家都还有很长的路要走。</w:t>
            </w:r>
          </w:p>
          <w:p w:rsidR="00AB5C60" w:rsidRDefault="00AB5C60">
            <w:pPr>
              <w:snapToGrid w:val="0"/>
              <w:ind w:firstLineChars="200" w:firstLine="440"/>
              <w:rPr>
                <w:rFonts w:ascii="仿宋" w:eastAsia="仿宋" w:hAnsi="仿宋"/>
                <w:color w:val="000000"/>
                <w:sz w:val="22"/>
              </w:rPr>
            </w:pPr>
          </w:p>
          <w:p w:rsidR="00AB5C60" w:rsidRDefault="00E16698">
            <w:pPr>
              <w:snapToGrid w:val="0"/>
              <w:rPr>
                <w:rFonts w:ascii="仿宋" w:eastAsia="仿宋" w:hAnsi="仿宋"/>
                <w:b/>
                <w:bCs/>
                <w:color w:val="000000"/>
                <w:sz w:val="22"/>
              </w:rPr>
            </w:pPr>
            <w:r>
              <w:rPr>
                <w:rFonts w:ascii="仿宋" w:eastAsia="仿宋" w:hAnsi="仿宋"/>
                <w:b/>
                <w:bCs/>
                <w:color w:val="000000"/>
                <w:sz w:val="22"/>
              </w:rPr>
              <w:t>9、随着公司规模的不断扩张，管理半径的扩张是否能够跟上？</w:t>
            </w:r>
          </w:p>
          <w:p w:rsidR="00AB5C60" w:rsidRDefault="00E16698">
            <w:pPr>
              <w:snapToGrid w:val="0"/>
              <w:ind w:firstLineChars="200" w:firstLine="440"/>
              <w:rPr>
                <w:rFonts w:ascii="微软雅黑" w:eastAsia="微软雅黑" w:hAnsi="微软雅黑"/>
                <w:color w:val="000000"/>
                <w:szCs w:val="21"/>
              </w:rPr>
            </w:pPr>
            <w:r>
              <w:rPr>
                <w:rFonts w:ascii="仿宋" w:eastAsia="仿宋" w:hAnsi="仿宋"/>
                <w:color w:val="000000"/>
                <w:sz w:val="22"/>
              </w:rPr>
              <w:t>公司实行“1+N”的模式，1个总部加上16个区域，区域下再分为各个项目。总部设立采购部、工程部、市场部、工程部等职能部门对项目从投标到施工再到结算做到全方位把握，为一线管理团队提供各种支持。这种矩阵管理模式在公司多年的试验和</w:t>
            </w:r>
            <w:r>
              <w:rPr>
                <w:rFonts w:ascii="仿宋" w:eastAsia="仿宋" w:hAnsi="仿宋"/>
                <w:color w:val="000000"/>
                <w:sz w:val="22"/>
              </w:rPr>
              <w:lastRenderedPageBreak/>
              <w:t>IT部门的信息化支撑下发挥了其应有的作用，有效提高了公司的经营效率，能够满足公司规模扩张的需要。</w:t>
            </w:r>
          </w:p>
          <w:p w:rsidR="00AB5C60" w:rsidRDefault="00AB5C60">
            <w:pPr>
              <w:snapToGrid w:val="0"/>
              <w:ind w:firstLineChars="200" w:firstLine="420"/>
              <w:rPr>
                <w:rFonts w:ascii="微软雅黑" w:eastAsia="微软雅黑" w:hAnsi="微软雅黑"/>
                <w:color w:val="000000"/>
                <w:szCs w:val="21"/>
              </w:rPr>
            </w:pPr>
          </w:p>
          <w:p w:rsidR="00AB5C60" w:rsidRDefault="00E16698">
            <w:pPr>
              <w:snapToGrid w:val="0"/>
              <w:rPr>
                <w:rFonts w:ascii="仿宋" w:eastAsia="仿宋" w:hAnsi="仿宋"/>
                <w:b/>
                <w:bCs/>
                <w:color w:val="000000"/>
                <w:sz w:val="22"/>
              </w:rPr>
            </w:pPr>
            <w:r>
              <w:rPr>
                <w:rFonts w:ascii="仿宋" w:eastAsia="仿宋" w:hAnsi="仿宋"/>
                <w:b/>
                <w:bCs/>
                <w:color w:val="000000"/>
                <w:sz w:val="22"/>
              </w:rPr>
              <w:t>10、三道红线试点以来公司的下游需求是否受到了一定的影响？</w:t>
            </w:r>
          </w:p>
          <w:p w:rsidR="00AB5C60" w:rsidRDefault="00E16698">
            <w:pPr>
              <w:snapToGrid w:val="0"/>
              <w:ind w:firstLineChars="200" w:firstLine="440"/>
              <w:rPr>
                <w:rFonts w:ascii="仿宋" w:eastAsia="仿宋" w:hAnsi="仿宋"/>
                <w:color w:val="000000"/>
                <w:sz w:val="22"/>
              </w:rPr>
            </w:pPr>
            <w:r>
              <w:rPr>
                <w:rFonts w:ascii="仿宋" w:eastAsia="仿宋" w:hAnsi="仿宋"/>
                <w:color w:val="000000"/>
                <w:sz w:val="22"/>
              </w:rPr>
              <w:t>下游需求依旧是强劲的，只是我们在挑选客户的时候更加谨慎。</w:t>
            </w:r>
          </w:p>
          <w:p w:rsidR="00AB5C60" w:rsidRDefault="00AB5C60">
            <w:pPr>
              <w:snapToGrid w:val="0"/>
              <w:ind w:firstLineChars="200" w:firstLine="440"/>
              <w:rPr>
                <w:rFonts w:ascii="仿宋" w:eastAsia="仿宋" w:hAnsi="仿宋"/>
                <w:color w:val="000000"/>
                <w:sz w:val="22"/>
              </w:rPr>
            </w:pPr>
          </w:p>
          <w:p w:rsidR="00AB5C60" w:rsidRDefault="00E16698">
            <w:pPr>
              <w:snapToGrid w:val="0"/>
              <w:rPr>
                <w:rFonts w:ascii="仿宋" w:eastAsia="仿宋" w:hAnsi="仿宋"/>
                <w:b/>
                <w:bCs/>
                <w:color w:val="000000"/>
                <w:sz w:val="22"/>
              </w:rPr>
            </w:pPr>
            <w:r>
              <w:rPr>
                <w:rFonts w:ascii="仿宋" w:eastAsia="仿宋" w:hAnsi="仿宋"/>
                <w:b/>
                <w:bCs/>
                <w:color w:val="000000"/>
                <w:sz w:val="22"/>
              </w:rPr>
              <w:t>11、请展望一下今年与明年的经营趋势。</w:t>
            </w:r>
          </w:p>
          <w:p w:rsidR="00AB5C60" w:rsidRDefault="00E16698" w:rsidP="00C7743B">
            <w:pPr>
              <w:snapToGrid w:val="0"/>
              <w:ind w:firstLineChars="200" w:firstLine="440"/>
              <w:rPr>
                <w:rFonts w:ascii="仿宋" w:eastAsia="仿宋" w:hAnsi="仿宋"/>
                <w:color w:val="000000"/>
                <w:sz w:val="22"/>
              </w:rPr>
            </w:pPr>
            <w:r>
              <w:rPr>
                <w:rFonts w:ascii="仿宋" w:eastAsia="仿宋" w:hAnsi="仿宋"/>
                <w:color w:val="000000"/>
                <w:sz w:val="22"/>
              </w:rPr>
              <w:t>整体上说，我们比较担心政策带来的波动到底有多大。但是公司会一如既往的扩大市场开拓力度，尽管市场有一些不好的情况，但是公司有公司的优势，公司目前的市场占有率也只有1%，公司对于未来的发展依然保持乐观估计。</w:t>
            </w:r>
          </w:p>
        </w:tc>
      </w:tr>
      <w:tr w:rsidR="00AB5C60" w:rsidTr="00C7743B">
        <w:trPr>
          <w:trHeight w:val="555"/>
        </w:trPr>
        <w:tc>
          <w:tcPr>
            <w:tcW w:w="2258" w:type="dxa"/>
            <w:tcBorders>
              <w:top w:val="single" w:sz="8" w:space="0" w:color="000000"/>
              <w:left w:val="single" w:sz="8" w:space="0" w:color="000000"/>
              <w:bottom w:val="single" w:sz="8" w:space="0" w:color="000000"/>
              <w:right w:val="single" w:sz="8" w:space="0" w:color="000000"/>
            </w:tcBorders>
          </w:tcPr>
          <w:p w:rsidR="00AB5C60" w:rsidRDefault="00AB5C60">
            <w:pPr>
              <w:snapToGrid w:val="0"/>
              <w:spacing w:before="7"/>
              <w:rPr>
                <w:rFonts w:ascii="宋体" w:eastAsia="宋体" w:hAnsi="宋体"/>
                <w:color w:val="000000"/>
                <w:sz w:val="18"/>
                <w:szCs w:val="18"/>
              </w:rPr>
            </w:pPr>
          </w:p>
          <w:p w:rsidR="00AB5C60" w:rsidRDefault="00E16698">
            <w:pPr>
              <w:snapToGrid w:val="0"/>
              <w:spacing w:before="1"/>
              <w:ind w:left="107"/>
              <w:rPr>
                <w:rFonts w:ascii="宋体" w:eastAsia="宋体" w:hAnsi="宋体"/>
                <w:color w:val="000000"/>
                <w:szCs w:val="21"/>
              </w:rPr>
            </w:pPr>
            <w:r>
              <w:rPr>
                <w:rFonts w:ascii="宋体" w:eastAsia="宋体" w:hAnsi="宋体"/>
                <w:color w:val="000000"/>
                <w:szCs w:val="21"/>
              </w:rPr>
              <w:t>附件清单（如有）</w:t>
            </w:r>
          </w:p>
        </w:tc>
        <w:tc>
          <w:tcPr>
            <w:tcW w:w="6247" w:type="dxa"/>
            <w:tcBorders>
              <w:top w:val="single" w:sz="8" w:space="0" w:color="000000"/>
              <w:left w:val="single" w:sz="8" w:space="0" w:color="000000"/>
              <w:bottom w:val="single" w:sz="8" w:space="0" w:color="000000"/>
              <w:right w:val="single" w:sz="8" w:space="0" w:color="000000"/>
            </w:tcBorders>
          </w:tcPr>
          <w:p w:rsidR="00AB5C60" w:rsidRDefault="00AB5C60">
            <w:pPr>
              <w:snapToGrid w:val="0"/>
              <w:rPr>
                <w:rFonts w:ascii="宋体" w:eastAsia="宋体" w:hAnsi="宋体"/>
                <w:color w:val="000000"/>
                <w:sz w:val="26"/>
                <w:szCs w:val="26"/>
              </w:rPr>
            </w:pPr>
          </w:p>
        </w:tc>
      </w:tr>
      <w:tr w:rsidR="00AB5C60" w:rsidTr="00C7743B">
        <w:trPr>
          <w:trHeight w:val="555"/>
        </w:trPr>
        <w:tc>
          <w:tcPr>
            <w:tcW w:w="2258" w:type="dxa"/>
            <w:tcBorders>
              <w:top w:val="single" w:sz="8" w:space="0" w:color="000000"/>
              <w:left w:val="single" w:sz="8" w:space="0" w:color="000000"/>
              <w:bottom w:val="single" w:sz="8" w:space="0" w:color="000000"/>
              <w:right w:val="single" w:sz="8" w:space="0" w:color="000000"/>
            </w:tcBorders>
          </w:tcPr>
          <w:p w:rsidR="00AB5C60" w:rsidRDefault="00AB5C60">
            <w:pPr>
              <w:snapToGrid w:val="0"/>
              <w:spacing w:before="7"/>
              <w:rPr>
                <w:rFonts w:ascii="宋体" w:eastAsia="宋体" w:hAnsi="宋体"/>
                <w:color w:val="000000"/>
                <w:sz w:val="18"/>
                <w:szCs w:val="18"/>
              </w:rPr>
            </w:pPr>
          </w:p>
          <w:p w:rsidR="00AB5C60" w:rsidRDefault="00E16698">
            <w:pPr>
              <w:snapToGrid w:val="0"/>
              <w:spacing w:before="1"/>
              <w:ind w:left="107"/>
              <w:rPr>
                <w:rFonts w:ascii="宋体" w:eastAsia="宋体" w:hAnsi="宋体"/>
                <w:color w:val="000000"/>
                <w:szCs w:val="21"/>
              </w:rPr>
            </w:pPr>
            <w:r>
              <w:rPr>
                <w:rFonts w:ascii="宋体" w:eastAsia="宋体" w:hAnsi="宋体"/>
                <w:color w:val="000000"/>
                <w:szCs w:val="21"/>
              </w:rPr>
              <w:t>日期</w:t>
            </w:r>
          </w:p>
        </w:tc>
        <w:tc>
          <w:tcPr>
            <w:tcW w:w="6247" w:type="dxa"/>
            <w:tcBorders>
              <w:top w:val="single" w:sz="8" w:space="0" w:color="000000"/>
              <w:left w:val="single" w:sz="8" w:space="0" w:color="000000"/>
              <w:bottom w:val="single" w:sz="8" w:space="0" w:color="000000"/>
              <w:right w:val="single" w:sz="8" w:space="0" w:color="000000"/>
            </w:tcBorders>
          </w:tcPr>
          <w:p w:rsidR="00AB5C60" w:rsidRDefault="00E16698">
            <w:pPr>
              <w:snapToGrid w:val="0"/>
              <w:rPr>
                <w:rFonts w:ascii="宋体" w:eastAsia="宋体" w:hAnsi="宋体"/>
                <w:color w:val="000000"/>
                <w:spacing w:val="-3"/>
                <w:szCs w:val="21"/>
              </w:rPr>
            </w:pPr>
            <w:r>
              <w:rPr>
                <w:rFonts w:ascii="Times New Roman" w:eastAsia="Times New Roman" w:hAnsi="Times New Roman"/>
                <w:color w:val="000000"/>
                <w:spacing w:val="-3"/>
                <w:szCs w:val="21"/>
              </w:rPr>
              <w:t>2020</w:t>
            </w:r>
            <w:r>
              <w:rPr>
                <w:rFonts w:ascii="宋体" w:eastAsia="宋体" w:hAnsi="宋体"/>
                <w:color w:val="000000"/>
                <w:spacing w:val="-3"/>
                <w:szCs w:val="21"/>
              </w:rPr>
              <w:t>年</w:t>
            </w:r>
            <w:r>
              <w:rPr>
                <w:rFonts w:ascii="Times New Roman" w:eastAsia="Times New Roman" w:hAnsi="Times New Roman"/>
                <w:color w:val="000000"/>
                <w:spacing w:val="-3"/>
                <w:szCs w:val="21"/>
              </w:rPr>
              <w:t>10</w:t>
            </w:r>
            <w:r>
              <w:rPr>
                <w:rFonts w:ascii="宋体" w:eastAsia="宋体" w:hAnsi="宋体"/>
                <w:color w:val="000000"/>
                <w:spacing w:val="-3"/>
                <w:szCs w:val="21"/>
              </w:rPr>
              <w:t>月</w:t>
            </w:r>
            <w:r>
              <w:rPr>
                <w:rFonts w:ascii="Times New Roman" w:eastAsia="Times New Roman" w:hAnsi="Times New Roman"/>
                <w:color w:val="000000"/>
                <w:spacing w:val="-3"/>
                <w:szCs w:val="21"/>
              </w:rPr>
              <w:t>28</w:t>
            </w:r>
            <w:r>
              <w:rPr>
                <w:rFonts w:ascii="宋体" w:eastAsia="宋体" w:hAnsi="宋体"/>
                <w:color w:val="000000"/>
                <w:spacing w:val="-3"/>
                <w:szCs w:val="21"/>
              </w:rPr>
              <w:t>日</w:t>
            </w:r>
          </w:p>
        </w:tc>
      </w:tr>
    </w:tbl>
    <w:p w:rsidR="00AB5C60" w:rsidRDefault="00E16698">
      <w:pPr>
        <w:snapToGrid w:val="0"/>
        <w:jc w:val="left"/>
        <w:rPr>
          <w:rFonts w:ascii="微软雅黑" w:eastAsia="微软雅黑" w:hAnsi="微软雅黑"/>
          <w:color w:val="000000"/>
          <w:szCs w:val="21"/>
        </w:rPr>
      </w:pPr>
      <w:r>
        <w:rPr>
          <w:rFonts w:ascii="宋体" w:eastAsia="宋体" w:hAnsi="宋体"/>
          <w:color w:val="000000"/>
          <w:sz w:val="28"/>
          <w:szCs w:val="28"/>
        </w:rPr>
        <w:t xml:space="preserve"> </w:t>
      </w:r>
    </w:p>
    <w:sectPr w:rsidR="00AB5C60">
      <w:pgSz w:w="1191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C58" w:rsidRDefault="009C1C58" w:rsidP="00EE62E6">
      <w:r>
        <w:separator/>
      </w:r>
    </w:p>
  </w:endnote>
  <w:endnote w:type="continuationSeparator" w:id="0">
    <w:p w:rsidR="009C1C58" w:rsidRDefault="009C1C58" w:rsidP="00EE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C58" w:rsidRDefault="009C1C58" w:rsidP="00EE62E6">
      <w:r>
        <w:separator/>
      </w:r>
    </w:p>
  </w:footnote>
  <w:footnote w:type="continuationSeparator" w:id="0">
    <w:p w:rsidR="009C1C58" w:rsidRDefault="009C1C58" w:rsidP="00EE6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232A33F6"/>
    <w:multiLevelType w:val="multilevel"/>
    <w:tmpl w:val="2AAC74A8"/>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2"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15:restartNumberingAfterBreak="0">
    <w:nsid w:val="6D40719C"/>
    <w:multiLevelType w:val="multilevel"/>
    <w:tmpl w:val="9B023628"/>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num w:numId="1">
    <w:abstractNumId w:val="3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2"/>
  </w:num>
  <w:num w:numId="30">
    <w:abstractNumId w:val="3"/>
  </w:num>
  <w:num w:numId="31">
    <w:abstractNumId w:val="0"/>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9C1C58"/>
    <w:rsid w:val="00A60633"/>
    <w:rsid w:val="00AB5C60"/>
    <w:rsid w:val="00BA0C1A"/>
    <w:rsid w:val="00C061CB"/>
    <w:rsid w:val="00C604EC"/>
    <w:rsid w:val="00C7743B"/>
    <w:rsid w:val="00D77548"/>
    <w:rsid w:val="00E16698"/>
    <w:rsid w:val="00E26251"/>
    <w:rsid w:val="00EA1EE8"/>
    <w:rsid w:val="00EE62E6"/>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8AED6B-D2B3-490E-9A39-200CFD665C83}">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760</Words>
  <Characters>4337</Characters>
  <Application>Microsoft Office Word</Application>
  <DocSecurity>0</DocSecurity>
  <Lines>36</Lines>
  <Paragraphs>10</Paragraphs>
  <ScaleCrop>false</ScaleCrop>
  <Company>Microsoft</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songjun</cp:lastModifiedBy>
  <cp:revision>12</cp:revision>
  <dcterms:created xsi:type="dcterms:W3CDTF">2017-01-10T09:10:00Z</dcterms:created>
  <dcterms:modified xsi:type="dcterms:W3CDTF">2020-10-28T13:54:00Z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