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Lines="100" w:before="312" w:afterLines="50" w:after="156" w:line="400" w:lineRule="exact"/>
        <w:jc w:val="center"/>
        <w:rPr>
          <w:rFonts w:ascii="Arial" w:hAnsi="宋体" w:cs="Arial"/>
          <w:b/>
          <w:bCs/>
          <w:iCs/>
          <w:sz w:val="32"/>
          <w:szCs w:val="32"/>
        </w:rPr>
      </w:pPr>
      <w:r>
        <w:rPr>
          <w:rFonts w:ascii="Arial" w:hAnsi="宋体" w:cs="Arial"/>
          <w:b/>
          <w:bCs/>
          <w:iCs/>
          <w:sz w:val="32"/>
          <w:szCs w:val="32"/>
        </w:rPr>
        <w:t>深圳齐心</w:t>
      </w:r>
      <w:r>
        <w:rPr>
          <w:rFonts w:ascii="Arial" w:hAnsi="宋体" w:cs="Arial" w:hint="eastAsia"/>
          <w:b/>
          <w:bCs/>
          <w:iCs/>
          <w:sz w:val="32"/>
          <w:szCs w:val="32"/>
        </w:rPr>
        <w:t>集团</w:t>
      </w:r>
      <w:r>
        <w:rPr>
          <w:rFonts w:ascii="Arial" w:hAnsi="宋体" w:cs="Arial"/>
          <w:b/>
          <w:bCs/>
          <w:iCs/>
          <w:sz w:val="32"/>
          <w:szCs w:val="32"/>
        </w:rPr>
        <w:t>股份有限公司</w:t>
      </w:r>
    </w:p>
    <w:p>
      <w:pPr>
        <w:spacing w:beforeLines="50" w:before="156" w:afterLines="50" w:after="156" w:line="400" w:lineRule="exact"/>
        <w:jc w:val="center"/>
        <w:rPr>
          <w:rFonts w:ascii="Arial" w:hAnsi="Arial" w:cs="Arial"/>
          <w:b/>
          <w:bCs/>
          <w:iCs/>
          <w:sz w:val="32"/>
          <w:szCs w:val="32"/>
        </w:rPr>
      </w:pPr>
      <w:r>
        <w:rPr>
          <w:rFonts w:ascii="Arial" w:hAnsi="宋体" w:cs="Arial"/>
          <w:b/>
          <w:bCs/>
          <w:iCs/>
          <w:sz w:val="32"/>
          <w:szCs w:val="32"/>
        </w:rPr>
        <w:t>投资者关系活动记录表</w:t>
      </w:r>
    </w:p>
    <w:p>
      <w:pPr>
        <w:spacing w:line="400" w:lineRule="exact"/>
        <w:rPr>
          <w:rFonts w:ascii="宋体" w:hAnsi="宋体" w:cs="Arial"/>
          <w:bCs/>
          <w:iCs/>
          <w:sz w:val="24"/>
          <w:szCs w:val="24"/>
        </w:rPr>
      </w:pPr>
      <w:r>
        <w:rPr>
          <w:rFonts w:ascii="Arial" w:hAnsi="Arial" w:cs="Arial"/>
          <w:bCs/>
          <w:iCs/>
          <w:sz w:val="24"/>
          <w:szCs w:val="24"/>
        </w:rPr>
        <w:t xml:space="preserve">                                                                 </w:t>
      </w:r>
      <w:r>
        <w:rPr>
          <w:rFonts w:ascii="宋体" w:hAnsi="宋体" w:cs="Arial"/>
          <w:bCs/>
          <w:iCs/>
          <w:sz w:val="22"/>
          <w:szCs w:val="22"/>
        </w:rPr>
        <w:t>编号：</w:t>
      </w:r>
      <w:r>
        <w:rPr>
          <w:rFonts w:ascii="宋体" w:hAnsi="宋体" w:cs="Arial" w:hint="eastAsia"/>
          <w:bCs/>
          <w:iCs/>
          <w:sz w:val="22"/>
          <w:szCs w:val="22"/>
        </w:rPr>
        <w:t>20</w:t>
      </w:r>
      <w:r>
        <w:rPr>
          <w:rFonts w:ascii="宋体" w:hAnsi="宋体" w:cs="Arial"/>
          <w:bCs/>
          <w:iCs/>
          <w:sz w:val="22"/>
          <w:szCs w:val="22"/>
        </w:rPr>
        <w:t>20</w:t>
      </w:r>
      <w:r>
        <w:rPr>
          <w:rFonts w:ascii="宋体" w:hAnsi="宋体" w:cs="Arial" w:hint="eastAsia"/>
          <w:bCs/>
          <w:iCs/>
          <w:sz w:val="22"/>
          <w:szCs w:val="22"/>
        </w:rPr>
        <w:t>-</w:t>
      </w:r>
      <w:r>
        <w:rPr>
          <w:rFonts w:ascii="宋体" w:hAnsi="宋体" w:cs="Arial"/>
          <w:bCs/>
          <w:iCs/>
          <w:sz w:val="22"/>
          <w:szCs w:val="22"/>
        </w:rPr>
        <w:t>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56"/>
      </w:tblGrid>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投资者关系活动类别</w:t>
            </w:r>
          </w:p>
          <w:p>
            <w:pPr>
              <w:spacing w:line="480" w:lineRule="atLeast"/>
              <w:rPr>
                <w:rFonts w:ascii="Arial" w:hAnsi="Arial" w:cs="Arial"/>
                <w:b/>
                <w:bCs/>
                <w:iCs/>
                <w:sz w:val="24"/>
                <w:szCs w:val="24"/>
              </w:rPr>
            </w:pPr>
          </w:p>
        </w:tc>
        <w:tc>
          <w:tcPr>
            <w:tcW w:w="7756" w:type="dxa"/>
            <w:shd w:val="clear" w:color="auto" w:fill="auto"/>
          </w:tcPr>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特定对象调研        </w:t>
            </w:r>
            <w:r>
              <w:rPr>
                <w:rFonts w:ascii="宋体" w:hAnsi="宋体" w:cs="Arial"/>
                <w:bCs/>
                <w:iCs/>
                <w:sz w:val="24"/>
                <w:szCs w:val="24"/>
              </w:rPr>
              <w:t>√</w:t>
            </w:r>
            <w:r>
              <w:rPr>
                <w:rFonts w:ascii="宋体" w:hAnsi="宋体" w:cs="Arial"/>
                <w:sz w:val="24"/>
                <w:szCs w:val="24"/>
              </w:rPr>
              <w:t>分析师会议</w:t>
            </w:r>
          </w:p>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媒体采访            </w:t>
            </w:r>
            <w:r>
              <w:rPr>
                <w:rFonts w:ascii="宋体" w:hAnsi="宋体" w:cs="Arial"/>
                <w:bCs/>
                <w:iCs/>
                <w:sz w:val="24"/>
                <w:szCs w:val="24"/>
              </w:rPr>
              <w:t>√</w:t>
            </w:r>
            <w:r>
              <w:rPr>
                <w:rFonts w:ascii="宋体" w:hAnsi="宋体" w:cs="Arial"/>
                <w:sz w:val="24"/>
                <w:szCs w:val="24"/>
              </w:rPr>
              <w:t>业绩说明会</w:t>
            </w:r>
          </w:p>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新闻发布会          </w:t>
            </w:r>
            <w:r>
              <w:rPr>
                <w:rFonts w:ascii="宋体" w:hAnsi="宋体" w:cs="Arial"/>
                <w:bCs/>
                <w:iCs/>
                <w:sz w:val="24"/>
                <w:szCs w:val="24"/>
              </w:rPr>
              <w:t>□</w:t>
            </w:r>
            <w:r>
              <w:rPr>
                <w:rFonts w:ascii="宋体" w:hAnsi="宋体" w:cs="Arial"/>
                <w:sz w:val="24"/>
                <w:szCs w:val="24"/>
              </w:rPr>
              <w:t>路演活动</w:t>
            </w:r>
          </w:p>
          <w:p>
            <w:pPr>
              <w:tabs>
                <w:tab w:val="left" w:pos="3045"/>
                <w:tab w:val="center" w:pos="3199"/>
              </w:tabs>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现场参观</w:t>
            </w:r>
            <w:r>
              <w:rPr>
                <w:rFonts w:ascii="宋体" w:hAnsi="宋体" w:cs="Arial"/>
                <w:bCs/>
                <w:iCs/>
                <w:sz w:val="24"/>
                <w:szCs w:val="24"/>
              </w:rPr>
              <w:tab/>
            </w:r>
          </w:p>
          <w:p>
            <w:pPr>
              <w:tabs>
                <w:tab w:val="center" w:pos="3199"/>
              </w:tabs>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其他 （</w:t>
            </w:r>
            <w:r>
              <w:rPr>
                <w:rFonts w:ascii="宋体" w:hAnsi="宋体" w:cs="Arial"/>
                <w:sz w:val="24"/>
                <w:szCs w:val="24"/>
                <w:u w:val="single"/>
              </w:rPr>
              <w:t>请文字说明其他活动内容）</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参与单位名称及人员姓名</w:t>
            </w:r>
          </w:p>
        </w:tc>
        <w:tc>
          <w:tcPr>
            <w:tcW w:w="7756" w:type="dxa"/>
            <w:shd w:val="clear" w:color="auto" w:fill="auto"/>
          </w:tcPr>
          <w:p>
            <w:pPr>
              <w:spacing w:line="334" w:lineRule="auto"/>
              <w:rPr>
                <w:sz w:val="24"/>
                <w:szCs w:val="24"/>
              </w:rPr>
            </w:pPr>
            <w:r>
              <w:rPr>
                <w:rFonts w:hint="eastAsia"/>
                <w:sz w:val="24"/>
                <w:szCs w:val="24"/>
              </w:rPr>
              <w:t>安信证券、浙商证券、招商证券、中信建投、长江证券、西南证券、国泰君安、兴业证券、华泰证券等分析师</w:t>
            </w:r>
            <w:r>
              <w:rPr>
                <w:rFonts w:ascii="宋体" w:hAnsi="宋体" w:hint="eastAsia"/>
                <w:sz w:val="24"/>
                <w:szCs w:val="24"/>
              </w:rPr>
              <w:t>、投资者通过齐心好视通视频会议系统接入</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时间</w:t>
            </w:r>
          </w:p>
        </w:tc>
        <w:tc>
          <w:tcPr>
            <w:tcW w:w="7756" w:type="dxa"/>
            <w:shd w:val="clear" w:color="auto" w:fill="auto"/>
          </w:tcPr>
          <w:p>
            <w:pPr>
              <w:spacing w:line="334" w:lineRule="auto"/>
              <w:rPr>
                <w:rFonts w:ascii="宋体" w:hAnsi="宋体" w:cs="Arial"/>
                <w:bCs/>
                <w:iCs/>
                <w:sz w:val="24"/>
                <w:szCs w:val="24"/>
              </w:rPr>
            </w:pPr>
            <w:r>
              <w:rPr>
                <w:rFonts w:ascii="宋体" w:hAnsi="宋体" w:cs="Arial" w:hint="eastAsia"/>
                <w:bCs/>
                <w:iCs/>
                <w:sz w:val="24"/>
                <w:szCs w:val="24"/>
              </w:rPr>
              <w:t>20</w:t>
            </w:r>
            <w:r>
              <w:rPr>
                <w:rFonts w:ascii="宋体" w:hAnsi="宋体" w:cs="Arial"/>
                <w:bCs/>
                <w:iCs/>
                <w:sz w:val="24"/>
                <w:szCs w:val="24"/>
              </w:rPr>
              <w:t>20</w:t>
            </w:r>
            <w:r>
              <w:rPr>
                <w:rFonts w:ascii="宋体" w:hAnsi="宋体" w:cs="Arial" w:hint="eastAsia"/>
                <w:bCs/>
                <w:iCs/>
                <w:sz w:val="24"/>
                <w:szCs w:val="24"/>
              </w:rPr>
              <w:t>年</w:t>
            </w:r>
            <w:r>
              <w:rPr>
                <w:rFonts w:ascii="宋体" w:hAnsi="宋体" w:cs="Arial"/>
                <w:bCs/>
                <w:iCs/>
                <w:sz w:val="24"/>
                <w:szCs w:val="24"/>
              </w:rPr>
              <w:t>10</w:t>
            </w:r>
            <w:r>
              <w:rPr>
                <w:rFonts w:ascii="宋体" w:hAnsi="宋体" w:cs="Arial" w:hint="eastAsia"/>
                <w:bCs/>
                <w:iCs/>
                <w:sz w:val="24"/>
                <w:szCs w:val="24"/>
              </w:rPr>
              <w:t>月</w:t>
            </w:r>
            <w:r>
              <w:rPr>
                <w:rFonts w:ascii="宋体" w:hAnsi="宋体" w:cs="Arial"/>
                <w:bCs/>
                <w:iCs/>
                <w:sz w:val="24"/>
                <w:szCs w:val="24"/>
              </w:rPr>
              <w:t>28</w:t>
            </w:r>
            <w:r>
              <w:rPr>
                <w:rFonts w:ascii="宋体" w:hAnsi="宋体" w:cs="Arial" w:hint="eastAsia"/>
                <w:bCs/>
                <w:iCs/>
                <w:sz w:val="24"/>
                <w:szCs w:val="24"/>
              </w:rPr>
              <w:t>日</w:t>
            </w:r>
            <w:r>
              <w:rPr>
                <w:rFonts w:ascii="宋体" w:hAnsi="宋体" w:cs="Arial"/>
                <w:bCs/>
                <w:iCs/>
                <w:sz w:val="24"/>
                <w:szCs w:val="24"/>
              </w:rPr>
              <w:t>19</w:t>
            </w:r>
            <w:r>
              <w:rPr>
                <w:rFonts w:ascii="宋体" w:hAnsi="宋体" w:cs="Arial" w:hint="eastAsia"/>
                <w:bCs/>
                <w:iCs/>
                <w:sz w:val="24"/>
                <w:szCs w:val="24"/>
              </w:rPr>
              <w:t>:</w:t>
            </w:r>
            <w:r>
              <w:rPr>
                <w:rFonts w:ascii="宋体" w:hAnsi="宋体" w:cs="Arial"/>
                <w:bCs/>
                <w:iCs/>
                <w:sz w:val="24"/>
                <w:szCs w:val="24"/>
              </w:rPr>
              <w:t>00</w:t>
            </w:r>
            <w:r>
              <w:rPr>
                <w:rFonts w:ascii="宋体" w:hAnsi="宋体" w:cs="Arial" w:hint="eastAsia"/>
                <w:bCs/>
                <w:iCs/>
                <w:sz w:val="24"/>
                <w:szCs w:val="24"/>
              </w:rPr>
              <w:t>-</w:t>
            </w:r>
            <w:r>
              <w:rPr>
                <w:rFonts w:ascii="宋体" w:hAnsi="宋体" w:cs="Arial"/>
                <w:bCs/>
                <w:iCs/>
                <w:sz w:val="24"/>
                <w:szCs w:val="24"/>
              </w:rPr>
              <w:t>20</w:t>
            </w:r>
            <w:r>
              <w:rPr>
                <w:rFonts w:ascii="宋体" w:hAnsi="宋体" w:cs="Arial" w:hint="eastAsia"/>
                <w:bCs/>
                <w:iCs/>
                <w:sz w:val="24"/>
                <w:szCs w:val="24"/>
              </w:rPr>
              <w:t>:</w:t>
            </w:r>
            <w:r>
              <w:rPr>
                <w:rFonts w:ascii="宋体" w:hAnsi="宋体" w:cs="Arial"/>
                <w:bCs/>
                <w:iCs/>
                <w:sz w:val="24"/>
                <w:szCs w:val="24"/>
              </w:rPr>
              <w:t>00</w:t>
            </w:r>
          </w:p>
        </w:tc>
      </w:tr>
      <w:tr>
        <w:tc>
          <w:tcPr>
            <w:tcW w:w="1980" w:type="dxa"/>
            <w:shd w:val="clear" w:color="auto" w:fill="auto"/>
          </w:tcPr>
          <w:p>
            <w:pPr>
              <w:spacing w:line="480" w:lineRule="atLeast"/>
              <w:rPr>
                <w:rFonts w:ascii="Arial" w:hAnsi="宋体" w:cs="Arial"/>
                <w:b/>
                <w:bCs/>
                <w:iCs/>
                <w:sz w:val="24"/>
                <w:szCs w:val="24"/>
              </w:rPr>
            </w:pPr>
            <w:r>
              <w:rPr>
                <w:rFonts w:ascii="Arial" w:hAnsi="宋体" w:cs="Arial"/>
                <w:b/>
                <w:bCs/>
                <w:iCs/>
                <w:sz w:val="24"/>
                <w:szCs w:val="24"/>
              </w:rPr>
              <w:t>地点</w:t>
            </w:r>
          </w:p>
        </w:tc>
        <w:tc>
          <w:tcPr>
            <w:tcW w:w="7756" w:type="dxa"/>
            <w:shd w:val="clear" w:color="auto" w:fill="auto"/>
          </w:tcPr>
          <w:p>
            <w:pPr>
              <w:widowControl/>
              <w:spacing w:line="334" w:lineRule="auto"/>
              <w:rPr>
                <w:rFonts w:ascii="宋体" w:hAnsi="宋体" w:cs="Arial"/>
                <w:b/>
                <w:bCs/>
                <w:iCs/>
                <w:sz w:val="24"/>
                <w:szCs w:val="24"/>
              </w:rPr>
            </w:pPr>
            <w:r>
              <w:rPr>
                <w:rFonts w:ascii="宋体" w:hAnsi="宋体" w:cs="Arial" w:hint="eastAsia"/>
                <w:iCs/>
                <w:sz w:val="24"/>
                <w:szCs w:val="24"/>
              </w:rPr>
              <w:t>深圳市坪山区坑梓锦绣中路1</w:t>
            </w:r>
            <w:r>
              <w:rPr>
                <w:rFonts w:ascii="宋体" w:hAnsi="宋体" w:cs="Arial"/>
                <w:iCs/>
                <w:sz w:val="24"/>
                <w:szCs w:val="24"/>
              </w:rPr>
              <w:t>8</w:t>
            </w:r>
            <w:r>
              <w:rPr>
                <w:rFonts w:ascii="宋体" w:hAnsi="宋体" w:cs="Arial" w:hint="eastAsia"/>
                <w:iCs/>
                <w:sz w:val="24"/>
                <w:szCs w:val="24"/>
              </w:rPr>
              <w:t>号齐心科技园行政楼</w:t>
            </w:r>
            <w:r>
              <w:rPr>
                <w:rFonts w:ascii="宋体" w:hAnsi="宋体" w:cs="Arial" w:hint="eastAsia"/>
                <w:bCs/>
                <w:iCs/>
                <w:sz w:val="24"/>
                <w:szCs w:val="24"/>
              </w:rPr>
              <w:t>（齐心好视通视频会议交流）</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上市公司接待人员姓名</w:t>
            </w:r>
          </w:p>
        </w:tc>
        <w:tc>
          <w:tcPr>
            <w:tcW w:w="7756" w:type="dxa"/>
            <w:shd w:val="clear" w:color="auto" w:fill="auto"/>
          </w:tcPr>
          <w:p>
            <w:pPr>
              <w:spacing w:line="334" w:lineRule="auto"/>
              <w:rPr>
                <w:rFonts w:ascii="宋体" w:hAnsi="宋体"/>
                <w:sz w:val="24"/>
                <w:szCs w:val="24"/>
              </w:rPr>
            </w:pPr>
            <w:r>
              <w:rPr>
                <w:rFonts w:ascii="宋体" w:hAnsi="宋体" w:hint="eastAsia"/>
                <w:sz w:val="24"/>
                <w:szCs w:val="24"/>
              </w:rPr>
              <w:t>董事长兼总经理陈钦鹏，董事、财务总监兼董事会秘书黄家兵，董事兼B</w:t>
            </w:r>
            <w:r>
              <w:rPr>
                <w:rFonts w:ascii="宋体" w:hAnsi="宋体"/>
                <w:sz w:val="24"/>
                <w:szCs w:val="24"/>
              </w:rPr>
              <w:t>2B</w:t>
            </w:r>
            <w:r>
              <w:rPr>
                <w:rFonts w:ascii="宋体" w:hAnsi="宋体" w:hint="eastAsia"/>
                <w:sz w:val="24"/>
                <w:szCs w:val="24"/>
              </w:rPr>
              <w:t>事业部总经理戴盛杰，公司副总裁侯刚，公司副总裁兼好视通CE0王化福，证券事务代表罗江龙</w:t>
            </w:r>
          </w:p>
        </w:tc>
      </w:tr>
      <w:tr>
        <w:trPr>
          <w:trHeight w:val="604"/>
        </w:trPr>
        <w:tc>
          <w:tcPr>
            <w:tcW w:w="9736" w:type="dxa"/>
            <w:gridSpan w:val="2"/>
            <w:shd w:val="clear" w:color="auto" w:fill="auto"/>
            <w:vAlign w:val="center"/>
          </w:tcPr>
          <w:p>
            <w:pPr>
              <w:spacing w:line="312" w:lineRule="auto"/>
              <w:ind w:firstLineChars="200" w:firstLine="482"/>
              <w:jc w:val="center"/>
              <w:rPr>
                <w:rFonts w:ascii="宋体" w:hAnsi="宋体" w:cs="微软雅黑"/>
                <w:b/>
                <w:bCs/>
                <w:kern w:val="0"/>
                <w:sz w:val="24"/>
                <w:shd w:val="clear" w:color="auto" w:fill="FFFFFF"/>
                <w:lang w:bidi="ar"/>
              </w:rPr>
            </w:pPr>
            <w:r>
              <w:rPr>
                <w:rFonts w:ascii="Arial" w:hAnsi="宋体" w:cs="Arial"/>
                <w:b/>
                <w:bCs/>
                <w:iCs/>
                <w:sz w:val="24"/>
                <w:szCs w:val="24"/>
              </w:rPr>
              <w:t>投资者关系活动主要内容介绍</w:t>
            </w:r>
          </w:p>
        </w:tc>
      </w:tr>
      <w:tr>
        <w:trPr>
          <w:trHeight w:val="604"/>
        </w:trPr>
        <w:tc>
          <w:tcPr>
            <w:tcW w:w="9736" w:type="dxa"/>
            <w:gridSpan w:val="2"/>
            <w:shd w:val="clear" w:color="auto" w:fill="auto"/>
            <w:vAlign w:val="center"/>
          </w:tcPr>
          <w:p>
            <w:pPr>
              <w:spacing w:line="334" w:lineRule="auto"/>
              <w:ind w:firstLine="482"/>
              <w:jc w:val="left"/>
              <w:rPr>
                <w:rFonts w:ascii="宋体" w:hAnsi="宋体" w:cs="微软雅黑"/>
                <w:b/>
                <w:bCs/>
                <w:kern w:val="0"/>
                <w:sz w:val="24"/>
                <w:szCs w:val="24"/>
                <w:shd w:val="clear" w:color="auto" w:fill="FFFFFF"/>
                <w:lang w:bidi="ar"/>
              </w:rPr>
            </w:pPr>
            <w:r>
              <w:rPr>
                <w:rFonts w:ascii="宋体" w:hAnsi="宋体" w:cs="微软雅黑" w:hint="eastAsia"/>
                <w:b/>
                <w:bCs/>
                <w:kern w:val="0"/>
                <w:sz w:val="24"/>
                <w:szCs w:val="24"/>
                <w:shd w:val="clear" w:color="auto" w:fill="FFFFFF"/>
                <w:lang w:bidi="ar"/>
              </w:rPr>
              <w:t>一、公司2</w:t>
            </w:r>
            <w:r>
              <w:rPr>
                <w:rFonts w:ascii="宋体" w:hAnsi="宋体" w:cs="微软雅黑"/>
                <w:b/>
                <w:bCs/>
                <w:kern w:val="0"/>
                <w:sz w:val="24"/>
                <w:szCs w:val="24"/>
                <w:shd w:val="clear" w:color="auto" w:fill="FFFFFF"/>
                <w:lang w:bidi="ar"/>
              </w:rPr>
              <w:t>020</w:t>
            </w:r>
            <w:r>
              <w:rPr>
                <w:rFonts w:ascii="宋体" w:hAnsi="宋体" w:cs="微软雅黑" w:hint="eastAsia"/>
                <w:b/>
                <w:bCs/>
                <w:kern w:val="0"/>
                <w:sz w:val="24"/>
                <w:szCs w:val="24"/>
                <w:shd w:val="clear" w:color="auto" w:fill="FFFFFF"/>
                <w:lang w:bidi="ar"/>
              </w:rPr>
              <w:t>年三季度业绩介绍</w:t>
            </w:r>
          </w:p>
          <w:p>
            <w:pPr>
              <w:spacing w:line="334" w:lineRule="auto"/>
              <w:ind w:firstLine="480"/>
              <w:rPr>
                <w:rFonts w:ascii="宋体" w:hAnsi="宋体"/>
                <w:sz w:val="24"/>
                <w:szCs w:val="24"/>
              </w:rPr>
            </w:pPr>
            <w:r>
              <w:rPr>
                <w:rFonts w:ascii="宋体" w:hAnsi="宋体" w:hint="eastAsia"/>
                <w:sz w:val="24"/>
                <w:szCs w:val="24"/>
              </w:rPr>
              <w:t>2020年第三季度，齐心集团服务、陪伴客户一起走出疫情雾霾，通过硬件+软件+服务一站式办公服务平台，满足客户办公行政集采服务需求，报告期内公司经营业绩持续稳步增长。齐心集团秉持“夯实主业，打造平台，布局生态”的发展战略，致力于打造“硬件+软件+服务”的一站式办公服务平台，为用户提供高效企业综合服务解决方案。通过持续叠加商品品类与服务，齐心集团不断满足企业级客户的一站式办公采购和服务需求。</w:t>
            </w:r>
          </w:p>
          <w:p>
            <w:pPr>
              <w:spacing w:line="334" w:lineRule="auto"/>
              <w:ind w:firstLine="480"/>
              <w:rPr>
                <w:rFonts w:ascii="宋体" w:hAnsi="宋体"/>
                <w:b/>
                <w:bCs/>
                <w:sz w:val="24"/>
                <w:szCs w:val="24"/>
              </w:rPr>
            </w:pPr>
            <w:r>
              <w:rPr>
                <w:rFonts w:ascii="宋体" w:hAnsi="宋体" w:hint="eastAsia"/>
                <w:b/>
                <w:bCs/>
                <w:sz w:val="24"/>
                <w:szCs w:val="24"/>
              </w:rPr>
              <w:t>1、公司2</w:t>
            </w:r>
            <w:r>
              <w:rPr>
                <w:rFonts w:ascii="宋体" w:hAnsi="宋体"/>
                <w:b/>
                <w:bCs/>
                <w:sz w:val="24"/>
                <w:szCs w:val="24"/>
              </w:rPr>
              <w:t>020</w:t>
            </w:r>
            <w:r>
              <w:rPr>
                <w:rFonts w:ascii="宋体" w:hAnsi="宋体" w:hint="eastAsia"/>
                <w:b/>
                <w:bCs/>
                <w:sz w:val="24"/>
                <w:szCs w:val="24"/>
              </w:rPr>
              <w:t>年三季度业绩情况</w:t>
            </w:r>
          </w:p>
          <w:p>
            <w:pPr>
              <w:spacing w:line="334" w:lineRule="auto"/>
              <w:ind w:firstLine="480"/>
              <w:rPr>
                <w:rFonts w:ascii="宋体" w:hAnsi="宋体"/>
                <w:sz w:val="24"/>
                <w:szCs w:val="24"/>
              </w:rPr>
            </w:pPr>
            <w:r>
              <w:rPr>
                <w:rFonts w:ascii="宋体" w:hAnsi="宋体" w:hint="eastAsia"/>
                <w:sz w:val="24"/>
                <w:szCs w:val="24"/>
              </w:rPr>
              <w:t>2020年1到9月份，整个齐心集团实现收入60.95亿，同比2019年增长40.14%；其中B2B业务中，办公物资集采业务维持较高增长态势，实现营业收入51.05亿，同比增长57.42%。</w:t>
            </w:r>
          </w:p>
          <w:p>
            <w:pPr>
              <w:spacing w:line="334" w:lineRule="auto"/>
              <w:ind w:firstLine="480"/>
              <w:rPr>
                <w:rFonts w:ascii="宋体" w:hAnsi="宋体"/>
                <w:sz w:val="24"/>
                <w:szCs w:val="24"/>
              </w:rPr>
            </w:pPr>
            <w:r>
              <w:rPr>
                <w:rFonts w:ascii="宋体" w:hAnsi="宋体" w:hint="eastAsia"/>
                <w:sz w:val="24"/>
                <w:szCs w:val="24"/>
              </w:rPr>
              <w:t>从利润情况来看，2020年1到9月份，齐心集团实现归母净利润2.4亿元，同比2019年同期增长30.66%，扣非净利润实现2.27亿元，同比2019年增长41.21%，整个公司的经营业绩持续改善。</w:t>
            </w:r>
          </w:p>
          <w:p>
            <w:pPr>
              <w:spacing w:line="334" w:lineRule="auto"/>
              <w:ind w:firstLine="480"/>
              <w:rPr>
                <w:rFonts w:ascii="宋体" w:hAnsi="宋体"/>
                <w:b/>
                <w:bCs/>
                <w:sz w:val="24"/>
                <w:szCs w:val="24"/>
              </w:rPr>
            </w:pPr>
            <w:r>
              <w:rPr>
                <w:rFonts w:ascii="宋体" w:hAnsi="宋体" w:hint="eastAsia"/>
                <w:b/>
                <w:bCs/>
                <w:sz w:val="24"/>
                <w:szCs w:val="24"/>
              </w:rPr>
              <w:lastRenderedPageBreak/>
              <w:t>2、公司2</w:t>
            </w:r>
            <w:r>
              <w:rPr>
                <w:rFonts w:ascii="宋体" w:hAnsi="宋体"/>
                <w:b/>
                <w:bCs/>
                <w:sz w:val="24"/>
                <w:szCs w:val="24"/>
              </w:rPr>
              <w:t>020</w:t>
            </w:r>
            <w:r>
              <w:rPr>
                <w:rFonts w:ascii="宋体" w:hAnsi="宋体" w:hint="eastAsia"/>
                <w:b/>
                <w:bCs/>
                <w:sz w:val="24"/>
                <w:szCs w:val="24"/>
              </w:rPr>
              <w:t>年员工持股计划</w:t>
            </w:r>
          </w:p>
          <w:p>
            <w:pPr>
              <w:spacing w:line="334" w:lineRule="auto"/>
              <w:ind w:firstLineChars="200" w:firstLine="480"/>
              <w:rPr>
                <w:rFonts w:ascii="宋体" w:hAnsi="宋体"/>
                <w:sz w:val="24"/>
                <w:szCs w:val="24"/>
              </w:rPr>
            </w:pPr>
            <w:r>
              <w:rPr>
                <w:rFonts w:ascii="宋体" w:hAnsi="宋体" w:hint="eastAsia"/>
                <w:sz w:val="24"/>
                <w:szCs w:val="24"/>
              </w:rPr>
              <w:t>公司业绩和业务积极成长吸引更多投资者关注和支持齐心，共同成就企业办公服务平台。为</w:t>
            </w:r>
            <w:r>
              <w:rPr>
                <w:rFonts w:ascii="宋体" w:hAnsi="宋体" w:cs="宋体" w:hint="eastAsia"/>
                <w:sz w:val="24"/>
                <w:szCs w:val="24"/>
              </w:rPr>
              <w:t>建立和完善员工与股东的利益共享机制，充分调动员工的积极性和创造性，吸引和保留优秀管理人才和业务骨干，提高公司和下属公司员工的凝聚力和公司竞争力，从而实现公司、股东和员工利益的一致性，促进各方共同关注公司的长远发展，公司拟推动</w:t>
            </w:r>
            <w:r>
              <w:rPr>
                <w:rFonts w:ascii="宋体" w:hAnsi="宋体" w:hint="eastAsia"/>
                <w:sz w:val="24"/>
                <w:szCs w:val="24"/>
              </w:rPr>
              <w:t>实施2</w:t>
            </w:r>
            <w:r>
              <w:rPr>
                <w:rFonts w:ascii="宋体" w:hAnsi="宋体"/>
                <w:sz w:val="24"/>
                <w:szCs w:val="24"/>
              </w:rPr>
              <w:t>020</w:t>
            </w:r>
            <w:r>
              <w:rPr>
                <w:rFonts w:ascii="宋体" w:hAnsi="宋体" w:hint="eastAsia"/>
                <w:sz w:val="24"/>
                <w:szCs w:val="24"/>
              </w:rPr>
              <w:t>年员工持股计划。本次方案参与对象不超过150人，股份来源是回购库存股，本员工持股计划锁定期为12个月，存续期为60个月。业绩考核年度为2020年、2021年、2022年和2023年。根据各考核年度的考核结果，将持有人所持员工持股计划权益，分四个批次归属至各持有人，各批次归属比例为25%。本考核方案通过分期业绩考核和分期权益归属，实现员工利益与公司中期业绩发展共创共赢，进一步稳定和鞭策核心经营管理团队。</w:t>
            </w:r>
          </w:p>
          <w:p>
            <w:pPr>
              <w:spacing w:line="334" w:lineRule="auto"/>
              <w:ind w:firstLine="480"/>
              <w:rPr>
                <w:rFonts w:ascii="宋体" w:hAnsi="宋体"/>
                <w:b/>
                <w:bCs/>
                <w:sz w:val="24"/>
                <w:szCs w:val="24"/>
              </w:rPr>
            </w:pPr>
            <w:r>
              <w:rPr>
                <w:rFonts w:ascii="宋体" w:hAnsi="宋体" w:hint="eastAsia"/>
                <w:b/>
                <w:bCs/>
                <w:sz w:val="24"/>
                <w:szCs w:val="24"/>
              </w:rPr>
              <w:t>3、办公服务平台构建进展</w:t>
            </w:r>
          </w:p>
          <w:p>
            <w:pPr>
              <w:spacing w:line="334" w:lineRule="auto"/>
              <w:ind w:firstLine="480"/>
              <w:rPr>
                <w:rFonts w:ascii="宋体" w:hAnsi="宋体"/>
                <w:sz w:val="24"/>
                <w:szCs w:val="24"/>
              </w:rPr>
            </w:pPr>
            <w:r>
              <w:rPr>
                <w:rFonts w:ascii="宋体" w:hAnsi="宋体" w:hint="eastAsia"/>
                <w:sz w:val="24"/>
                <w:szCs w:val="24"/>
              </w:rPr>
              <w:t>齐心集团持续打造“硬件+软件+服务”办公服务平台，致力于构建完整的企业服务体系，实现海量SKU企业采购平台交易，支持多业态、多模式共存，用数字化手段连接合作伙伴及业务场景，最终构建一站式的企业办公服务平台。</w:t>
            </w:r>
          </w:p>
          <w:p>
            <w:pPr>
              <w:spacing w:line="334" w:lineRule="auto"/>
              <w:ind w:firstLine="480"/>
              <w:rPr>
                <w:rFonts w:ascii="宋体" w:hAnsi="宋体"/>
                <w:sz w:val="24"/>
                <w:szCs w:val="24"/>
              </w:rPr>
            </w:pPr>
            <w:r>
              <w:rPr>
                <w:rFonts w:ascii="宋体" w:hAnsi="宋体" w:hint="eastAsia"/>
                <w:sz w:val="24"/>
                <w:szCs w:val="24"/>
              </w:rPr>
              <w:t>在办公物资这个赛道，持续深挖存量客户的业务，新增中标大客户集采，累计中标、履约大型客户集采项目170多家，典型客户像中直机关、国家电网、南方电网、中国移动、中国联通、工商银行、招商银行、中信银行、太平保险集团等一系列中国最优质的大客户之一。续约国家电网也代表着我们为客户服务，得到客户的积极认可。</w:t>
            </w:r>
          </w:p>
          <w:p>
            <w:pPr>
              <w:spacing w:line="334" w:lineRule="auto"/>
              <w:ind w:firstLine="480"/>
              <w:rPr>
                <w:rFonts w:ascii="宋体" w:hAnsi="宋体"/>
                <w:sz w:val="24"/>
                <w:szCs w:val="24"/>
              </w:rPr>
            </w:pPr>
            <w:r>
              <w:rPr>
                <w:rFonts w:ascii="宋体" w:hAnsi="宋体" w:hint="eastAsia"/>
                <w:sz w:val="24"/>
                <w:szCs w:val="24"/>
              </w:rPr>
              <w:t>在自有品牌方面，公司围绕办公场景化推出自有品牌，不断加强自有品牌的建设能力，加强电商直播的投入，自营店铺流量和月均销量获得积极增长。公司还持续保障政府、大型央企、军工、金融机构和海外客户等群体的防疫供应需求。</w:t>
            </w:r>
          </w:p>
          <w:p>
            <w:pPr>
              <w:spacing w:line="334" w:lineRule="auto"/>
              <w:ind w:firstLine="480"/>
              <w:rPr>
                <w:rFonts w:ascii="宋体" w:hAnsi="宋体"/>
                <w:sz w:val="24"/>
                <w:szCs w:val="24"/>
              </w:rPr>
            </w:pPr>
            <w:r>
              <w:rPr>
                <w:rFonts w:ascii="宋体" w:hAnsi="宋体" w:hint="eastAsia"/>
                <w:sz w:val="24"/>
                <w:szCs w:val="24"/>
              </w:rPr>
              <w:t>在MRO领域，公司品类持续深耕、强化，目前数字化平台上为客户提供服务商品超过20大品类，100多万级的商品。MRO工业品中标多家大型客户，拓展客户新场景，满足客户MRO工业品物资一站式工业集采需求。</w:t>
            </w:r>
          </w:p>
          <w:p>
            <w:pPr>
              <w:spacing w:line="334" w:lineRule="auto"/>
              <w:ind w:firstLine="480"/>
              <w:rPr>
                <w:rFonts w:ascii="宋体" w:hAnsi="宋体"/>
                <w:sz w:val="24"/>
                <w:szCs w:val="24"/>
              </w:rPr>
            </w:pPr>
            <w:r>
              <w:rPr>
                <w:rFonts w:ascii="宋体" w:hAnsi="宋体" w:hint="eastAsia"/>
                <w:sz w:val="24"/>
                <w:szCs w:val="24"/>
              </w:rPr>
              <w:t>在企业福利领域，公司持续服务建筑、电力、保险、金融等企业客户，典型中标客户有中国中铁、中国联动、中国联通、中国人寿、工商银行、深圳航空等。</w:t>
            </w:r>
          </w:p>
          <w:p>
            <w:pPr>
              <w:spacing w:line="334" w:lineRule="auto"/>
              <w:ind w:firstLine="480"/>
              <w:rPr>
                <w:rFonts w:ascii="宋体" w:hAnsi="宋体"/>
                <w:sz w:val="24"/>
                <w:szCs w:val="24"/>
              </w:rPr>
            </w:pPr>
            <w:r>
              <w:rPr>
                <w:rFonts w:ascii="宋体" w:hAnsi="宋体" w:hint="eastAsia"/>
                <w:sz w:val="24"/>
                <w:szCs w:val="24"/>
              </w:rPr>
              <w:t>在云视频领域，齐心集团坚持“云+端+行业”战略实施落地，共建线上办公行业生态。公司发布首款5G智能会议终端，可升级运用于行业会议、智慧教育、智慧党建等多行业场景。</w:t>
            </w:r>
          </w:p>
          <w:p>
            <w:pPr>
              <w:spacing w:line="334" w:lineRule="auto"/>
              <w:ind w:firstLine="480"/>
              <w:rPr>
                <w:rFonts w:ascii="宋体" w:hAnsi="宋体"/>
                <w:sz w:val="24"/>
                <w:szCs w:val="24"/>
              </w:rPr>
            </w:pPr>
          </w:p>
          <w:p>
            <w:pPr>
              <w:spacing w:line="334" w:lineRule="auto"/>
              <w:ind w:firstLine="482"/>
              <w:jc w:val="left"/>
              <w:rPr>
                <w:rFonts w:ascii="宋体" w:hAnsi="宋体" w:cs="微软雅黑"/>
                <w:b/>
                <w:bCs/>
                <w:kern w:val="0"/>
                <w:sz w:val="24"/>
                <w:szCs w:val="24"/>
                <w:shd w:val="clear" w:color="auto" w:fill="FFFFFF"/>
                <w:lang w:bidi="ar"/>
              </w:rPr>
            </w:pPr>
            <w:r>
              <w:rPr>
                <w:rFonts w:ascii="宋体" w:hAnsi="宋体" w:cs="微软雅黑" w:hint="eastAsia"/>
                <w:b/>
                <w:bCs/>
                <w:kern w:val="0"/>
                <w:sz w:val="24"/>
                <w:szCs w:val="24"/>
                <w:shd w:val="clear" w:color="auto" w:fill="FFFFFF"/>
                <w:lang w:bidi="ar"/>
              </w:rPr>
              <w:t>二、互动问答环节</w:t>
            </w:r>
          </w:p>
          <w:p>
            <w:pPr>
              <w:spacing w:line="334" w:lineRule="auto"/>
              <w:ind w:firstLine="480"/>
              <w:rPr>
                <w:rFonts w:ascii="宋体" w:hAnsi="宋体"/>
                <w:b/>
                <w:bCs/>
                <w:sz w:val="24"/>
                <w:szCs w:val="24"/>
              </w:rPr>
            </w:pPr>
            <w:r>
              <w:rPr>
                <w:rFonts w:ascii="宋体" w:hAnsi="宋体" w:hint="eastAsia"/>
                <w:b/>
                <w:bCs/>
                <w:sz w:val="24"/>
                <w:szCs w:val="24"/>
              </w:rPr>
              <w:t>1、公司2</w:t>
            </w:r>
            <w:r>
              <w:rPr>
                <w:rFonts w:ascii="宋体" w:hAnsi="宋体"/>
                <w:b/>
                <w:bCs/>
                <w:sz w:val="24"/>
                <w:szCs w:val="24"/>
              </w:rPr>
              <w:t>020</w:t>
            </w:r>
            <w:r>
              <w:rPr>
                <w:rFonts w:ascii="宋体" w:hAnsi="宋体" w:hint="eastAsia"/>
                <w:b/>
                <w:bCs/>
                <w:sz w:val="24"/>
                <w:szCs w:val="24"/>
              </w:rPr>
              <w:t>年半年报的时候发现毛利率下滑的还比较多，从整个三季度来看，大B</w:t>
            </w:r>
            <w:r>
              <w:rPr>
                <w:rFonts w:ascii="宋体" w:hAnsi="宋体" w:hint="eastAsia"/>
                <w:b/>
                <w:bCs/>
                <w:sz w:val="24"/>
                <w:szCs w:val="24"/>
              </w:rPr>
              <w:lastRenderedPageBreak/>
              <w:t>业务毛利率趋势是怎样？</w:t>
            </w:r>
          </w:p>
          <w:p>
            <w:pPr>
              <w:spacing w:line="334" w:lineRule="auto"/>
              <w:ind w:firstLineChars="200" w:firstLine="480"/>
              <w:rPr>
                <w:rFonts w:ascii="宋体" w:hAnsi="宋体"/>
                <w:sz w:val="24"/>
                <w:szCs w:val="28"/>
              </w:rPr>
            </w:pPr>
            <w:r>
              <w:rPr>
                <w:rFonts w:ascii="宋体" w:hAnsi="宋体" w:hint="eastAsia"/>
                <w:sz w:val="24"/>
                <w:szCs w:val="24"/>
              </w:rPr>
              <w:t>答：B2B业务还是维持10%到13%左右的毛利率，因为整个齐心集团在目前这个阶段，先以满足客户的需求为主，我们打造满足客户需求的极其丰富的产品供应链，先满足客户的需求，待公司收入规模达到一定量之后，我们集成供应上面会有多个措施来改善我们的毛利率。</w:t>
            </w:r>
            <w:r>
              <w:rPr>
                <w:rFonts w:ascii="宋体" w:hAnsi="宋体" w:hint="eastAsia"/>
                <w:sz w:val="24"/>
                <w:szCs w:val="28"/>
              </w:rPr>
              <w:t>公司通过规模化采购与供应链管理，数字化运营平台管理效率的提升等方面进行成本改善</w:t>
            </w:r>
            <w:r>
              <w:rPr>
                <w:rFonts w:ascii="宋体" w:hAnsi="宋体"/>
                <w:sz w:val="24"/>
                <w:szCs w:val="28"/>
              </w:rPr>
              <w:t>。未来随着公司数字化运营能力的提升，公司销售规模的</w:t>
            </w:r>
            <w:r>
              <w:rPr>
                <w:rFonts w:ascii="宋体" w:hAnsi="宋体" w:hint="eastAsia"/>
                <w:sz w:val="24"/>
                <w:szCs w:val="28"/>
              </w:rPr>
              <w:t>扩大，公司</w:t>
            </w:r>
            <w:r>
              <w:rPr>
                <w:rFonts w:ascii="宋体" w:hAnsi="宋体"/>
                <w:sz w:val="24"/>
                <w:szCs w:val="28"/>
              </w:rPr>
              <w:t>固定成本</w:t>
            </w:r>
            <w:r>
              <w:rPr>
                <w:rFonts w:ascii="宋体" w:hAnsi="宋体" w:hint="eastAsia"/>
                <w:sz w:val="24"/>
                <w:szCs w:val="28"/>
              </w:rPr>
              <w:t>也</w:t>
            </w:r>
            <w:r>
              <w:rPr>
                <w:rFonts w:ascii="宋体" w:hAnsi="宋体"/>
                <w:sz w:val="24"/>
                <w:szCs w:val="28"/>
              </w:rPr>
              <w:t>还有较大的改善空间。</w:t>
            </w:r>
          </w:p>
          <w:p>
            <w:pPr>
              <w:spacing w:line="334" w:lineRule="auto"/>
              <w:ind w:firstLine="480"/>
              <w:rPr>
                <w:rFonts w:ascii="宋体" w:hAnsi="宋体"/>
                <w:b/>
                <w:bCs/>
                <w:sz w:val="24"/>
                <w:szCs w:val="24"/>
              </w:rPr>
            </w:pPr>
            <w:r>
              <w:rPr>
                <w:rFonts w:ascii="宋体" w:hAnsi="宋体"/>
                <w:b/>
                <w:bCs/>
                <w:sz w:val="24"/>
                <w:szCs w:val="24"/>
              </w:rPr>
              <w:t>2</w:t>
            </w:r>
            <w:r>
              <w:rPr>
                <w:rFonts w:ascii="宋体" w:hAnsi="宋体" w:hint="eastAsia"/>
                <w:b/>
                <w:bCs/>
                <w:sz w:val="24"/>
                <w:szCs w:val="24"/>
              </w:rPr>
              <w:t>、公司2</w:t>
            </w:r>
            <w:r>
              <w:rPr>
                <w:rFonts w:ascii="宋体" w:hAnsi="宋体"/>
                <w:b/>
                <w:bCs/>
                <w:sz w:val="24"/>
                <w:szCs w:val="24"/>
              </w:rPr>
              <w:t>020</w:t>
            </w:r>
            <w:r>
              <w:rPr>
                <w:rFonts w:ascii="宋体" w:hAnsi="宋体" w:hint="eastAsia"/>
                <w:b/>
                <w:bCs/>
                <w:sz w:val="24"/>
                <w:szCs w:val="24"/>
              </w:rPr>
              <w:t>年持股计划草案中，我看到收入增长一直按30%的预期，利润如果按照复合增速的系数来算，那么2022年到2023年利润增速比收入增速要快，是不是咱们对于利润率的拐点预期，会在2022年看到？</w:t>
            </w:r>
          </w:p>
          <w:p>
            <w:pPr>
              <w:spacing w:line="334" w:lineRule="auto"/>
              <w:ind w:firstLine="480"/>
              <w:rPr>
                <w:rFonts w:ascii="宋体" w:hAnsi="宋体"/>
                <w:sz w:val="24"/>
                <w:szCs w:val="24"/>
              </w:rPr>
            </w:pPr>
            <w:r>
              <w:rPr>
                <w:rFonts w:ascii="宋体" w:hAnsi="宋体" w:hint="eastAsia"/>
                <w:sz w:val="24"/>
                <w:szCs w:val="24"/>
              </w:rPr>
              <w:t>答：我们根据管理数据测算，B2B销售业务规模破了百亿之后，在毛利率改善的几个措施会持续推进下，净利润业务增长拐点预计会高于收入的增长。整个齐心集团战略目标就是构建一站式的企业办公服务平台，未来自有品牌，像好视通都是整个平台为客户提供服务，定义我们自有品牌，那么这些品牌都能带来毛利率改善，但是在改善同时也要加大研发投入，保持在市场上有足够竞争力，才能保证我们品牌在市场上保持长久的竞争力，未来还会在研发、产品、技术方面会引进更多的团队，打造整个领先的核心竞争优势。</w:t>
            </w:r>
          </w:p>
          <w:p>
            <w:pPr>
              <w:spacing w:line="334" w:lineRule="auto"/>
              <w:ind w:firstLine="480"/>
              <w:rPr>
                <w:rFonts w:ascii="宋体" w:hAnsi="宋体"/>
                <w:b/>
                <w:bCs/>
                <w:sz w:val="24"/>
                <w:szCs w:val="24"/>
              </w:rPr>
            </w:pPr>
            <w:r>
              <w:rPr>
                <w:rFonts w:ascii="宋体" w:hAnsi="宋体"/>
                <w:b/>
                <w:bCs/>
                <w:sz w:val="24"/>
                <w:szCs w:val="24"/>
              </w:rPr>
              <w:t>3</w:t>
            </w:r>
            <w:r>
              <w:rPr>
                <w:rFonts w:ascii="宋体" w:hAnsi="宋体" w:hint="eastAsia"/>
                <w:b/>
                <w:bCs/>
                <w:sz w:val="24"/>
                <w:szCs w:val="24"/>
              </w:rPr>
              <w:t>、三季度云视频业务和集采业务净利润还是有一定波动，波动原因是什么？</w:t>
            </w:r>
          </w:p>
          <w:p>
            <w:pPr>
              <w:spacing w:line="334" w:lineRule="auto"/>
              <w:ind w:firstLine="480"/>
              <w:rPr>
                <w:rFonts w:ascii="宋体" w:hAnsi="宋体"/>
                <w:sz w:val="24"/>
                <w:szCs w:val="24"/>
              </w:rPr>
            </w:pPr>
            <w:r>
              <w:rPr>
                <w:rFonts w:ascii="宋体" w:hAnsi="宋体" w:hint="eastAsia"/>
                <w:sz w:val="24"/>
                <w:szCs w:val="24"/>
              </w:rPr>
              <w:t>答：好视通方面，今年好视通在疫情期间推出了500方免费会议系统，会带来一定的流量成本。在研发上面也加大了投入，这些增长会体现一定的成本和费用，像“数字广东”项目2020年9月份才上线，投入费用会在2020年，但是未来收入增长会在未来3到5年呈现出来，我们认为这种投入是代表着未来业务增长的技术储备。</w:t>
            </w:r>
          </w:p>
          <w:p>
            <w:pPr>
              <w:spacing w:line="334" w:lineRule="auto"/>
              <w:ind w:firstLine="480"/>
              <w:rPr>
                <w:rFonts w:ascii="宋体" w:hAnsi="宋体"/>
                <w:sz w:val="24"/>
                <w:szCs w:val="24"/>
              </w:rPr>
            </w:pPr>
            <w:r>
              <w:rPr>
                <w:rFonts w:ascii="宋体" w:hAnsi="宋体" w:hint="eastAsia"/>
                <w:sz w:val="24"/>
                <w:szCs w:val="24"/>
              </w:rPr>
              <w:t>在B2B领域，我们的收入和利润还是呈现较快速的增长，今年是在疫情等情况下，我们是对人员招聘进行了一定的控制，今年整个B2B团队在戴总带领下克服了疫情带来的影响，我们用更高效的销售模式实现了业绩的增长，B</w:t>
            </w:r>
            <w:r>
              <w:rPr>
                <w:rFonts w:ascii="宋体" w:hAnsi="宋体"/>
                <w:sz w:val="24"/>
                <w:szCs w:val="24"/>
              </w:rPr>
              <w:t>2B</w:t>
            </w:r>
            <w:r>
              <w:rPr>
                <w:rFonts w:ascii="宋体" w:hAnsi="宋体" w:hint="eastAsia"/>
                <w:sz w:val="24"/>
                <w:szCs w:val="24"/>
              </w:rPr>
              <w:t>业绩也实现了较高速增长。</w:t>
            </w:r>
          </w:p>
          <w:p>
            <w:pPr>
              <w:spacing w:line="334" w:lineRule="auto"/>
              <w:ind w:firstLine="480"/>
              <w:rPr>
                <w:rFonts w:ascii="宋体" w:hAnsi="宋体"/>
                <w:b/>
                <w:bCs/>
                <w:sz w:val="24"/>
                <w:szCs w:val="24"/>
              </w:rPr>
            </w:pPr>
            <w:r>
              <w:rPr>
                <w:rFonts w:ascii="宋体" w:hAnsi="宋体"/>
                <w:b/>
                <w:bCs/>
                <w:sz w:val="24"/>
                <w:szCs w:val="24"/>
              </w:rPr>
              <w:t>4</w:t>
            </w:r>
            <w:r>
              <w:rPr>
                <w:rFonts w:ascii="宋体" w:hAnsi="宋体" w:hint="eastAsia"/>
                <w:b/>
                <w:bCs/>
                <w:sz w:val="24"/>
                <w:szCs w:val="24"/>
              </w:rPr>
              <w:t>、请对目前两大业务未来发展方向和明年发展规划做一下介绍。</w:t>
            </w:r>
          </w:p>
          <w:p>
            <w:pPr>
              <w:spacing w:line="334" w:lineRule="auto"/>
              <w:ind w:firstLine="480"/>
              <w:rPr>
                <w:rFonts w:ascii="宋体" w:hAnsi="宋体"/>
                <w:sz w:val="24"/>
                <w:szCs w:val="24"/>
              </w:rPr>
            </w:pPr>
            <w:r>
              <w:rPr>
                <w:rFonts w:ascii="宋体" w:hAnsi="宋体" w:hint="eastAsia"/>
                <w:sz w:val="24"/>
                <w:szCs w:val="24"/>
              </w:rPr>
              <w:t>答：关于B</w:t>
            </w:r>
            <w:r>
              <w:rPr>
                <w:rFonts w:ascii="宋体" w:hAnsi="宋体"/>
                <w:sz w:val="24"/>
                <w:szCs w:val="24"/>
              </w:rPr>
              <w:t>2B</w:t>
            </w:r>
            <w:r>
              <w:rPr>
                <w:rFonts w:ascii="宋体" w:hAnsi="宋体" w:hint="eastAsia"/>
                <w:sz w:val="24"/>
                <w:szCs w:val="24"/>
              </w:rPr>
              <w:t>方面，从今年整个态势来看，去年和今年在疫情前中标的一些客户，他们一部分的存量市场得到了非常大的成长。像比较典型的，邮储、国税、邮政这些项目整个成长性都非常好。一家客户特别是大B的客户，从中标以后到整个内部实施采购量完全释放出来，需要比较长的周期，齐心集团依靠一部分已经很成熟的客户，像国网、南网很成熟的客户打下很坚实的客户，那么也储备了一些客户得到了释放，我们还会通过服务和内占比基本奠定我们在这些项目上面比较稳定坚实的基础。</w:t>
            </w:r>
          </w:p>
          <w:p>
            <w:pPr>
              <w:spacing w:line="334" w:lineRule="auto"/>
              <w:ind w:firstLine="480"/>
              <w:rPr>
                <w:rFonts w:ascii="宋体" w:hAnsi="宋体"/>
                <w:sz w:val="24"/>
                <w:szCs w:val="24"/>
              </w:rPr>
            </w:pPr>
            <w:r>
              <w:rPr>
                <w:rFonts w:ascii="宋体" w:hAnsi="宋体" w:hint="eastAsia"/>
                <w:sz w:val="24"/>
                <w:szCs w:val="24"/>
              </w:rPr>
              <w:t>下一步我们会更长远去思考，我们在做B2B业务时候，如何奠定我们坚实的核心竞争力，</w:t>
            </w:r>
            <w:r>
              <w:rPr>
                <w:rFonts w:ascii="宋体" w:hAnsi="宋体" w:hint="eastAsia"/>
                <w:sz w:val="24"/>
                <w:szCs w:val="24"/>
              </w:rPr>
              <w:lastRenderedPageBreak/>
              <w:t>也就是我们的运行效率、商品运营能力，我们内部交付运营能力以及我们对整个生态粘合能力。当我们构建自己真正的竞争力同时，从商品、内部运营以及服务者这样生态构建完成之后，我们相信我们2B业务整个收入和业务增长，会更加稳定和更加坚实。</w:t>
            </w:r>
          </w:p>
          <w:p>
            <w:pPr>
              <w:spacing w:line="334" w:lineRule="auto"/>
              <w:ind w:firstLine="480"/>
              <w:rPr>
                <w:rFonts w:ascii="宋体" w:hAnsi="宋体"/>
                <w:sz w:val="24"/>
                <w:szCs w:val="24"/>
              </w:rPr>
            </w:pPr>
            <w:r>
              <w:rPr>
                <w:rFonts w:ascii="宋体" w:hAnsi="宋体" w:hint="eastAsia"/>
                <w:sz w:val="24"/>
                <w:szCs w:val="24"/>
              </w:rPr>
              <w:t>云视频方面，好视通在齐心集团家族里面承担着云视频业务重要责任。疫情其实对于云视频是非常大的契机。2003年非典真正拉动视频的业务，其实释放在第二年、第三年以后视频业务高速发展。同样，今年疫情对于云视频是一个很好的机会。齐心好视通对于明年增长做了很大储备，比如说研发投入、人才的引入。对于整个好视通未来发展利基方面：</w:t>
            </w:r>
          </w:p>
          <w:p>
            <w:pPr>
              <w:spacing w:line="334" w:lineRule="auto"/>
              <w:ind w:firstLine="480"/>
              <w:rPr>
                <w:rFonts w:ascii="宋体" w:hAnsi="宋体"/>
                <w:sz w:val="24"/>
                <w:szCs w:val="24"/>
              </w:rPr>
            </w:pPr>
            <w:r>
              <w:rPr>
                <w:rFonts w:ascii="宋体" w:hAnsi="宋体" w:hint="eastAsia"/>
                <w:sz w:val="24"/>
                <w:szCs w:val="24"/>
              </w:rPr>
              <w:t>第一、今年疫情带来小微企业，可能被行业巨头免费业务给消化，但是中大型企业，这部分我们会大量引入渠道合作伙伴，这个方面我们会加大在中大型客户，面向广阔合作伙伴。 B2B办公物资业务与好视通的业务协同下，也会帮助好视通在重大客户大型拓展上有一个很好的帮助。</w:t>
            </w:r>
          </w:p>
          <w:p>
            <w:pPr>
              <w:spacing w:line="334" w:lineRule="auto"/>
              <w:ind w:firstLine="480"/>
              <w:rPr>
                <w:rFonts w:ascii="宋体" w:hAnsi="宋体"/>
                <w:sz w:val="24"/>
                <w:szCs w:val="24"/>
              </w:rPr>
            </w:pPr>
            <w:r>
              <w:rPr>
                <w:rFonts w:ascii="宋体" w:hAnsi="宋体" w:hint="eastAsia"/>
                <w:sz w:val="24"/>
                <w:szCs w:val="24"/>
              </w:rPr>
              <w:t>第二、在大B客户上面，好视通有很好的积累，未来一些央企会有很好的突破和产出。</w:t>
            </w:r>
          </w:p>
          <w:p>
            <w:pPr>
              <w:spacing w:line="334" w:lineRule="auto"/>
              <w:ind w:firstLine="480"/>
              <w:rPr>
                <w:rFonts w:ascii="宋体" w:hAnsi="宋体"/>
                <w:sz w:val="24"/>
                <w:szCs w:val="24"/>
              </w:rPr>
            </w:pPr>
            <w:r>
              <w:rPr>
                <w:rFonts w:ascii="宋体" w:hAnsi="宋体" w:hint="eastAsia"/>
                <w:sz w:val="24"/>
                <w:szCs w:val="24"/>
              </w:rPr>
              <w:t>第三、纵深的行业，其实好视通以前有很好的教育，但是随着疫情加速远程教育的发展，其实国家教育部在今年3月份三号文发布利用第三课堂，来促进整个师资力量均衡指导性政策，并且匹配了相应的资金。</w:t>
            </w:r>
          </w:p>
          <w:p>
            <w:pPr>
              <w:spacing w:line="334" w:lineRule="auto"/>
              <w:ind w:firstLine="480"/>
              <w:rPr>
                <w:rFonts w:ascii="宋体" w:hAnsi="宋体"/>
                <w:sz w:val="24"/>
                <w:szCs w:val="24"/>
              </w:rPr>
            </w:pPr>
            <w:r>
              <w:rPr>
                <w:rFonts w:ascii="宋体" w:hAnsi="宋体" w:hint="eastAsia"/>
                <w:sz w:val="24"/>
                <w:szCs w:val="24"/>
              </w:rPr>
              <w:t>好视通通过掌握音视频的技术以及对于教育深刻理解，我们能够把握住这次机会。未来智慧教育行业不仅是千亿，而且是数千亿的市场，云视频在里面也会起到一个非常重要的作用，所以这是明年预期有增长主要三个依据的来源。</w:t>
            </w:r>
          </w:p>
          <w:p>
            <w:pPr>
              <w:spacing w:line="334" w:lineRule="auto"/>
              <w:ind w:firstLine="480"/>
              <w:rPr>
                <w:rFonts w:ascii="宋体" w:hAnsi="宋体"/>
                <w:b/>
                <w:bCs/>
                <w:sz w:val="24"/>
                <w:szCs w:val="24"/>
              </w:rPr>
            </w:pPr>
            <w:r>
              <w:rPr>
                <w:rFonts w:ascii="宋体" w:hAnsi="宋体"/>
                <w:b/>
                <w:bCs/>
                <w:sz w:val="24"/>
                <w:szCs w:val="24"/>
              </w:rPr>
              <w:t>5</w:t>
            </w:r>
            <w:r>
              <w:rPr>
                <w:rFonts w:ascii="宋体" w:hAnsi="宋体" w:hint="eastAsia"/>
                <w:b/>
                <w:bCs/>
                <w:sz w:val="24"/>
                <w:szCs w:val="24"/>
              </w:rPr>
              <w:t>、先前97家央企大概有26家完成电商化采购，现在整个开放进度是怎样？以及渗透率上面有没有提升？</w:t>
            </w:r>
          </w:p>
          <w:p>
            <w:pPr>
              <w:spacing w:line="334" w:lineRule="auto"/>
              <w:ind w:firstLine="480"/>
              <w:rPr>
                <w:rFonts w:ascii="宋体" w:hAnsi="宋体"/>
                <w:sz w:val="24"/>
                <w:szCs w:val="24"/>
              </w:rPr>
            </w:pPr>
            <w:r>
              <w:rPr>
                <w:rFonts w:ascii="宋体" w:hAnsi="宋体" w:hint="eastAsia"/>
                <w:sz w:val="24"/>
                <w:szCs w:val="24"/>
              </w:rPr>
              <w:t>答：目前整个央企已经启动集采是28家，招投标的业务来源方面，目前从实际渗透率来看，去年中标的客户今年都实现了业务快速上量。</w:t>
            </w:r>
          </w:p>
          <w:p>
            <w:pPr>
              <w:spacing w:line="334" w:lineRule="auto"/>
              <w:ind w:firstLine="480"/>
              <w:rPr>
                <w:rFonts w:ascii="宋体" w:hAnsi="宋体"/>
                <w:b/>
                <w:bCs/>
                <w:sz w:val="24"/>
                <w:szCs w:val="24"/>
              </w:rPr>
            </w:pPr>
            <w:r>
              <w:rPr>
                <w:rFonts w:ascii="宋体" w:hAnsi="宋体"/>
                <w:b/>
                <w:bCs/>
                <w:sz w:val="24"/>
                <w:szCs w:val="24"/>
              </w:rPr>
              <w:t>6</w:t>
            </w:r>
            <w:r>
              <w:rPr>
                <w:rFonts w:ascii="宋体" w:hAnsi="宋体" w:hint="eastAsia"/>
                <w:b/>
                <w:bCs/>
                <w:sz w:val="24"/>
                <w:szCs w:val="24"/>
              </w:rPr>
              <w:t>、我们看到今年尤其三季度以来，各类原材料价格涨的比较多，不知道自有供应链价格会不会往上提，三季度毛利率下滑跟自有品牌毛利率下滑会不会有一定关系？</w:t>
            </w:r>
          </w:p>
          <w:p>
            <w:pPr>
              <w:spacing w:line="334" w:lineRule="auto"/>
              <w:ind w:firstLine="480"/>
              <w:rPr>
                <w:rFonts w:ascii="宋体" w:hAnsi="宋体"/>
                <w:sz w:val="24"/>
                <w:szCs w:val="24"/>
              </w:rPr>
            </w:pPr>
            <w:r>
              <w:rPr>
                <w:rFonts w:ascii="宋体" w:hAnsi="宋体" w:hint="eastAsia"/>
                <w:sz w:val="24"/>
                <w:szCs w:val="24"/>
              </w:rPr>
              <w:t>答：自有品牌方面，应对市场价格波动、原材料价格带来的波动，公司进行货源的价格锁定，保持我们生产成本的相对稳定，满足客户需求，也保持整个产品在终端销售价格相对稳定，</w:t>
            </w:r>
            <w:r>
              <w:rPr>
                <w:rFonts w:hint="eastAsia"/>
                <w:sz w:val="24"/>
                <w:szCs w:val="24"/>
              </w:rPr>
              <w:t>为公司获取更好的盈利能力，</w:t>
            </w:r>
            <w:r>
              <w:rPr>
                <w:rFonts w:ascii="宋体" w:hAnsi="宋体" w:hint="eastAsia"/>
                <w:sz w:val="24"/>
                <w:szCs w:val="24"/>
              </w:rPr>
              <w:t>最终目的是为了让客户有更好的消费体验。目前实际情况来看，我们自有品牌毛利率还是保持比较稳定的态势。</w:t>
            </w:r>
          </w:p>
          <w:p>
            <w:pPr>
              <w:spacing w:line="334" w:lineRule="auto"/>
              <w:ind w:firstLine="480"/>
              <w:rPr>
                <w:rFonts w:ascii="宋体" w:hAnsi="宋体"/>
                <w:b/>
                <w:bCs/>
                <w:sz w:val="24"/>
                <w:szCs w:val="24"/>
              </w:rPr>
            </w:pPr>
            <w:r>
              <w:rPr>
                <w:rFonts w:ascii="宋体" w:hAnsi="宋体"/>
                <w:b/>
                <w:bCs/>
                <w:sz w:val="24"/>
                <w:szCs w:val="24"/>
              </w:rPr>
              <w:t>7</w:t>
            </w:r>
            <w:r>
              <w:rPr>
                <w:rFonts w:ascii="宋体" w:hAnsi="宋体" w:hint="eastAsia"/>
                <w:b/>
                <w:bCs/>
                <w:sz w:val="24"/>
                <w:szCs w:val="24"/>
              </w:rPr>
              <w:t>、我们看到客户也可以分为政府、央企、市场化的企业，包括军队各个方面，想问一下如果从这个角度去划分，未来3年来看，哪一块市场可能会成为比较主流增长的市场？</w:t>
            </w:r>
          </w:p>
          <w:p>
            <w:pPr>
              <w:spacing w:line="334" w:lineRule="auto"/>
              <w:ind w:firstLine="480"/>
              <w:rPr>
                <w:rFonts w:ascii="宋体" w:hAnsi="宋体"/>
                <w:sz w:val="24"/>
                <w:szCs w:val="24"/>
              </w:rPr>
            </w:pPr>
            <w:r>
              <w:rPr>
                <w:rFonts w:ascii="宋体" w:hAnsi="宋体" w:hint="eastAsia"/>
                <w:sz w:val="24"/>
                <w:szCs w:val="24"/>
              </w:rPr>
              <w:t>答：目前至少到2022年，整个齐心集团仍将以中国头部客户央企、政府、银行、军区军工类为主。未来会不会进入地方500强，什么时间进入4千家优质上市公司，是基于业务</w:t>
            </w:r>
            <w:r>
              <w:rPr>
                <w:rFonts w:ascii="宋体" w:hAnsi="宋体" w:hint="eastAsia"/>
                <w:sz w:val="24"/>
                <w:szCs w:val="24"/>
              </w:rPr>
              <w:lastRenderedPageBreak/>
              <w:t>快速拓展和团队的能力。公司将不断构建核心竞争能力，不断拓展这样一类的客户。目前主要业务是以央企、政府、银行等为主，我们认为未来增长最大的来源还是在央企和政务市场方面。</w:t>
            </w:r>
          </w:p>
          <w:p>
            <w:pPr>
              <w:spacing w:line="312" w:lineRule="auto"/>
              <w:jc w:val="left"/>
              <w:rPr>
                <w:rFonts w:ascii="宋体" w:hAnsi="宋体"/>
                <w:sz w:val="24"/>
                <w:szCs w:val="24"/>
              </w:rPr>
            </w:pPr>
          </w:p>
        </w:tc>
      </w:tr>
      <w:tr>
        <w:tc>
          <w:tcPr>
            <w:tcW w:w="1980" w:type="dxa"/>
            <w:shd w:val="clear" w:color="auto" w:fill="auto"/>
            <w:vAlign w:val="center"/>
          </w:tcPr>
          <w:p>
            <w:pPr>
              <w:spacing w:line="480" w:lineRule="atLeast"/>
              <w:rPr>
                <w:rFonts w:ascii="Arial" w:hAnsi="Arial" w:cs="Arial"/>
                <w:b/>
                <w:bCs/>
                <w:iCs/>
                <w:sz w:val="24"/>
                <w:szCs w:val="24"/>
              </w:rPr>
            </w:pPr>
            <w:r>
              <w:rPr>
                <w:rFonts w:ascii="Arial" w:hAnsi="宋体" w:cs="Arial"/>
                <w:b/>
                <w:bCs/>
                <w:iCs/>
                <w:sz w:val="24"/>
                <w:szCs w:val="24"/>
              </w:rPr>
              <w:lastRenderedPageBreak/>
              <w:t>附件清单</w:t>
            </w:r>
            <w:r>
              <w:rPr>
                <w:rFonts w:ascii="Arial" w:hAnsi="宋体" w:cs="Arial"/>
                <w:b/>
                <w:bCs/>
                <w:iCs/>
                <w:szCs w:val="21"/>
              </w:rPr>
              <w:t>（如有）</w:t>
            </w:r>
          </w:p>
        </w:tc>
        <w:tc>
          <w:tcPr>
            <w:tcW w:w="7756" w:type="dxa"/>
            <w:shd w:val="clear" w:color="auto" w:fill="auto"/>
          </w:tcPr>
          <w:p>
            <w:pPr>
              <w:spacing w:line="480" w:lineRule="atLeast"/>
              <w:rPr>
                <w:rFonts w:ascii="Arial" w:hAnsi="Arial" w:cs="Arial"/>
                <w:bCs/>
                <w:iCs/>
                <w:sz w:val="24"/>
                <w:szCs w:val="24"/>
              </w:rPr>
            </w:pPr>
            <w:r>
              <w:rPr>
                <w:rFonts w:ascii="Arial" w:hAnsi="Arial" w:cs="Arial" w:hint="eastAsia"/>
                <w:bCs/>
                <w:iCs/>
                <w:sz w:val="24"/>
                <w:szCs w:val="24"/>
              </w:rPr>
              <w:t>无</w:t>
            </w:r>
          </w:p>
        </w:tc>
      </w:tr>
      <w:tr>
        <w:tc>
          <w:tcPr>
            <w:tcW w:w="1980" w:type="dxa"/>
            <w:shd w:val="clear" w:color="auto" w:fill="auto"/>
            <w:vAlign w:val="center"/>
          </w:tcPr>
          <w:p>
            <w:pPr>
              <w:spacing w:line="480" w:lineRule="atLeast"/>
              <w:rPr>
                <w:rFonts w:ascii="Arial" w:hAnsi="Arial" w:cs="Arial"/>
                <w:b/>
                <w:bCs/>
                <w:iCs/>
                <w:sz w:val="24"/>
                <w:szCs w:val="24"/>
              </w:rPr>
            </w:pPr>
            <w:r>
              <w:rPr>
                <w:rFonts w:ascii="Arial" w:hAnsi="宋体" w:cs="Arial"/>
                <w:b/>
                <w:bCs/>
                <w:iCs/>
                <w:sz w:val="24"/>
                <w:szCs w:val="24"/>
              </w:rPr>
              <w:t>日期</w:t>
            </w:r>
          </w:p>
        </w:tc>
        <w:tc>
          <w:tcPr>
            <w:tcW w:w="7756" w:type="dxa"/>
            <w:shd w:val="clear" w:color="auto" w:fill="auto"/>
          </w:tcPr>
          <w:p>
            <w:pPr>
              <w:tabs>
                <w:tab w:val="left" w:pos="1710"/>
              </w:tabs>
              <w:spacing w:line="480" w:lineRule="atLeast"/>
              <w:rPr>
                <w:rFonts w:ascii="Arial" w:hAnsi="Arial" w:cs="Arial"/>
                <w:bCs/>
                <w:iCs/>
                <w:sz w:val="24"/>
                <w:szCs w:val="24"/>
              </w:rPr>
            </w:pPr>
            <w:r>
              <w:rPr>
                <w:rFonts w:ascii="Arial" w:hAnsi="Arial" w:cs="Arial" w:hint="eastAsia"/>
                <w:bCs/>
                <w:iCs/>
                <w:sz w:val="24"/>
                <w:szCs w:val="24"/>
              </w:rPr>
              <w:t>202</w:t>
            </w:r>
            <w:r>
              <w:rPr>
                <w:rFonts w:ascii="Arial" w:hAnsi="Arial" w:cs="Arial"/>
                <w:bCs/>
                <w:iCs/>
                <w:sz w:val="24"/>
                <w:szCs w:val="24"/>
              </w:rPr>
              <w:t>0</w:t>
            </w:r>
            <w:r>
              <w:rPr>
                <w:rFonts w:ascii="Arial" w:hAnsi="Arial" w:cs="Arial" w:hint="eastAsia"/>
                <w:bCs/>
                <w:iCs/>
                <w:sz w:val="24"/>
                <w:szCs w:val="24"/>
              </w:rPr>
              <w:t>年</w:t>
            </w:r>
            <w:r>
              <w:rPr>
                <w:rFonts w:ascii="Arial" w:hAnsi="Arial" w:cs="Arial"/>
                <w:bCs/>
                <w:iCs/>
                <w:sz w:val="24"/>
                <w:szCs w:val="24"/>
              </w:rPr>
              <w:t>10</w:t>
            </w:r>
            <w:r>
              <w:rPr>
                <w:rFonts w:ascii="Arial" w:hAnsi="Arial" w:cs="Arial" w:hint="eastAsia"/>
                <w:bCs/>
                <w:iCs/>
                <w:sz w:val="24"/>
                <w:szCs w:val="24"/>
              </w:rPr>
              <w:t>月</w:t>
            </w:r>
            <w:r>
              <w:rPr>
                <w:rFonts w:ascii="Arial" w:hAnsi="Arial" w:cs="Arial"/>
                <w:bCs/>
                <w:iCs/>
                <w:sz w:val="24"/>
                <w:szCs w:val="24"/>
              </w:rPr>
              <w:t>28</w:t>
            </w:r>
            <w:r>
              <w:rPr>
                <w:rFonts w:ascii="Arial" w:hAnsi="Arial" w:cs="Arial" w:hint="eastAsia"/>
                <w:bCs/>
                <w:iCs/>
                <w:sz w:val="24"/>
                <w:szCs w:val="24"/>
              </w:rPr>
              <w:t>日</w:t>
            </w:r>
          </w:p>
        </w:tc>
      </w:tr>
    </w:tbl>
    <w:p>
      <w:pPr>
        <w:rPr>
          <w:rFonts w:ascii="Arial" w:hAnsi="Arial" w:cs="Arial"/>
        </w:rPr>
      </w:pPr>
    </w:p>
    <w:sectPr>
      <w:headerReference w:type="default" r:id="rId7"/>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9"/>
    </w:pPr>
    <w:r>
      <w:rPr>
        <w:rFonts w:ascii="Arial" w:cs="Arial"/>
      </w:rPr>
      <w:t>证券代码：</w:t>
    </w:r>
    <w:r>
      <w:rPr>
        <w:rFonts w:ascii="Arial" w:hAnsi="Arial" w:cs="Arial"/>
      </w:rPr>
      <w:t xml:space="preserve">002301        </w:t>
    </w:r>
    <w:r>
      <w:rPr>
        <w:rFonts w:hint="eastAsia"/>
      </w:rPr>
      <w:t xml:space="preserve">                                        </w:t>
    </w:r>
    <w:r>
      <w:t xml:space="preserve">               </w:t>
    </w:r>
    <w:r>
      <w:rPr>
        <w:rFonts w:hint="eastAsia"/>
      </w:rPr>
      <w:t xml:space="preserve">      </w:t>
    </w:r>
    <w:r>
      <w:rPr>
        <w:rFonts w:hint="eastAsia"/>
      </w:rPr>
      <w:t>证券简称：齐心集团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1E0A3F"/>
    <w:multiLevelType w:val="multilevel"/>
    <w:tmpl w:val="D21E0A3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B18874"/>
    <w:multiLevelType w:val="singleLevel"/>
    <w:tmpl w:val="0BB18874"/>
    <w:lvl w:ilvl="0">
      <w:start w:val="1"/>
      <w:numFmt w:val="decimal"/>
      <w:lvlText w:val="%1."/>
      <w:lvlJc w:val="left"/>
      <w:pPr>
        <w:tabs>
          <w:tab w:val="left" w:pos="312"/>
        </w:tabs>
      </w:pPr>
    </w:lvl>
  </w:abstractNum>
  <w:abstractNum w:abstractNumId="2" w15:restartNumberingAfterBreak="0">
    <w:nsid w:val="0FB119A2"/>
    <w:multiLevelType w:val="hybridMultilevel"/>
    <w:tmpl w:val="51BCEF36"/>
    <w:lvl w:ilvl="0" w:tplc="749CF3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1EF3951"/>
    <w:multiLevelType w:val="hybridMultilevel"/>
    <w:tmpl w:val="43D265DE"/>
    <w:lvl w:ilvl="0" w:tplc="6810A26C">
      <w:start w:val="1"/>
      <w:numFmt w:val="bullet"/>
      <w:lvlText w:val=""/>
      <w:lvlJc w:val="left"/>
      <w:pPr>
        <w:tabs>
          <w:tab w:val="num" w:pos="720"/>
        </w:tabs>
        <w:ind w:left="720" w:hanging="360"/>
      </w:pPr>
      <w:rPr>
        <w:rFonts w:ascii="Wingdings" w:hAnsi="Wingdings" w:hint="default"/>
      </w:rPr>
    </w:lvl>
    <w:lvl w:ilvl="1" w:tplc="B428DF50" w:tentative="1">
      <w:start w:val="1"/>
      <w:numFmt w:val="bullet"/>
      <w:lvlText w:val=""/>
      <w:lvlJc w:val="left"/>
      <w:pPr>
        <w:tabs>
          <w:tab w:val="num" w:pos="1440"/>
        </w:tabs>
        <w:ind w:left="1440" w:hanging="360"/>
      </w:pPr>
      <w:rPr>
        <w:rFonts w:ascii="Wingdings" w:hAnsi="Wingdings" w:hint="default"/>
      </w:rPr>
    </w:lvl>
    <w:lvl w:ilvl="2" w:tplc="802EFA2C" w:tentative="1">
      <w:start w:val="1"/>
      <w:numFmt w:val="bullet"/>
      <w:lvlText w:val=""/>
      <w:lvlJc w:val="left"/>
      <w:pPr>
        <w:tabs>
          <w:tab w:val="num" w:pos="2160"/>
        </w:tabs>
        <w:ind w:left="2160" w:hanging="360"/>
      </w:pPr>
      <w:rPr>
        <w:rFonts w:ascii="Wingdings" w:hAnsi="Wingdings" w:hint="default"/>
      </w:rPr>
    </w:lvl>
    <w:lvl w:ilvl="3" w:tplc="30F22BA2" w:tentative="1">
      <w:start w:val="1"/>
      <w:numFmt w:val="bullet"/>
      <w:lvlText w:val=""/>
      <w:lvlJc w:val="left"/>
      <w:pPr>
        <w:tabs>
          <w:tab w:val="num" w:pos="2880"/>
        </w:tabs>
        <w:ind w:left="2880" w:hanging="360"/>
      </w:pPr>
      <w:rPr>
        <w:rFonts w:ascii="Wingdings" w:hAnsi="Wingdings" w:hint="default"/>
      </w:rPr>
    </w:lvl>
    <w:lvl w:ilvl="4" w:tplc="375AEFE8" w:tentative="1">
      <w:start w:val="1"/>
      <w:numFmt w:val="bullet"/>
      <w:lvlText w:val=""/>
      <w:lvlJc w:val="left"/>
      <w:pPr>
        <w:tabs>
          <w:tab w:val="num" w:pos="3600"/>
        </w:tabs>
        <w:ind w:left="3600" w:hanging="360"/>
      </w:pPr>
      <w:rPr>
        <w:rFonts w:ascii="Wingdings" w:hAnsi="Wingdings" w:hint="default"/>
      </w:rPr>
    </w:lvl>
    <w:lvl w:ilvl="5" w:tplc="284C43E0" w:tentative="1">
      <w:start w:val="1"/>
      <w:numFmt w:val="bullet"/>
      <w:lvlText w:val=""/>
      <w:lvlJc w:val="left"/>
      <w:pPr>
        <w:tabs>
          <w:tab w:val="num" w:pos="4320"/>
        </w:tabs>
        <w:ind w:left="4320" w:hanging="360"/>
      </w:pPr>
      <w:rPr>
        <w:rFonts w:ascii="Wingdings" w:hAnsi="Wingdings" w:hint="default"/>
      </w:rPr>
    </w:lvl>
    <w:lvl w:ilvl="6" w:tplc="366633F4" w:tentative="1">
      <w:start w:val="1"/>
      <w:numFmt w:val="bullet"/>
      <w:lvlText w:val=""/>
      <w:lvlJc w:val="left"/>
      <w:pPr>
        <w:tabs>
          <w:tab w:val="num" w:pos="5040"/>
        </w:tabs>
        <w:ind w:left="5040" w:hanging="360"/>
      </w:pPr>
      <w:rPr>
        <w:rFonts w:ascii="Wingdings" w:hAnsi="Wingdings" w:hint="default"/>
      </w:rPr>
    </w:lvl>
    <w:lvl w:ilvl="7" w:tplc="858A675A" w:tentative="1">
      <w:start w:val="1"/>
      <w:numFmt w:val="bullet"/>
      <w:lvlText w:val=""/>
      <w:lvlJc w:val="left"/>
      <w:pPr>
        <w:tabs>
          <w:tab w:val="num" w:pos="5760"/>
        </w:tabs>
        <w:ind w:left="5760" w:hanging="360"/>
      </w:pPr>
      <w:rPr>
        <w:rFonts w:ascii="Wingdings" w:hAnsi="Wingdings" w:hint="default"/>
      </w:rPr>
    </w:lvl>
    <w:lvl w:ilvl="8" w:tplc="5B506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133"/>
    <w:multiLevelType w:val="hybridMultilevel"/>
    <w:tmpl w:val="55783A82"/>
    <w:lvl w:ilvl="0" w:tplc="E6A03668">
      <w:start w:val="1"/>
      <w:numFmt w:val="bullet"/>
      <w:lvlText w:val=""/>
      <w:lvlJc w:val="left"/>
      <w:pPr>
        <w:tabs>
          <w:tab w:val="num" w:pos="720"/>
        </w:tabs>
        <w:ind w:left="720" w:hanging="360"/>
      </w:pPr>
      <w:rPr>
        <w:rFonts w:ascii="Wingdings" w:hAnsi="Wingdings" w:hint="default"/>
      </w:rPr>
    </w:lvl>
    <w:lvl w:ilvl="1" w:tplc="9DAAEAB2" w:tentative="1">
      <w:start w:val="1"/>
      <w:numFmt w:val="bullet"/>
      <w:lvlText w:val=""/>
      <w:lvlJc w:val="left"/>
      <w:pPr>
        <w:tabs>
          <w:tab w:val="num" w:pos="1440"/>
        </w:tabs>
        <w:ind w:left="1440" w:hanging="360"/>
      </w:pPr>
      <w:rPr>
        <w:rFonts w:ascii="Wingdings" w:hAnsi="Wingdings" w:hint="default"/>
      </w:rPr>
    </w:lvl>
    <w:lvl w:ilvl="2" w:tplc="38C08B6C" w:tentative="1">
      <w:start w:val="1"/>
      <w:numFmt w:val="bullet"/>
      <w:lvlText w:val=""/>
      <w:lvlJc w:val="left"/>
      <w:pPr>
        <w:tabs>
          <w:tab w:val="num" w:pos="2160"/>
        </w:tabs>
        <w:ind w:left="2160" w:hanging="360"/>
      </w:pPr>
      <w:rPr>
        <w:rFonts w:ascii="Wingdings" w:hAnsi="Wingdings" w:hint="default"/>
      </w:rPr>
    </w:lvl>
    <w:lvl w:ilvl="3" w:tplc="3D96F478" w:tentative="1">
      <w:start w:val="1"/>
      <w:numFmt w:val="bullet"/>
      <w:lvlText w:val=""/>
      <w:lvlJc w:val="left"/>
      <w:pPr>
        <w:tabs>
          <w:tab w:val="num" w:pos="2880"/>
        </w:tabs>
        <w:ind w:left="2880" w:hanging="360"/>
      </w:pPr>
      <w:rPr>
        <w:rFonts w:ascii="Wingdings" w:hAnsi="Wingdings" w:hint="default"/>
      </w:rPr>
    </w:lvl>
    <w:lvl w:ilvl="4" w:tplc="516ACB18" w:tentative="1">
      <w:start w:val="1"/>
      <w:numFmt w:val="bullet"/>
      <w:lvlText w:val=""/>
      <w:lvlJc w:val="left"/>
      <w:pPr>
        <w:tabs>
          <w:tab w:val="num" w:pos="3600"/>
        </w:tabs>
        <w:ind w:left="3600" w:hanging="360"/>
      </w:pPr>
      <w:rPr>
        <w:rFonts w:ascii="Wingdings" w:hAnsi="Wingdings" w:hint="default"/>
      </w:rPr>
    </w:lvl>
    <w:lvl w:ilvl="5" w:tplc="F294B4F6" w:tentative="1">
      <w:start w:val="1"/>
      <w:numFmt w:val="bullet"/>
      <w:lvlText w:val=""/>
      <w:lvlJc w:val="left"/>
      <w:pPr>
        <w:tabs>
          <w:tab w:val="num" w:pos="4320"/>
        </w:tabs>
        <w:ind w:left="4320" w:hanging="360"/>
      </w:pPr>
      <w:rPr>
        <w:rFonts w:ascii="Wingdings" w:hAnsi="Wingdings" w:hint="default"/>
      </w:rPr>
    </w:lvl>
    <w:lvl w:ilvl="6" w:tplc="B18CBD0C" w:tentative="1">
      <w:start w:val="1"/>
      <w:numFmt w:val="bullet"/>
      <w:lvlText w:val=""/>
      <w:lvlJc w:val="left"/>
      <w:pPr>
        <w:tabs>
          <w:tab w:val="num" w:pos="5040"/>
        </w:tabs>
        <w:ind w:left="5040" w:hanging="360"/>
      </w:pPr>
      <w:rPr>
        <w:rFonts w:ascii="Wingdings" w:hAnsi="Wingdings" w:hint="default"/>
      </w:rPr>
    </w:lvl>
    <w:lvl w:ilvl="7" w:tplc="16703020" w:tentative="1">
      <w:start w:val="1"/>
      <w:numFmt w:val="bullet"/>
      <w:lvlText w:val=""/>
      <w:lvlJc w:val="left"/>
      <w:pPr>
        <w:tabs>
          <w:tab w:val="num" w:pos="5760"/>
        </w:tabs>
        <w:ind w:left="5760" w:hanging="360"/>
      </w:pPr>
      <w:rPr>
        <w:rFonts w:ascii="Wingdings" w:hAnsi="Wingdings" w:hint="default"/>
      </w:rPr>
    </w:lvl>
    <w:lvl w:ilvl="8" w:tplc="90BAB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E7094"/>
    <w:multiLevelType w:val="hybridMultilevel"/>
    <w:tmpl w:val="459A8A3A"/>
    <w:lvl w:ilvl="0" w:tplc="3D4ACE90">
      <w:start w:val="1"/>
      <w:numFmt w:val="bullet"/>
      <w:lvlText w:val=""/>
      <w:lvlJc w:val="left"/>
      <w:pPr>
        <w:tabs>
          <w:tab w:val="num" w:pos="720"/>
        </w:tabs>
        <w:ind w:left="720" w:hanging="360"/>
      </w:pPr>
      <w:rPr>
        <w:rFonts w:ascii="Wingdings" w:hAnsi="Wingdings" w:hint="default"/>
      </w:rPr>
    </w:lvl>
    <w:lvl w:ilvl="1" w:tplc="F7225C16" w:tentative="1">
      <w:start w:val="1"/>
      <w:numFmt w:val="bullet"/>
      <w:lvlText w:val=""/>
      <w:lvlJc w:val="left"/>
      <w:pPr>
        <w:tabs>
          <w:tab w:val="num" w:pos="1440"/>
        </w:tabs>
        <w:ind w:left="1440" w:hanging="360"/>
      </w:pPr>
      <w:rPr>
        <w:rFonts w:ascii="Wingdings" w:hAnsi="Wingdings" w:hint="default"/>
      </w:rPr>
    </w:lvl>
    <w:lvl w:ilvl="2" w:tplc="1AAA35A8" w:tentative="1">
      <w:start w:val="1"/>
      <w:numFmt w:val="bullet"/>
      <w:lvlText w:val=""/>
      <w:lvlJc w:val="left"/>
      <w:pPr>
        <w:tabs>
          <w:tab w:val="num" w:pos="2160"/>
        </w:tabs>
        <w:ind w:left="2160" w:hanging="360"/>
      </w:pPr>
      <w:rPr>
        <w:rFonts w:ascii="Wingdings" w:hAnsi="Wingdings" w:hint="default"/>
      </w:rPr>
    </w:lvl>
    <w:lvl w:ilvl="3" w:tplc="C012F088" w:tentative="1">
      <w:start w:val="1"/>
      <w:numFmt w:val="bullet"/>
      <w:lvlText w:val=""/>
      <w:lvlJc w:val="left"/>
      <w:pPr>
        <w:tabs>
          <w:tab w:val="num" w:pos="2880"/>
        </w:tabs>
        <w:ind w:left="2880" w:hanging="360"/>
      </w:pPr>
      <w:rPr>
        <w:rFonts w:ascii="Wingdings" w:hAnsi="Wingdings" w:hint="default"/>
      </w:rPr>
    </w:lvl>
    <w:lvl w:ilvl="4" w:tplc="4134CF30" w:tentative="1">
      <w:start w:val="1"/>
      <w:numFmt w:val="bullet"/>
      <w:lvlText w:val=""/>
      <w:lvlJc w:val="left"/>
      <w:pPr>
        <w:tabs>
          <w:tab w:val="num" w:pos="3600"/>
        </w:tabs>
        <w:ind w:left="3600" w:hanging="360"/>
      </w:pPr>
      <w:rPr>
        <w:rFonts w:ascii="Wingdings" w:hAnsi="Wingdings" w:hint="default"/>
      </w:rPr>
    </w:lvl>
    <w:lvl w:ilvl="5" w:tplc="F4DC1DDC" w:tentative="1">
      <w:start w:val="1"/>
      <w:numFmt w:val="bullet"/>
      <w:lvlText w:val=""/>
      <w:lvlJc w:val="left"/>
      <w:pPr>
        <w:tabs>
          <w:tab w:val="num" w:pos="4320"/>
        </w:tabs>
        <w:ind w:left="4320" w:hanging="360"/>
      </w:pPr>
      <w:rPr>
        <w:rFonts w:ascii="Wingdings" w:hAnsi="Wingdings" w:hint="default"/>
      </w:rPr>
    </w:lvl>
    <w:lvl w:ilvl="6" w:tplc="CE08BA70" w:tentative="1">
      <w:start w:val="1"/>
      <w:numFmt w:val="bullet"/>
      <w:lvlText w:val=""/>
      <w:lvlJc w:val="left"/>
      <w:pPr>
        <w:tabs>
          <w:tab w:val="num" w:pos="5040"/>
        </w:tabs>
        <w:ind w:left="5040" w:hanging="360"/>
      </w:pPr>
      <w:rPr>
        <w:rFonts w:ascii="Wingdings" w:hAnsi="Wingdings" w:hint="default"/>
      </w:rPr>
    </w:lvl>
    <w:lvl w:ilvl="7" w:tplc="DFCC4E6E" w:tentative="1">
      <w:start w:val="1"/>
      <w:numFmt w:val="bullet"/>
      <w:lvlText w:val=""/>
      <w:lvlJc w:val="left"/>
      <w:pPr>
        <w:tabs>
          <w:tab w:val="num" w:pos="5760"/>
        </w:tabs>
        <w:ind w:left="5760" w:hanging="360"/>
      </w:pPr>
      <w:rPr>
        <w:rFonts w:ascii="Wingdings" w:hAnsi="Wingdings" w:hint="default"/>
      </w:rPr>
    </w:lvl>
    <w:lvl w:ilvl="8" w:tplc="3B7E9B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110EB"/>
    <w:multiLevelType w:val="hybridMultilevel"/>
    <w:tmpl w:val="3B220B38"/>
    <w:lvl w:ilvl="0" w:tplc="C7DE2EC8">
      <w:start w:val="1"/>
      <w:numFmt w:val="decimal"/>
      <w:lvlText w:val="%1、"/>
      <w:lvlJc w:val="left"/>
      <w:pPr>
        <w:ind w:left="928"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C790553"/>
    <w:multiLevelType w:val="hybridMultilevel"/>
    <w:tmpl w:val="744A9FF8"/>
    <w:lvl w:ilvl="0" w:tplc="B35428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0A87EB5"/>
    <w:multiLevelType w:val="hybridMultilevel"/>
    <w:tmpl w:val="4E6ABAD0"/>
    <w:lvl w:ilvl="0" w:tplc="04090017">
      <w:start w:val="1"/>
      <w:numFmt w:val="chineseCountingThousand"/>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3F37A6"/>
    <w:multiLevelType w:val="hybridMultilevel"/>
    <w:tmpl w:val="E33294DA"/>
    <w:lvl w:ilvl="0" w:tplc="C4CC4B4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F867524"/>
    <w:multiLevelType w:val="hybridMultilevel"/>
    <w:tmpl w:val="864A4802"/>
    <w:lvl w:ilvl="0" w:tplc="5574A7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850C1F"/>
    <w:multiLevelType w:val="hybridMultilevel"/>
    <w:tmpl w:val="2E4C9D3E"/>
    <w:lvl w:ilvl="0" w:tplc="323EEF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29E5E3C"/>
    <w:multiLevelType w:val="hybridMultilevel"/>
    <w:tmpl w:val="29B2D4D6"/>
    <w:lvl w:ilvl="0" w:tplc="F31628C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79FD43C6"/>
    <w:multiLevelType w:val="hybridMultilevel"/>
    <w:tmpl w:val="6A7220C4"/>
    <w:lvl w:ilvl="0" w:tplc="887EB6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2"/>
  </w:num>
  <w:num w:numId="5">
    <w:abstractNumId w:val="7"/>
  </w:num>
  <w:num w:numId="6">
    <w:abstractNumId w:val="12"/>
  </w:num>
  <w:num w:numId="7">
    <w:abstractNumId w:val="9"/>
  </w:num>
  <w:num w:numId="8">
    <w:abstractNumId w:val="5"/>
  </w:num>
  <w:num w:numId="9">
    <w:abstractNumId w:val="4"/>
  </w:num>
  <w:num w:numId="10">
    <w:abstractNumId w:val="13"/>
  </w:num>
  <w:num w:numId="11">
    <w:abstractNumId w:val="1"/>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95FDC-3391-4AFC-91E7-2FABC210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宋体" w:hAnsi="Arial"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0"/>
    <w:qFormat/>
    <w:pPr>
      <w:keepNext/>
      <w:keepLines/>
      <w:spacing w:before="340" w:after="330" w:line="576" w:lineRule="auto"/>
      <w:outlineLvl w:val="0"/>
    </w:pPr>
    <w:rPr>
      <w:rFonts w:ascii="Arial" w:hAnsi="Arial"/>
      <w:b/>
      <w:bCs/>
      <w:kern w:val="44"/>
      <w:sz w:val="44"/>
      <w:szCs w:val="44"/>
      <w:lang w:val="x-none" w:eastAsia="x-none"/>
    </w:rPr>
  </w:style>
  <w:style w:type="paragraph" w:styleId="2">
    <w:name w:val="heading 2"/>
    <w:basedOn w:val="a"/>
    <w:next w:val="a"/>
    <w:link w:val="20"/>
    <w:qFormat/>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0"/>
    <w:qFormat/>
    <w:pPr>
      <w:keepNext/>
      <w:keepLines/>
      <w:spacing w:before="260" w:after="260" w:line="413" w:lineRule="auto"/>
      <w:outlineLvl w:val="2"/>
    </w:pPr>
    <w:rPr>
      <w:rFonts w:ascii="Arial" w:hAnsi="Arial"/>
      <w:b/>
      <w:bCs/>
      <w:sz w:val="32"/>
      <w:szCs w:val="32"/>
      <w:lang w:val="x-none" w:eastAsia="x-none"/>
    </w:rPr>
  </w:style>
  <w:style w:type="paragraph" w:styleId="4">
    <w:name w:val="heading 4"/>
    <w:basedOn w:val="a"/>
    <w:next w:val="a"/>
    <w:link w:val="40"/>
    <w:qFormat/>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0"/>
    <w:qFormat/>
    <w:pPr>
      <w:keepNext/>
      <w:keepLines/>
      <w:spacing w:before="280" w:after="290" w:line="372" w:lineRule="auto"/>
      <w:outlineLvl w:val="4"/>
    </w:pPr>
    <w:rPr>
      <w:rFonts w:ascii="Arial"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rPr>
      <w:rFonts w:ascii="Cambria" w:eastAsia="宋体" w:hAnsi="Cambria" w:cs="Times New Roman"/>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Cambria" w:eastAsia="宋体" w:hAnsi="Cambria" w:cs="Times New Roman"/>
      <w:b/>
      <w:bCs/>
      <w:kern w:val="2"/>
      <w:sz w:val="28"/>
      <w:szCs w:val="28"/>
    </w:rPr>
  </w:style>
  <w:style w:type="character" w:customStyle="1" w:styleId="50">
    <w:name w:val="标题 5 字符"/>
    <w:link w:val="5"/>
    <w:rPr>
      <w:b/>
      <w:bCs/>
      <w:kern w:val="2"/>
      <w:sz w:val="28"/>
      <w:szCs w:val="28"/>
    </w:rPr>
  </w:style>
  <w:style w:type="paragraph" w:styleId="a3">
    <w:name w:val="Title"/>
    <w:basedOn w:val="a"/>
    <w:next w:val="a"/>
    <w:link w:val="a4"/>
    <w:qFormat/>
    <w:pPr>
      <w:spacing w:before="240" w:after="60"/>
      <w:jc w:val="center"/>
      <w:outlineLvl w:val="0"/>
    </w:pPr>
    <w:rPr>
      <w:rFonts w:ascii="Cambria" w:hAnsi="Cambria"/>
      <w:b/>
      <w:bCs/>
      <w:sz w:val="28"/>
      <w:szCs w:val="32"/>
      <w:lang w:val="x-none" w:eastAsia="x-none"/>
    </w:rPr>
  </w:style>
  <w:style w:type="character" w:customStyle="1" w:styleId="a4">
    <w:name w:val="标题 字符"/>
    <w:link w:val="a3"/>
    <w:rPr>
      <w:rFonts w:ascii="Cambria" w:hAnsi="Cambria"/>
      <w:b/>
      <w:bCs/>
      <w:kern w:val="2"/>
      <w:sz w:val="28"/>
      <w:szCs w:val="32"/>
    </w:rPr>
  </w:style>
  <w:style w:type="character" w:styleId="a5">
    <w:name w:val="Strong"/>
    <w:qFormat/>
    <w:rPr>
      <w:rFonts w:eastAsia="宋体"/>
      <w:b/>
      <w:bCs/>
      <w:kern w:val="2"/>
      <w:sz w:val="24"/>
      <w:szCs w:val="24"/>
      <w:lang w:val="en-US" w:eastAsia="zh-CN"/>
    </w:rPr>
  </w:style>
  <w:style w:type="character" w:styleId="a6">
    <w:name w:val="Emphasis"/>
    <w:qFormat/>
    <w:rPr>
      <w:rFonts w:ascii="Times New Roman" w:eastAsia="楷体_GB2312" w:hAnsi="Times New Roman" w:cs="Times New Roman"/>
      <w:b/>
      <w:bCs/>
      <w:spacing w:val="6"/>
      <w:w w:val="100"/>
      <w:kern w:val="2"/>
      <w:position w:val="0"/>
      <w:sz w:val="25"/>
      <w:szCs w:val="25"/>
    </w:rPr>
  </w:style>
  <w:style w:type="paragraph" w:styleId="a7">
    <w:name w:val="No Spacing"/>
    <w:link w:val="a8"/>
    <w:uiPriority w:val="1"/>
    <w:qFormat/>
    <w:pPr>
      <w:spacing w:line="360" w:lineRule="auto"/>
      <w:jc w:val="both"/>
    </w:pPr>
    <w:rPr>
      <w:rFonts w:ascii="Calibri" w:hAnsi="Calibri"/>
      <w:kern w:val="2"/>
      <w:sz w:val="22"/>
      <w:szCs w:val="22"/>
    </w:rPr>
  </w:style>
  <w:style w:type="character" w:customStyle="1" w:styleId="a8">
    <w:name w:val="无间隔 字符"/>
    <w:link w:val="a7"/>
    <w:uiPriority w:val="1"/>
    <w:rPr>
      <w:rFonts w:ascii="Calibri" w:hAnsi="Calibri"/>
      <w:kern w:val="2"/>
      <w:sz w:val="22"/>
      <w:szCs w:val="22"/>
      <w:lang w:val="en-US" w:eastAsia="zh-CN" w:bidi="ar-SA"/>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a">
    <w:name w:val="页眉 字符"/>
    <w:link w:val="a9"/>
    <w:uiPriority w:val="99"/>
    <w:rPr>
      <w:rFonts w:ascii="Times New Roman" w:hAnsi="Times New Roman" w:cs="Times New Roman"/>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lang w:val="x-none" w:eastAsia="x-none"/>
    </w:rPr>
  </w:style>
  <w:style w:type="character" w:customStyle="1" w:styleId="ac">
    <w:name w:val="页脚 字符"/>
    <w:link w:val="ab"/>
    <w:uiPriority w:val="99"/>
    <w:rPr>
      <w:rFonts w:ascii="Times New Roman" w:hAnsi="Times New Roman" w:cs="Times New Roman"/>
      <w:sz w:val="18"/>
      <w:szCs w:val="18"/>
    </w:rPr>
  </w:style>
  <w:style w:type="paragraph" w:customStyle="1" w:styleId="11">
    <w:name w:val="列出段落1"/>
    <w:basedOn w:val="a"/>
    <w:uiPriority w:val="99"/>
    <w:qFormat/>
    <w:pPr>
      <w:ind w:firstLineChars="200" w:firstLine="420"/>
    </w:pPr>
    <w:rPr>
      <w:rFonts w:ascii="Calibri" w:hAnsi="Calibri"/>
      <w:szCs w:val="22"/>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Balloon Text"/>
    <w:basedOn w:val="a"/>
    <w:link w:val="af"/>
    <w:uiPriority w:val="99"/>
    <w:semiHidden/>
    <w:unhideWhenUsed/>
    <w:rPr>
      <w:sz w:val="18"/>
      <w:szCs w:val="18"/>
    </w:rPr>
  </w:style>
  <w:style w:type="character" w:customStyle="1" w:styleId="af">
    <w:name w:val="批注框文本 字符"/>
    <w:link w:val="ae"/>
    <w:uiPriority w:val="99"/>
    <w:semiHidden/>
    <w:rPr>
      <w:rFonts w:ascii="Times New Roman" w:hAnsi="Times New Roman" w:cs="Times New Roman"/>
      <w:kern w:val="2"/>
      <w:sz w:val="18"/>
      <w:szCs w:val="18"/>
    </w:rPr>
  </w:style>
  <w:style w:type="paragraph" w:customStyle="1" w:styleId="msolistparagraph0">
    <w:name w:val="msolistparagraph"/>
    <w:basedOn w:val="a"/>
    <w:pPr>
      <w:ind w:firstLineChars="200" w:firstLine="420"/>
    </w:pPr>
    <w:rPr>
      <w:rFonts w:ascii="等线" w:eastAsia="等线" w:hAnsi="等线" w:hint="eastAsia"/>
      <w:szCs w:val="22"/>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75">
      <w:bodyDiv w:val="1"/>
      <w:marLeft w:val="0"/>
      <w:marRight w:val="0"/>
      <w:marTop w:val="0"/>
      <w:marBottom w:val="0"/>
      <w:divBdr>
        <w:top w:val="none" w:sz="0" w:space="0" w:color="auto"/>
        <w:left w:val="none" w:sz="0" w:space="0" w:color="auto"/>
        <w:bottom w:val="none" w:sz="0" w:space="0" w:color="auto"/>
        <w:right w:val="none" w:sz="0" w:space="0" w:color="auto"/>
      </w:divBdr>
    </w:div>
    <w:div w:id="23791693">
      <w:bodyDiv w:val="1"/>
      <w:marLeft w:val="0"/>
      <w:marRight w:val="0"/>
      <w:marTop w:val="0"/>
      <w:marBottom w:val="0"/>
      <w:divBdr>
        <w:top w:val="none" w:sz="0" w:space="0" w:color="auto"/>
        <w:left w:val="none" w:sz="0" w:space="0" w:color="auto"/>
        <w:bottom w:val="none" w:sz="0" w:space="0" w:color="auto"/>
        <w:right w:val="none" w:sz="0" w:space="0" w:color="auto"/>
      </w:divBdr>
    </w:div>
    <w:div w:id="116531469">
      <w:bodyDiv w:val="1"/>
      <w:marLeft w:val="0"/>
      <w:marRight w:val="0"/>
      <w:marTop w:val="0"/>
      <w:marBottom w:val="0"/>
      <w:divBdr>
        <w:top w:val="none" w:sz="0" w:space="0" w:color="auto"/>
        <w:left w:val="none" w:sz="0" w:space="0" w:color="auto"/>
        <w:bottom w:val="none" w:sz="0" w:space="0" w:color="auto"/>
        <w:right w:val="none" w:sz="0" w:space="0" w:color="auto"/>
      </w:divBdr>
    </w:div>
    <w:div w:id="121389247">
      <w:bodyDiv w:val="1"/>
      <w:marLeft w:val="0"/>
      <w:marRight w:val="0"/>
      <w:marTop w:val="0"/>
      <w:marBottom w:val="0"/>
      <w:divBdr>
        <w:top w:val="none" w:sz="0" w:space="0" w:color="auto"/>
        <w:left w:val="none" w:sz="0" w:space="0" w:color="auto"/>
        <w:bottom w:val="none" w:sz="0" w:space="0" w:color="auto"/>
        <w:right w:val="none" w:sz="0" w:space="0" w:color="auto"/>
      </w:divBdr>
    </w:div>
    <w:div w:id="176311586">
      <w:bodyDiv w:val="1"/>
      <w:marLeft w:val="0"/>
      <w:marRight w:val="0"/>
      <w:marTop w:val="0"/>
      <w:marBottom w:val="0"/>
      <w:divBdr>
        <w:top w:val="none" w:sz="0" w:space="0" w:color="auto"/>
        <w:left w:val="none" w:sz="0" w:space="0" w:color="auto"/>
        <w:bottom w:val="none" w:sz="0" w:space="0" w:color="auto"/>
        <w:right w:val="none" w:sz="0" w:space="0" w:color="auto"/>
      </w:divBdr>
      <w:divsChild>
        <w:div w:id="1641493106">
          <w:marLeft w:val="446"/>
          <w:marRight w:val="0"/>
          <w:marTop w:val="0"/>
          <w:marBottom w:val="0"/>
          <w:divBdr>
            <w:top w:val="none" w:sz="0" w:space="0" w:color="auto"/>
            <w:left w:val="none" w:sz="0" w:space="0" w:color="auto"/>
            <w:bottom w:val="none" w:sz="0" w:space="0" w:color="auto"/>
            <w:right w:val="none" w:sz="0" w:space="0" w:color="auto"/>
          </w:divBdr>
        </w:div>
        <w:div w:id="1621836628">
          <w:marLeft w:val="446"/>
          <w:marRight w:val="0"/>
          <w:marTop w:val="0"/>
          <w:marBottom w:val="0"/>
          <w:divBdr>
            <w:top w:val="none" w:sz="0" w:space="0" w:color="auto"/>
            <w:left w:val="none" w:sz="0" w:space="0" w:color="auto"/>
            <w:bottom w:val="none" w:sz="0" w:space="0" w:color="auto"/>
            <w:right w:val="none" w:sz="0" w:space="0" w:color="auto"/>
          </w:divBdr>
        </w:div>
      </w:divsChild>
    </w:div>
    <w:div w:id="184444419">
      <w:bodyDiv w:val="1"/>
      <w:marLeft w:val="0"/>
      <w:marRight w:val="0"/>
      <w:marTop w:val="0"/>
      <w:marBottom w:val="0"/>
      <w:divBdr>
        <w:top w:val="none" w:sz="0" w:space="0" w:color="auto"/>
        <w:left w:val="none" w:sz="0" w:space="0" w:color="auto"/>
        <w:bottom w:val="none" w:sz="0" w:space="0" w:color="auto"/>
        <w:right w:val="none" w:sz="0" w:space="0" w:color="auto"/>
      </w:divBdr>
    </w:div>
    <w:div w:id="197202367">
      <w:bodyDiv w:val="1"/>
      <w:marLeft w:val="0"/>
      <w:marRight w:val="0"/>
      <w:marTop w:val="0"/>
      <w:marBottom w:val="0"/>
      <w:divBdr>
        <w:top w:val="none" w:sz="0" w:space="0" w:color="auto"/>
        <w:left w:val="none" w:sz="0" w:space="0" w:color="auto"/>
        <w:bottom w:val="none" w:sz="0" w:space="0" w:color="auto"/>
        <w:right w:val="none" w:sz="0" w:space="0" w:color="auto"/>
      </w:divBdr>
    </w:div>
    <w:div w:id="214658807">
      <w:bodyDiv w:val="1"/>
      <w:marLeft w:val="0"/>
      <w:marRight w:val="0"/>
      <w:marTop w:val="0"/>
      <w:marBottom w:val="0"/>
      <w:divBdr>
        <w:top w:val="none" w:sz="0" w:space="0" w:color="auto"/>
        <w:left w:val="none" w:sz="0" w:space="0" w:color="auto"/>
        <w:bottom w:val="none" w:sz="0" w:space="0" w:color="auto"/>
        <w:right w:val="none" w:sz="0" w:space="0" w:color="auto"/>
      </w:divBdr>
    </w:div>
    <w:div w:id="273447284">
      <w:bodyDiv w:val="1"/>
      <w:marLeft w:val="0"/>
      <w:marRight w:val="0"/>
      <w:marTop w:val="0"/>
      <w:marBottom w:val="0"/>
      <w:divBdr>
        <w:top w:val="none" w:sz="0" w:space="0" w:color="auto"/>
        <w:left w:val="none" w:sz="0" w:space="0" w:color="auto"/>
        <w:bottom w:val="none" w:sz="0" w:space="0" w:color="auto"/>
        <w:right w:val="none" w:sz="0" w:space="0" w:color="auto"/>
      </w:divBdr>
    </w:div>
    <w:div w:id="286668807">
      <w:bodyDiv w:val="1"/>
      <w:marLeft w:val="0"/>
      <w:marRight w:val="0"/>
      <w:marTop w:val="0"/>
      <w:marBottom w:val="0"/>
      <w:divBdr>
        <w:top w:val="none" w:sz="0" w:space="0" w:color="auto"/>
        <w:left w:val="none" w:sz="0" w:space="0" w:color="auto"/>
        <w:bottom w:val="none" w:sz="0" w:space="0" w:color="auto"/>
        <w:right w:val="none" w:sz="0" w:space="0" w:color="auto"/>
      </w:divBdr>
    </w:div>
    <w:div w:id="290676683">
      <w:bodyDiv w:val="1"/>
      <w:marLeft w:val="0"/>
      <w:marRight w:val="0"/>
      <w:marTop w:val="0"/>
      <w:marBottom w:val="0"/>
      <w:divBdr>
        <w:top w:val="none" w:sz="0" w:space="0" w:color="auto"/>
        <w:left w:val="none" w:sz="0" w:space="0" w:color="auto"/>
        <w:bottom w:val="none" w:sz="0" w:space="0" w:color="auto"/>
        <w:right w:val="none" w:sz="0" w:space="0" w:color="auto"/>
      </w:divBdr>
    </w:div>
    <w:div w:id="350181288">
      <w:bodyDiv w:val="1"/>
      <w:marLeft w:val="0"/>
      <w:marRight w:val="0"/>
      <w:marTop w:val="0"/>
      <w:marBottom w:val="0"/>
      <w:divBdr>
        <w:top w:val="none" w:sz="0" w:space="0" w:color="auto"/>
        <w:left w:val="none" w:sz="0" w:space="0" w:color="auto"/>
        <w:bottom w:val="none" w:sz="0" w:space="0" w:color="auto"/>
        <w:right w:val="none" w:sz="0" w:space="0" w:color="auto"/>
      </w:divBdr>
    </w:div>
    <w:div w:id="379474908">
      <w:bodyDiv w:val="1"/>
      <w:marLeft w:val="0"/>
      <w:marRight w:val="0"/>
      <w:marTop w:val="0"/>
      <w:marBottom w:val="0"/>
      <w:divBdr>
        <w:top w:val="none" w:sz="0" w:space="0" w:color="auto"/>
        <w:left w:val="none" w:sz="0" w:space="0" w:color="auto"/>
        <w:bottom w:val="none" w:sz="0" w:space="0" w:color="auto"/>
        <w:right w:val="none" w:sz="0" w:space="0" w:color="auto"/>
      </w:divBdr>
    </w:div>
    <w:div w:id="384960415">
      <w:bodyDiv w:val="1"/>
      <w:marLeft w:val="0"/>
      <w:marRight w:val="0"/>
      <w:marTop w:val="0"/>
      <w:marBottom w:val="0"/>
      <w:divBdr>
        <w:top w:val="none" w:sz="0" w:space="0" w:color="auto"/>
        <w:left w:val="none" w:sz="0" w:space="0" w:color="auto"/>
        <w:bottom w:val="none" w:sz="0" w:space="0" w:color="auto"/>
        <w:right w:val="none" w:sz="0" w:space="0" w:color="auto"/>
      </w:divBdr>
    </w:div>
    <w:div w:id="457913556">
      <w:bodyDiv w:val="1"/>
      <w:marLeft w:val="0"/>
      <w:marRight w:val="0"/>
      <w:marTop w:val="0"/>
      <w:marBottom w:val="0"/>
      <w:divBdr>
        <w:top w:val="none" w:sz="0" w:space="0" w:color="auto"/>
        <w:left w:val="none" w:sz="0" w:space="0" w:color="auto"/>
        <w:bottom w:val="none" w:sz="0" w:space="0" w:color="auto"/>
        <w:right w:val="none" w:sz="0" w:space="0" w:color="auto"/>
      </w:divBdr>
    </w:div>
    <w:div w:id="535243224">
      <w:bodyDiv w:val="1"/>
      <w:marLeft w:val="0"/>
      <w:marRight w:val="0"/>
      <w:marTop w:val="0"/>
      <w:marBottom w:val="0"/>
      <w:divBdr>
        <w:top w:val="none" w:sz="0" w:space="0" w:color="auto"/>
        <w:left w:val="none" w:sz="0" w:space="0" w:color="auto"/>
        <w:bottom w:val="none" w:sz="0" w:space="0" w:color="auto"/>
        <w:right w:val="none" w:sz="0" w:space="0" w:color="auto"/>
      </w:divBdr>
    </w:div>
    <w:div w:id="627971251">
      <w:bodyDiv w:val="1"/>
      <w:marLeft w:val="0"/>
      <w:marRight w:val="0"/>
      <w:marTop w:val="0"/>
      <w:marBottom w:val="0"/>
      <w:divBdr>
        <w:top w:val="none" w:sz="0" w:space="0" w:color="auto"/>
        <w:left w:val="none" w:sz="0" w:space="0" w:color="auto"/>
        <w:bottom w:val="none" w:sz="0" w:space="0" w:color="auto"/>
        <w:right w:val="none" w:sz="0" w:space="0" w:color="auto"/>
      </w:divBdr>
    </w:div>
    <w:div w:id="674770446">
      <w:bodyDiv w:val="1"/>
      <w:marLeft w:val="0"/>
      <w:marRight w:val="0"/>
      <w:marTop w:val="0"/>
      <w:marBottom w:val="0"/>
      <w:divBdr>
        <w:top w:val="none" w:sz="0" w:space="0" w:color="auto"/>
        <w:left w:val="none" w:sz="0" w:space="0" w:color="auto"/>
        <w:bottom w:val="none" w:sz="0" w:space="0" w:color="auto"/>
        <w:right w:val="none" w:sz="0" w:space="0" w:color="auto"/>
      </w:divBdr>
    </w:div>
    <w:div w:id="782919968">
      <w:bodyDiv w:val="1"/>
      <w:marLeft w:val="0"/>
      <w:marRight w:val="0"/>
      <w:marTop w:val="0"/>
      <w:marBottom w:val="0"/>
      <w:divBdr>
        <w:top w:val="none" w:sz="0" w:space="0" w:color="auto"/>
        <w:left w:val="none" w:sz="0" w:space="0" w:color="auto"/>
        <w:bottom w:val="none" w:sz="0" w:space="0" w:color="auto"/>
        <w:right w:val="none" w:sz="0" w:space="0" w:color="auto"/>
      </w:divBdr>
    </w:div>
    <w:div w:id="839272405">
      <w:bodyDiv w:val="1"/>
      <w:marLeft w:val="0"/>
      <w:marRight w:val="0"/>
      <w:marTop w:val="0"/>
      <w:marBottom w:val="0"/>
      <w:divBdr>
        <w:top w:val="none" w:sz="0" w:space="0" w:color="auto"/>
        <w:left w:val="none" w:sz="0" w:space="0" w:color="auto"/>
        <w:bottom w:val="none" w:sz="0" w:space="0" w:color="auto"/>
        <w:right w:val="none" w:sz="0" w:space="0" w:color="auto"/>
      </w:divBdr>
    </w:div>
    <w:div w:id="850949557">
      <w:bodyDiv w:val="1"/>
      <w:marLeft w:val="0"/>
      <w:marRight w:val="0"/>
      <w:marTop w:val="0"/>
      <w:marBottom w:val="0"/>
      <w:divBdr>
        <w:top w:val="none" w:sz="0" w:space="0" w:color="auto"/>
        <w:left w:val="none" w:sz="0" w:space="0" w:color="auto"/>
        <w:bottom w:val="none" w:sz="0" w:space="0" w:color="auto"/>
        <w:right w:val="none" w:sz="0" w:space="0" w:color="auto"/>
      </w:divBdr>
    </w:div>
    <w:div w:id="863901669">
      <w:bodyDiv w:val="1"/>
      <w:marLeft w:val="0"/>
      <w:marRight w:val="0"/>
      <w:marTop w:val="0"/>
      <w:marBottom w:val="0"/>
      <w:divBdr>
        <w:top w:val="none" w:sz="0" w:space="0" w:color="auto"/>
        <w:left w:val="none" w:sz="0" w:space="0" w:color="auto"/>
        <w:bottom w:val="none" w:sz="0" w:space="0" w:color="auto"/>
        <w:right w:val="none" w:sz="0" w:space="0" w:color="auto"/>
      </w:divBdr>
    </w:div>
    <w:div w:id="869219570">
      <w:bodyDiv w:val="1"/>
      <w:marLeft w:val="0"/>
      <w:marRight w:val="0"/>
      <w:marTop w:val="0"/>
      <w:marBottom w:val="0"/>
      <w:divBdr>
        <w:top w:val="none" w:sz="0" w:space="0" w:color="auto"/>
        <w:left w:val="none" w:sz="0" w:space="0" w:color="auto"/>
        <w:bottom w:val="none" w:sz="0" w:space="0" w:color="auto"/>
        <w:right w:val="none" w:sz="0" w:space="0" w:color="auto"/>
      </w:divBdr>
    </w:div>
    <w:div w:id="943535677">
      <w:bodyDiv w:val="1"/>
      <w:marLeft w:val="0"/>
      <w:marRight w:val="0"/>
      <w:marTop w:val="0"/>
      <w:marBottom w:val="0"/>
      <w:divBdr>
        <w:top w:val="none" w:sz="0" w:space="0" w:color="auto"/>
        <w:left w:val="none" w:sz="0" w:space="0" w:color="auto"/>
        <w:bottom w:val="none" w:sz="0" w:space="0" w:color="auto"/>
        <w:right w:val="none" w:sz="0" w:space="0" w:color="auto"/>
      </w:divBdr>
      <w:divsChild>
        <w:div w:id="208036026">
          <w:marLeft w:val="446"/>
          <w:marRight w:val="0"/>
          <w:marTop w:val="0"/>
          <w:marBottom w:val="0"/>
          <w:divBdr>
            <w:top w:val="none" w:sz="0" w:space="0" w:color="auto"/>
            <w:left w:val="none" w:sz="0" w:space="0" w:color="auto"/>
            <w:bottom w:val="none" w:sz="0" w:space="0" w:color="auto"/>
            <w:right w:val="none" w:sz="0" w:space="0" w:color="auto"/>
          </w:divBdr>
        </w:div>
        <w:div w:id="211427664">
          <w:marLeft w:val="446"/>
          <w:marRight w:val="0"/>
          <w:marTop w:val="0"/>
          <w:marBottom w:val="0"/>
          <w:divBdr>
            <w:top w:val="none" w:sz="0" w:space="0" w:color="auto"/>
            <w:left w:val="none" w:sz="0" w:space="0" w:color="auto"/>
            <w:bottom w:val="none" w:sz="0" w:space="0" w:color="auto"/>
            <w:right w:val="none" w:sz="0" w:space="0" w:color="auto"/>
          </w:divBdr>
        </w:div>
        <w:div w:id="504827593">
          <w:marLeft w:val="446"/>
          <w:marRight w:val="0"/>
          <w:marTop w:val="0"/>
          <w:marBottom w:val="0"/>
          <w:divBdr>
            <w:top w:val="none" w:sz="0" w:space="0" w:color="auto"/>
            <w:left w:val="none" w:sz="0" w:space="0" w:color="auto"/>
            <w:bottom w:val="none" w:sz="0" w:space="0" w:color="auto"/>
            <w:right w:val="none" w:sz="0" w:space="0" w:color="auto"/>
          </w:divBdr>
        </w:div>
        <w:div w:id="1234703149">
          <w:marLeft w:val="446"/>
          <w:marRight w:val="0"/>
          <w:marTop w:val="0"/>
          <w:marBottom w:val="0"/>
          <w:divBdr>
            <w:top w:val="none" w:sz="0" w:space="0" w:color="auto"/>
            <w:left w:val="none" w:sz="0" w:space="0" w:color="auto"/>
            <w:bottom w:val="none" w:sz="0" w:space="0" w:color="auto"/>
            <w:right w:val="none" w:sz="0" w:space="0" w:color="auto"/>
          </w:divBdr>
        </w:div>
        <w:div w:id="1629512514">
          <w:marLeft w:val="446"/>
          <w:marRight w:val="0"/>
          <w:marTop w:val="0"/>
          <w:marBottom w:val="0"/>
          <w:divBdr>
            <w:top w:val="none" w:sz="0" w:space="0" w:color="auto"/>
            <w:left w:val="none" w:sz="0" w:space="0" w:color="auto"/>
            <w:bottom w:val="none" w:sz="0" w:space="0" w:color="auto"/>
            <w:right w:val="none" w:sz="0" w:space="0" w:color="auto"/>
          </w:divBdr>
        </w:div>
        <w:div w:id="1923222945">
          <w:marLeft w:val="446"/>
          <w:marRight w:val="0"/>
          <w:marTop w:val="0"/>
          <w:marBottom w:val="0"/>
          <w:divBdr>
            <w:top w:val="none" w:sz="0" w:space="0" w:color="auto"/>
            <w:left w:val="none" w:sz="0" w:space="0" w:color="auto"/>
            <w:bottom w:val="none" w:sz="0" w:space="0" w:color="auto"/>
            <w:right w:val="none" w:sz="0" w:space="0" w:color="auto"/>
          </w:divBdr>
        </w:div>
      </w:divsChild>
    </w:div>
    <w:div w:id="1002977609">
      <w:bodyDiv w:val="1"/>
      <w:marLeft w:val="0"/>
      <w:marRight w:val="0"/>
      <w:marTop w:val="0"/>
      <w:marBottom w:val="0"/>
      <w:divBdr>
        <w:top w:val="none" w:sz="0" w:space="0" w:color="auto"/>
        <w:left w:val="none" w:sz="0" w:space="0" w:color="auto"/>
        <w:bottom w:val="none" w:sz="0" w:space="0" w:color="auto"/>
        <w:right w:val="none" w:sz="0" w:space="0" w:color="auto"/>
      </w:divBdr>
    </w:div>
    <w:div w:id="1221551065">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283078599">
      <w:bodyDiv w:val="1"/>
      <w:marLeft w:val="0"/>
      <w:marRight w:val="0"/>
      <w:marTop w:val="0"/>
      <w:marBottom w:val="0"/>
      <w:divBdr>
        <w:top w:val="none" w:sz="0" w:space="0" w:color="auto"/>
        <w:left w:val="none" w:sz="0" w:space="0" w:color="auto"/>
        <w:bottom w:val="none" w:sz="0" w:space="0" w:color="auto"/>
        <w:right w:val="none" w:sz="0" w:space="0" w:color="auto"/>
      </w:divBdr>
    </w:div>
    <w:div w:id="1284652220">
      <w:bodyDiv w:val="1"/>
      <w:marLeft w:val="0"/>
      <w:marRight w:val="0"/>
      <w:marTop w:val="0"/>
      <w:marBottom w:val="0"/>
      <w:divBdr>
        <w:top w:val="none" w:sz="0" w:space="0" w:color="auto"/>
        <w:left w:val="none" w:sz="0" w:space="0" w:color="auto"/>
        <w:bottom w:val="none" w:sz="0" w:space="0" w:color="auto"/>
        <w:right w:val="none" w:sz="0" w:space="0" w:color="auto"/>
      </w:divBdr>
    </w:div>
    <w:div w:id="1331134275">
      <w:bodyDiv w:val="1"/>
      <w:marLeft w:val="0"/>
      <w:marRight w:val="0"/>
      <w:marTop w:val="0"/>
      <w:marBottom w:val="0"/>
      <w:divBdr>
        <w:top w:val="none" w:sz="0" w:space="0" w:color="auto"/>
        <w:left w:val="none" w:sz="0" w:space="0" w:color="auto"/>
        <w:bottom w:val="none" w:sz="0" w:space="0" w:color="auto"/>
        <w:right w:val="none" w:sz="0" w:space="0" w:color="auto"/>
      </w:divBdr>
    </w:div>
    <w:div w:id="1475372647">
      <w:bodyDiv w:val="1"/>
      <w:marLeft w:val="0"/>
      <w:marRight w:val="0"/>
      <w:marTop w:val="0"/>
      <w:marBottom w:val="0"/>
      <w:divBdr>
        <w:top w:val="none" w:sz="0" w:space="0" w:color="auto"/>
        <w:left w:val="none" w:sz="0" w:space="0" w:color="auto"/>
        <w:bottom w:val="none" w:sz="0" w:space="0" w:color="auto"/>
        <w:right w:val="none" w:sz="0" w:space="0" w:color="auto"/>
      </w:divBdr>
      <w:divsChild>
        <w:div w:id="11421598">
          <w:marLeft w:val="806"/>
          <w:marRight w:val="0"/>
          <w:marTop w:val="0"/>
          <w:marBottom w:val="0"/>
          <w:divBdr>
            <w:top w:val="none" w:sz="0" w:space="0" w:color="auto"/>
            <w:left w:val="none" w:sz="0" w:space="0" w:color="auto"/>
            <w:bottom w:val="none" w:sz="0" w:space="0" w:color="auto"/>
            <w:right w:val="none" w:sz="0" w:space="0" w:color="auto"/>
          </w:divBdr>
        </w:div>
        <w:div w:id="326328183">
          <w:marLeft w:val="806"/>
          <w:marRight w:val="0"/>
          <w:marTop w:val="0"/>
          <w:marBottom w:val="0"/>
          <w:divBdr>
            <w:top w:val="none" w:sz="0" w:space="0" w:color="auto"/>
            <w:left w:val="none" w:sz="0" w:space="0" w:color="auto"/>
            <w:bottom w:val="none" w:sz="0" w:space="0" w:color="auto"/>
            <w:right w:val="none" w:sz="0" w:space="0" w:color="auto"/>
          </w:divBdr>
        </w:div>
        <w:div w:id="508521641">
          <w:marLeft w:val="806"/>
          <w:marRight w:val="0"/>
          <w:marTop w:val="0"/>
          <w:marBottom w:val="0"/>
          <w:divBdr>
            <w:top w:val="none" w:sz="0" w:space="0" w:color="auto"/>
            <w:left w:val="none" w:sz="0" w:space="0" w:color="auto"/>
            <w:bottom w:val="none" w:sz="0" w:space="0" w:color="auto"/>
            <w:right w:val="none" w:sz="0" w:space="0" w:color="auto"/>
          </w:divBdr>
        </w:div>
        <w:div w:id="1007711374">
          <w:marLeft w:val="806"/>
          <w:marRight w:val="0"/>
          <w:marTop w:val="0"/>
          <w:marBottom w:val="0"/>
          <w:divBdr>
            <w:top w:val="none" w:sz="0" w:space="0" w:color="auto"/>
            <w:left w:val="none" w:sz="0" w:space="0" w:color="auto"/>
            <w:bottom w:val="none" w:sz="0" w:space="0" w:color="auto"/>
            <w:right w:val="none" w:sz="0" w:space="0" w:color="auto"/>
          </w:divBdr>
        </w:div>
        <w:div w:id="1063875468">
          <w:marLeft w:val="806"/>
          <w:marRight w:val="0"/>
          <w:marTop w:val="0"/>
          <w:marBottom w:val="0"/>
          <w:divBdr>
            <w:top w:val="none" w:sz="0" w:space="0" w:color="auto"/>
            <w:left w:val="none" w:sz="0" w:space="0" w:color="auto"/>
            <w:bottom w:val="none" w:sz="0" w:space="0" w:color="auto"/>
            <w:right w:val="none" w:sz="0" w:space="0" w:color="auto"/>
          </w:divBdr>
        </w:div>
        <w:div w:id="1453473850">
          <w:marLeft w:val="806"/>
          <w:marRight w:val="0"/>
          <w:marTop w:val="0"/>
          <w:marBottom w:val="0"/>
          <w:divBdr>
            <w:top w:val="none" w:sz="0" w:space="0" w:color="auto"/>
            <w:left w:val="none" w:sz="0" w:space="0" w:color="auto"/>
            <w:bottom w:val="none" w:sz="0" w:space="0" w:color="auto"/>
            <w:right w:val="none" w:sz="0" w:space="0" w:color="auto"/>
          </w:divBdr>
        </w:div>
        <w:div w:id="1500997454">
          <w:marLeft w:val="806"/>
          <w:marRight w:val="0"/>
          <w:marTop w:val="0"/>
          <w:marBottom w:val="0"/>
          <w:divBdr>
            <w:top w:val="none" w:sz="0" w:space="0" w:color="auto"/>
            <w:left w:val="none" w:sz="0" w:space="0" w:color="auto"/>
            <w:bottom w:val="none" w:sz="0" w:space="0" w:color="auto"/>
            <w:right w:val="none" w:sz="0" w:space="0" w:color="auto"/>
          </w:divBdr>
        </w:div>
        <w:div w:id="1600521372">
          <w:marLeft w:val="806"/>
          <w:marRight w:val="0"/>
          <w:marTop w:val="0"/>
          <w:marBottom w:val="0"/>
          <w:divBdr>
            <w:top w:val="none" w:sz="0" w:space="0" w:color="auto"/>
            <w:left w:val="none" w:sz="0" w:space="0" w:color="auto"/>
            <w:bottom w:val="none" w:sz="0" w:space="0" w:color="auto"/>
            <w:right w:val="none" w:sz="0" w:space="0" w:color="auto"/>
          </w:divBdr>
        </w:div>
      </w:divsChild>
    </w:div>
    <w:div w:id="1481997141">
      <w:bodyDiv w:val="1"/>
      <w:marLeft w:val="0"/>
      <w:marRight w:val="0"/>
      <w:marTop w:val="0"/>
      <w:marBottom w:val="0"/>
      <w:divBdr>
        <w:top w:val="none" w:sz="0" w:space="0" w:color="auto"/>
        <w:left w:val="none" w:sz="0" w:space="0" w:color="auto"/>
        <w:bottom w:val="none" w:sz="0" w:space="0" w:color="auto"/>
        <w:right w:val="none" w:sz="0" w:space="0" w:color="auto"/>
      </w:divBdr>
    </w:div>
    <w:div w:id="1529292793">
      <w:bodyDiv w:val="1"/>
      <w:marLeft w:val="0"/>
      <w:marRight w:val="0"/>
      <w:marTop w:val="0"/>
      <w:marBottom w:val="0"/>
      <w:divBdr>
        <w:top w:val="none" w:sz="0" w:space="0" w:color="auto"/>
        <w:left w:val="none" w:sz="0" w:space="0" w:color="auto"/>
        <w:bottom w:val="none" w:sz="0" w:space="0" w:color="auto"/>
        <w:right w:val="none" w:sz="0" w:space="0" w:color="auto"/>
      </w:divBdr>
    </w:div>
    <w:div w:id="1603102367">
      <w:bodyDiv w:val="1"/>
      <w:marLeft w:val="0"/>
      <w:marRight w:val="0"/>
      <w:marTop w:val="0"/>
      <w:marBottom w:val="0"/>
      <w:divBdr>
        <w:top w:val="none" w:sz="0" w:space="0" w:color="auto"/>
        <w:left w:val="none" w:sz="0" w:space="0" w:color="auto"/>
        <w:bottom w:val="none" w:sz="0" w:space="0" w:color="auto"/>
        <w:right w:val="none" w:sz="0" w:space="0" w:color="auto"/>
      </w:divBdr>
    </w:div>
    <w:div w:id="1709062362">
      <w:bodyDiv w:val="1"/>
      <w:marLeft w:val="0"/>
      <w:marRight w:val="0"/>
      <w:marTop w:val="0"/>
      <w:marBottom w:val="0"/>
      <w:divBdr>
        <w:top w:val="none" w:sz="0" w:space="0" w:color="auto"/>
        <w:left w:val="none" w:sz="0" w:space="0" w:color="auto"/>
        <w:bottom w:val="none" w:sz="0" w:space="0" w:color="auto"/>
        <w:right w:val="none" w:sz="0" w:space="0" w:color="auto"/>
      </w:divBdr>
    </w:div>
    <w:div w:id="1788698195">
      <w:bodyDiv w:val="1"/>
      <w:marLeft w:val="0"/>
      <w:marRight w:val="0"/>
      <w:marTop w:val="0"/>
      <w:marBottom w:val="0"/>
      <w:divBdr>
        <w:top w:val="none" w:sz="0" w:space="0" w:color="auto"/>
        <w:left w:val="none" w:sz="0" w:space="0" w:color="auto"/>
        <w:bottom w:val="none" w:sz="0" w:space="0" w:color="auto"/>
        <w:right w:val="none" w:sz="0" w:space="0" w:color="auto"/>
      </w:divBdr>
    </w:div>
    <w:div w:id="1794210364">
      <w:bodyDiv w:val="1"/>
      <w:marLeft w:val="0"/>
      <w:marRight w:val="0"/>
      <w:marTop w:val="0"/>
      <w:marBottom w:val="0"/>
      <w:divBdr>
        <w:top w:val="none" w:sz="0" w:space="0" w:color="auto"/>
        <w:left w:val="none" w:sz="0" w:space="0" w:color="auto"/>
        <w:bottom w:val="none" w:sz="0" w:space="0" w:color="auto"/>
        <w:right w:val="none" w:sz="0" w:space="0" w:color="auto"/>
      </w:divBdr>
    </w:div>
    <w:div w:id="1953242215">
      <w:bodyDiv w:val="1"/>
      <w:marLeft w:val="0"/>
      <w:marRight w:val="0"/>
      <w:marTop w:val="0"/>
      <w:marBottom w:val="0"/>
      <w:divBdr>
        <w:top w:val="none" w:sz="0" w:space="0" w:color="auto"/>
        <w:left w:val="none" w:sz="0" w:space="0" w:color="auto"/>
        <w:bottom w:val="none" w:sz="0" w:space="0" w:color="auto"/>
        <w:right w:val="none" w:sz="0" w:space="0" w:color="auto"/>
      </w:divBdr>
    </w:div>
    <w:div w:id="19943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Links>
    <vt:vector size="6" baseType="variant">
      <vt:variant>
        <vt:i4>7864376</vt:i4>
      </vt:variant>
      <vt:variant>
        <vt:i4>0</vt:i4>
      </vt:variant>
      <vt:variant>
        <vt:i4>0</vt:i4>
      </vt:variant>
      <vt:variant>
        <vt:i4>5</vt:i4>
      </vt:variant>
      <vt:variant>
        <vt:lpwstr>http://baike.eastmoney.com/item/%E4%BA%A7%E6%9D%83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深圳齐心集团股份有限公司</dc:title>
  <dc:creator>002301</dc:creator>
  <cp:lastModifiedBy>002301</cp:lastModifiedBy>
  <cp:revision>165</cp:revision>
  <dcterms:created xsi:type="dcterms:W3CDTF">2020-08-04T09:01:00Z</dcterms:created>
  <dcterms:modified xsi:type="dcterms:W3CDTF">2020-10-29T12:15:00Z</dcterms:modified>
</cp:coreProperties>
</file>