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02" w:rsidRDefault="005F3EA7">
      <w:pPr>
        <w:pStyle w:val="1"/>
        <w:snapToGrid w:val="0"/>
        <w:jc w:val="both"/>
        <w:rPr>
          <w:rFonts w:ascii="宋体" w:eastAsia="宋体" w:hAnsi="宋体"/>
        </w:rPr>
      </w:pPr>
      <w:r>
        <w:rPr>
          <w:rFonts w:ascii="宋体" w:eastAsia="宋体" w:hAnsi="宋体" w:hint="eastAsia"/>
        </w:rPr>
        <w:t xml:space="preserve"> </w:t>
      </w:r>
      <w:r>
        <w:rPr>
          <w:rFonts w:ascii="宋体" w:eastAsia="宋体" w:hAnsi="宋体"/>
        </w:rPr>
        <w:t xml:space="preserve">  </w:t>
      </w:r>
    </w:p>
    <w:p w:rsidR="00620A02" w:rsidRDefault="005F3EA7">
      <w:pPr>
        <w:snapToGrid w:val="0"/>
        <w:spacing w:line="360" w:lineRule="auto"/>
        <w:jc w:val="center"/>
        <w:rPr>
          <w:rFonts w:ascii="宋体" w:eastAsia="宋体" w:hAnsi="宋体"/>
          <w:b/>
          <w:bCs/>
          <w:color w:val="000000"/>
          <w:sz w:val="44"/>
          <w:szCs w:val="44"/>
        </w:rPr>
      </w:pPr>
      <w:r>
        <w:rPr>
          <w:rFonts w:ascii="宋体" w:eastAsia="宋体" w:hAnsi="宋体"/>
          <w:b/>
          <w:bCs/>
          <w:color w:val="000000"/>
          <w:sz w:val="44"/>
          <w:szCs w:val="44"/>
        </w:rPr>
        <w:t>深圳中天精装股份有限公司</w:t>
      </w:r>
    </w:p>
    <w:p w:rsidR="00620A02" w:rsidRDefault="005F3EA7">
      <w:pPr>
        <w:snapToGrid w:val="0"/>
        <w:spacing w:line="360" w:lineRule="auto"/>
        <w:jc w:val="center"/>
        <w:rPr>
          <w:rFonts w:ascii="宋体" w:eastAsia="宋体" w:hAnsi="宋体"/>
          <w:b/>
          <w:bCs/>
          <w:color w:val="000000"/>
          <w:sz w:val="44"/>
          <w:szCs w:val="44"/>
        </w:rPr>
      </w:pPr>
      <w:r>
        <w:rPr>
          <w:rFonts w:ascii="宋体" w:eastAsia="宋体" w:hAnsi="宋体"/>
          <w:b/>
          <w:bCs/>
          <w:color w:val="000000"/>
          <w:sz w:val="44"/>
          <w:szCs w:val="44"/>
        </w:rPr>
        <w:t>投资者关系活动记录表</w:t>
      </w:r>
    </w:p>
    <w:p w:rsidR="00620A02" w:rsidRDefault="005F3EA7">
      <w:pPr>
        <w:snapToGrid w:val="0"/>
        <w:spacing w:before="51" w:after="32"/>
        <w:ind w:right="59"/>
        <w:jc w:val="right"/>
        <w:rPr>
          <w:rFonts w:ascii="Times New Roman" w:eastAsia="Times New Roman" w:hAnsi="Times New Roman"/>
          <w:color w:val="000000"/>
          <w:sz w:val="28"/>
          <w:szCs w:val="28"/>
        </w:rPr>
      </w:pPr>
      <w:r>
        <w:rPr>
          <w:rFonts w:ascii="宋体" w:eastAsia="宋体" w:hAnsi="宋体"/>
          <w:color w:val="000000"/>
          <w:sz w:val="28"/>
          <w:szCs w:val="28"/>
        </w:rPr>
        <w:t>编号：</w:t>
      </w:r>
      <w:r>
        <w:rPr>
          <w:rFonts w:ascii="Times New Roman" w:eastAsia="Times New Roman" w:hAnsi="Times New Roman"/>
          <w:color w:val="000000"/>
          <w:sz w:val="28"/>
          <w:szCs w:val="28"/>
        </w:rPr>
        <w:t>2020-017</w:t>
      </w:r>
    </w:p>
    <w:tbl>
      <w:tblPr>
        <w:tblStyle w:val="a5"/>
        <w:tblW w:w="0" w:type="auto"/>
        <w:tblLayout w:type="fixed"/>
        <w:tblCellMar>
          <w:top w:w="120" w:type="dxa"/>
          <w:left w:w="60" w:type="dxa"/>
          <w:bottom w:w="120" w:type="dxa"/>
          <w:right w:w="60" w:type="dxa"/>
        </w:tblCellMar>
        <w:tblLook w:val="04A0" w:firstRow="1" w:lastRow="0" w:firstColumn="1" w:lastColumn="0" w:noHBand="0" w:noVBand="1"/>
      </w:tblPr>
      <w:tblGrid>
        <w:gridCol w:w="2370"/>
        <w:gridCol w:w="6135"/>
      </w:tblGrid>
      <w:tr w:rsidR="00620A02">
        <w:trPr>
          <w:trHeight w:val="2790"/>
        </w:trPr>
        <w:tc>
          <w:tcPr>
            <w:tcW w:w="2370" w:type="dxa"/>
            <w:tcBorders>
              <w:top w:val="single" w:sz="8" w:space="0" w:color="000000"/>
              <w:left w:val="single" w:sz="8" w:space="0" w:color="000000"/>
              <w:bottom w:val="single" w:sz="8" w:space="0" w:color="000000"/>
              <w:right w:val="single" w:sz="8" w:space="0" w:color="000000"/>
            </w:tcBorders>
          </w:tcPr>
          <w:p w:rsidR="00620A02" w:rsidRDefault="00620A02">
            <w:pPr>
              <w:snapToGrid w:val="0"/>
              <w:spacing w:before="7"/>
              <w:rPr>
                <w:rFonts w:ascii="宋体" w:eastAsia="宋体" w:hAnsi="宋体"/>
                <w:color w:val="000000"/>
                <w:sz w:val="18"/>
                <w:szCs w:val="18"/>
              </w:rPr>
            </w:pPr>
          </w:p>
          <w:p w:rsidR="00620A02" w:rsidRDefault="005F3EA7">
            <w:pPr>
              <w:snapToGrid w:val="0"/>
              <w:spacing w:before="1"/>
              <w:ind w:left="107"/>
              <w:rPr>
                <w:rFonts w:ascii="宋体" w:eastAsia="宋体" w:hAnsi="宋体"/>
                <w:color w:val="000000"/>
                <w:szCs w:val="21"/>
              </w:rPr>
            </w:pPr>
            <w:r>
              <w:rPr>
                <w:rFonts w:ascii="宋体" w:eastAsia="宋体" w:hAnsi="宋体"/>
                <w:color w:val="000000"/>
                <w:szCs w:val="21"/>
              </w:rPr>
              <w:t>投资者关系活动类别</w:t>
            </w:r>
          </w:p>
        </w:tc>
        <w:tc>
          <w:tcPr>
            <w:tcW w:w="6135" w:type="dxa"/>
            <w:tcBorders>
              <w:top w:val="single" w:sz="8" w:space="0" w:color="000000"/>
              <w:left w:val="single" w:sz="8" w:space="0" w:color="000000"/>
              <w:bottom w:val="single" w:sz="8" w:space="0" w:color="000000"/>
              <w:right w:val="single" w:sz="8" w:space="0" w:color="000000"/>
            </w:tcBorders>
          </w:tcPr>
          <w:p w:rsidR="00620A02" w:rsidRDefault="00620A02">
            <w:pPr>
              <w:snapToGrid w:val="0"/>
              <w:spacing w:before="7"/>
              <w:rPr>
                <w:rFonts w:ascii="宋体" w:eastAsia="宋体" w:hAnsi="宋体"/>
                <w:color w:val="000000"/>
                <w:sz w:val="18"/>
                <w:szCs w:val="18"/>
              </w:rPr>
            </w:pPr>
          </w:p>
          <w:p w:rsidR="00620A02" w:rsidRDefault="005F3EA7">
            <w:pPr>
              <w:snapToGrid w:val="0"/>
              <w:ind w:left="107"/>
              <w:rPr>
                <w:rFonts w:ascii="宋体" w:eastAsia="宋体" w:hAnsi="宋体"/>
                <w:color w:val="000000"/>
                <w:szCs w:val="21"/>
              </w:rPr>
            </w:pPr>
            <w:r>
              <w:rPr>
                <w:rFonts w:ascii="宋体" w:eastAsia="宋体" w:hAnsi="宋体"/>
                <w:color w:val="000000"/>
                <w:szCs w:val="21"/>
              </w:rPr>
              <w:t>□</w:t>
            </w:r>
            <w:r>
              <w:rPr>
                <w:rFonts w:ascii="宋体" w:eastAsia="宋体" w:hAnsi="宋体"/>
                <w:color w:val="000000"/>
                <w:szCs w:val="21"/>
              </w:rPr>
              <w:t>特</w:t>
            </w:r>
            <w:r>
              <w:rPr>
                <w:rFonts w:ascii="宋体" w:eastAsia="宋体" w:hAnsi="宋体"/>
                <w:color w:val="000000"/>
                <w:spacing w:val="-3"/>
                <w:szCs w:val="21"/>
              </w:rPr>
              <w:t>定</w:t>
            </w:r>
            <w:r>
              <w:rPr>
                <w:rFonts w:ascii="宋体" w:eastAsia="宋体" w:hAnsi="宋体"/>
                <w:color w:val="000000"/>
                <w:szCs w:val="21"/>
              </w:rPr>
              <w:t>对</w:t>
            </w:r>
            <w:r>
              <w:rPr>
                <w:rFonts w:ascii="宋体" w:eastAsia="宋体" w:hAnsi="宋体"/>
                <w:color w:val="000000"/>
                <w:spacing w:val="-3"/>
                <w:szCs w:val="21"/>
              </w:rPr>
              <w:t>象</w:t>
            </w:r>
            <w:r>
              <w:rPr>
                <w:rFonts w:ascii="宋体" w:eastAsia="宋体" w:hAnsi="宋体"/>
                <w:color w:val="000000"/>
                <w:szCs w:val="21"/>
              </w:rPr>
              <w:t>调研</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Times New Roman" w:eastAsia="Times New Roman" w:hAnsi="Times New Roman"/>
                <w:color w:val="000000"/>
                <w:szCs w:val="21"/>
              </w:rPr>
              <w:tab/>
            </w:r>
            <w:r>
              <w:rPr>
                <w:rFonts w:ascii="宋体" w:eastAsia="宋体" w:hAnsi="宋体"/>
                <w:color w:val="000000"/>
                <w:szCs w:val="21"/>
              </w:rPr>
              <w:t>□</w:t>
            </w:r>
            <w:r>
              <w:rPr>
                <w:rFonts w:ascii="宋体" w:eastAsia="宋体" w:hAnsi="宋体"/>
                <w:color w:val="000000"/>
                <w:szCs w:val="21"/>
              </w:rPr>
              <w:t>分</w:t>
            </w:r>
            <w:r>
              <w:rPr>
                <w:rFonts w:ascii="宋体" w:eastAsia="宋体" w:hAnsi="宋体"/>
                <w:color w:val="000000"/>
                <w:spacing w:val="-3"/>
                <w:szCs w:val="21"/>
              </w:rPr>
              <w:t>析</w:t>
            </w:r>
            <w:r>
              <w:rPr>
                <w:rFonts w:ascii="宋体" w:eastAsia="宋体" w:hAnsi="宋体"/>
                <w:color w:val="000000"/>
                <w:szCs w:val="21"/>
              </w:rPr>
              <w:t>师</w:t>
            </w:r>
            <w:r>
              <w:rPr>
                <w:rFonts w:ascii="宋体" w:eastAsia="宋体" w:hAnsi="宋体"/>
                <w:color w:val="000000"/>
                <w:spacing w:val="-3"/>
                <w:szCs w:val="21"/>
              </w:rPr>
              <w:t>会</w:t>
            </w:r>
            <w:r>
              <w:rPr>
                <w:rFonts w:ascii="宋体" w:eastAsia="宋体" w:hAnsi="宋体"/>
                <w:color w:val="000000"/>
                <w:szCs w:val="21"/>
              </w:rPr>
              <w:t>议</w:t>
            </w:r>
          </w:p>
          <w:p w:rsidR="00620A02" w:rsidRPr="005F3EA7" w:rsidRDefault="00620A02">
            <w:pPr>
              <w:snapToGrid w:val="0"/>
              <w:spacing w:before="11"/>
              <w:rPr>
                <w:rFonts w:ascii="宋体" w:eastAsia="宋体" w:hAnsi="宋体"/>
                <w:color w:val="000000"/>
                <w:sz w:val="22"/>
              </w:rPr>
            </w:pPr>
          </w:p>
          <w:p w:rsidR="00620A02" w:rsidRDefault="005F3EA7">
            <w:pPr>
              <w:snapToGrid w:val="0"/>
              <w:ind w:left="107"/>
              <w:rPr>
                <w:rFonts w:ascii="宋体" w:eastAsia="宋体" w:hAnsi="宋体"/>
                <w:color w:val="000000"/>
                <w:szCs w:val="21"/>
              </w:rPr>
            </w:pPr>
            <w:r>
              <w:rPr>
                <w:rFonts w:ascii="宋体" w:eastAsia="宋体" w:hAnsi="宋体"/>
                <w:color w:val="000000"/>
                <w:szCs w:val="21"/>
              </w:rPr>
              <w:t>□</w:t>
            </w:r>
            <w:r>
              <w:rPr>
                <w:rFonts w:ascii="宋体" w:eastAsia="宋体" w:hAnsi="宋体"/>
                <w:color w:val="000000"/>
                <w:szCs w:val="21"/>
              </w:rPr>
              <w:t>媒</w:t>
            </w:r>
            <w:r>
              <w:rPr>
                <w:rFonts w:ascii="宋体" w:eastAsia="宋体" w:hAnsi="宋体"/>
                <w:color w:val="000000"/>
                <w:spacing w:val="-3"/>
                <w:szCs w:val="21"/>
              </w:rPr>
              <w:t>体</w:t>
            </w:r>
            <w:r>
              <w:rPr>
                <w:rFonts w:ascii="宋体" w:eastAsia="宋体" w:hAnsi="宋体"/>
                <w:color w:val="000000"/>
                <w:szCs w:val="21"/>
              </w:rPr>
              <w:t>采访</w:t>
            </w:r>
            <w:r>
              <w:rPr>
                <w:rFonts w:ascii="Times New Roman" w:eastAsia="Times New Roman" w:hAnsi="Times New Roman"/>
                <w:color w:val="000000"/>
                <w:szCs w:val="21"/>
              </w:rPr>
              <w:tab/>
              <w:t xml:space="preserve">        </w:t>
            </w:r>
            <w:r>
              <w:rPr>
                <w:rFonts w:ascii="宋体" w:eastAsia="宋体" w:hAnsi="宋体"/>
                <w:color w:val="000000"/>
                <w:szCs w:val="21"/>
              </w:rPr>
              <w:t>□</w:t>
            </w:r>
            <w:r>
              <w:rPr>
                <w:rFonts w:ascii="宋体" w:eastAsia="宋体" w:hAnsi="宋体"/>
                <w:color w:val="000000"/>
                <w:szCs w:val="21"/>
              </w:rPr>
              <w:t>业</w:t>
            </w:r>
            <w:r>
              <w:rPr>
                <w:rFonts w:ascii="宋体" w:eastAsia="宋体" w:hAnsi="宋体"/>
                <w:color w:val="000000"/>
                <w:spacing w:val="-3"/>
                <w:szCs w:val="21"/>
              </w:rPr>
              <w:t>绩</w:t>
            </w:r>
            <w:r>
              <w:rPr>
                <w:rFonts w:ascii="宋体" w:eastAsia="宋体" w:hAnsi="宋体"/>
                <w:color w:val="000000"/>
                <w:szCs w:val="21"/>
              </w:rPr>
              <w:t>说</w:t>
            </w:r>
            <w:r>
              <w:rPr>
                <w:rFonts w:ascii="宋体" w:eastAsia="宋体" w:hAnsi="宋体"/>
                <w:color w:val="000000"/>
                <w:spacing w:val="-3"/>
                <w:szCs w:val="21"/>
              </w:rPr>
              <w:t>明</w:t>
            </w:r>
            <w:r>
              <w:rPr>
                <w:rFonts w:ascii="宋体" w:eastAsia="宋体" w:hAnsi="宋体"/>
                <w:color w:val="000000"/>
                <w:szCs w:val="21"/>
              </w:rPr>
              <w:t>会</w:t>
            </w:r>
          </w:p>
          <w:p w:rsidR="00620A02" w:rsidRDefault="00620A02">
            <w:pPr>
              <w:snapToGrid w:val="0"/>
              <w:spacing w:before="8"/>
              <w:rPr>
                <w:rFonts w:ascii="宋体" w:eastAsia="宋体" w:hAnsi="宋体"/>
                <w:color w:val="000000"/>
                <w:sz w:val="22"/>
              </w:rPr>
            </w:pPr>
          </w:p>
          <w:p w:rsidR="00620A02" w:rsidRDefault="005F3EA7">
            <w:pPr>
              <w:snapToGrid w:val="0"/>
              <w:ind w:left="107"/>
              <w:rPr>
                <w:rFonts w:ascii="宋体" w:eastAsia="宋体" w:hAnsi="宋体"/>
                <w:color w:val="000000"/>
                <w:szCs w:val="21"/>
              </w:rPr>
            </w:pPr>
            <w:r>
              <w:rPr>
                <w:rFonts w:ascii="宋体" w:eastAsia="宋体" w:hAnsi="宋体"/>
                <w:color w:val="000000"/>
                <w:szCs w:val="21"/>
              </w:rPr>
              <w:t>□</w:t>
            </w:r>
            <w:r>
              <w:rPr>
                <w:rFonts w:ascii="宋体" w:eastAsia="宋体" w:hAnsi="宋体"/>
                <w:color w:val="000000"/>
                <w:szCs w:val="21"/>
              </w:rPr>
              <w:t>新</w:t>
            </w:r>
            <w:r>
              <w:rPr>
                <w:rFonts w:ascii="宋体" w:eastAsia="宋体" w:hAnsi="宋体"/>
                <w:color w:val="000000"/>
                <w:spacing w:val="-3"/>
                <w:szCs w:val="21"/>
              </w:rPr>
              <w:t>闻</w:t>
            </w:r>
            <w:r>
              <w:rPr>
                <w:rFonts w:ascii="宋体" w:eastAsia="宋体" w:hAnsi="宋体"/>
                <w:color w:val="000000"/>
                <w:szCs w:val="21"/>
              </w:rPr>
              <w:t>发</w:t>
            </w:r>
            <w:r>
              <w:rPr>
                <w:rFonts w:ascii="宋体" w:eastAsia="宋体" w:hAnsi="宋体"/>
                <w:color w:val="000000"/>
                <w:spacing w:val="-3"/>
                <w:szCs w:val="21"/>
              </w:rPr>
              <w:t>布</w:t>
            </w:r>
            <w:r>
              <w:rPr>
                <w:rFonts w:ascii="宋体" w:eastAsia="宋体" w:hAnsi="宋体"/>
                <w:color w:val="000000"/>
                <w:szCs w:val="21"/>
              </w:rPr>
              <w:t>会</w:t>
            </w:r>
            <w:r>
              <w:rPr>
                <w:rFonts w:ascii="Times New Roman" w:eastAsia="Times New Roman" w:hAnsi="Times New Roman"/>
                <w:color w:val="000000"/>
                <w:szCs w:val="21"/>
              </w:rPr>
              <w:tab/>
              <w:t xml:space="preserve">  </w:t>
            </w:r>
            <w:bookmarkStart w:id="0" w:name="_GoBack"/>
            <w:bookmarkEnd w:id="0"/>
            <w:r>
              <w:rPr>
                <w:rFonts w:ascii="Times New Roman" w:eastAsia="Times New Roman" w:hAnsi="Times New Roman"/>
                <w:color w:val="000000"/>
                <w:szCs w:val="21"/>
              </w:rPr>
              <w:t xml:space="preserve">  </w:t>
            </w:r>
            <w:r>
              <w:rPr>
                <w:rFonts w:ascii="宋体" w:eastAsia="宋体" w:hAnsi="宋体"/>
                <w:color w:val="000000"/>
                <w:szCs w:val="21"/>
              </w:rPr>
              <w:t>□</w:t>
            </w:r>
            <w:r>
              <w:rPr>
                <w:rFonts w:ascii="宋体" w:eastAsia="宋体" w:hAnsi="宋体"/>
                <w:color w:val="000000"/>
                <w:szCs w:val="21"/>
              </w:rPr>
              <w:t>路</w:t>
            </w:r>
            <w:r>
              <w:rPr>
                <w:rFonts w:ascii="宋体" w:eastAsia="宋体" w:hAnsi="宋体"/>
                <w:color w:val="000000"/>
                <w:spacing w:val="-3"/>
                <w:szCs w:val="21"/>
              </w:rPr>
              <w:t>演</w:t>
            </w:r>
            <w:r>
              <w:rPr>
                <w:rFonts w:ascii="宋体" w:eastAsia="宋体" w:hAnsi="宋体"/>
                <w:color w:val="000000"/>
                <w:szCs w:val="21"/>
              </w:rPr>
              <w:t>活动</w:t>
            </w:r>
          </w:p>
          <w:p w:rsidR="00620A02" w:rsidRDefault="00620A02">
            <w:pPr>
              <w:snapToGrid w:val="0"/>
              <w:spacing w:before="8"/>
              <w:rPr>
                <w:rFonts w:ascii="宋体" w:eastAsia="宋体" w:hAnsi="宋体"/>
                <w:color w:val="000000"/>
                <w:sz w:val="22"/>
              </w:rPr>
            </w:pPr>
          </w:p>
          <w:p w:rsidR="00620A02" w:rsidRDefault="005F3EA7">
            <w:pPr>
              <w:snapToGrid w:val="0"/>
              <w:ind w:left="107"/>
              <w:rPr>
                <w:rFonts w:ascii="宋体" w:eastAsia="宋体" w:hAnsi="宋体"/>
                <w:color w:val="000000"/>
                <w:szCs w:val="21"/>
              </w:rPr>
            </w:pPr>
            <w:r>
              <w:rPr>
                <w:rFonts w:ascii="宋体" w:eastAsia="宋体" w:hAnsi="宋体"/>
                <w:color w:val="000000"/>
                <w:szCs w:val="21"/>
              </w:rPr>
              <w:t>√</w:t>
            </w:r>
            <w:r>
              <w:rPr>
                <w:rFonts w:ascii="宋体" w:eastAsia="宋体" w:hAnsi="宋体"/>
                <w:color w:val="000000"/>
                <w:szCs w:val="21"/>
              </w:rPr>
              <w:t>现场参观</w:t>
            </w:r>
          </w:p>
          <w:p w:rsidR="00620A02" w:rsidRDefault="00620A02">
            <w:pPr>
              <w:snapToGrid w:val="0"/>
              <w:spacing w:before="11"/>
              <w:rPr>
                <w:rFonts w:ascii="宋体" w:eastAsia="宋体" w:hAnsi="宋体"/>
                <w:color w:val="000000"/>
                <w:sz w:val="22"/>
              </w:rPr>
            </w:pPr>
          </w:p>
          <w:p w:rsidR="00620A02" w:rsidRDefault="005F3EA7">
            <w:pPr>
              <w:snapToGrid w:val="0"/>
              <w:ind w:left="107"/>
              <w:rPr>
                <w:rFonts w:ascii="宋体" w:eastAsia="宋体" w:hAnsi="宋体"/>
                <w:color w:val="000000"/>
                <w:szCs w:val="21"/>
              </w:rPr>
            </w:pPr>
            <w:r>
              <w:rPr>
                <w:rFonts w:ascii="宋体" w:eastAsia="宋体" w:hAnsi="宋体"/>
                <w:color w:val="000000"/>
                <w:szCs w:val="21"/>
              </w:rPr>
              <w:t>□</w:t>
            </w:r>
            <w:r>
              <w:rPr>
                <w:rFonts w:ascii="宋体" w:eastAsia="宋体" w:hAnsi="宋体"/>
                <w:color w:val="000000"/>
                <w:szCs w:val="21"/>
              </w:rPr>
              <w:t>其他</w:t>
            </w:r>
            <w:r>
              <w:rPr>
                <w:rFonts w:ascii="宋体" w:eastAsia="宋体" w:hAnsi="宋体"/>
                <w:color w:val="000000"/>
                <w:szCs w:val="21"/>
              </w:rPr>
              <w:t>—</w:t>
            </w:r>
            <w:r>
              <w:rPr>
                <w:rFonts w:ascii="宋体" w:eastAsia="宋体" w:hAnsi="宋体"/>
                <w:color w:val="000000"/>
                <w:szCs w:val="21"/>
              </w:rPr>
              <w:t>腾讯会议</w:t>
            </w:r>
          </w:p>
        </w:tc>
      </w:tr>
      <w:tr w:rsidR="00620A02">
        <w:trPr>
          <w:trHeight w:val="1110"/>
        </w:trPr>
        <w:tc>
          <w:tcPr>
            <w:tcW w:w="2370" w:type="dxa"/>
            <w:tcBorders>
              <w:top w:val="single" w:sz="8" w:space="0" w:color="000000"/>
              <w:left w:val="single" w:sz="8" w:space="0" w:color="000000"/>
              <w:bottom w:val="single" w:sz="8" w:space="0" w:color="000000"/>
              <w:right w:val="single" w:sz="8" w:space="0" w:color="000000"/>
            </w:tcBorders>
          </w:tcPr>
          <w:p w:rsidR="00620A02" w:rsidRDefault="005F3EA7">
            <w:pPr>
              <w:snapToGrid w:val="0"/>
              <w:spacing w:line="560" w:lineRule="exact"/>
              <w:ind w:left="107" w:right="96"/>
              <w:rPr>
                <w:rFonts w:ascii="宋体" w:eastAsia="宋体" w:hAnsi="宋体"/>
                <w:color w:val="000000"/>
                <w:szCs w:val="21"/>
              </w:rPr>
            </w:pPr>
            <w:r>
              <w:rPr>
                <w:rFonts w:ascii="宋体" w:eastAsia="宋体" w:hAnsi="宋体"/>
                <w:color w:val="000000"/>
                <w:szCs w:val="21"/>
              </w:rPr>
              <w:t>参与单位名称及人员姓名</w:t>
            </w:r>
          </w:p>
        </w:tc>
        <w:tc>
          <w:tcPr>
            <w:tcW w:w="6135" w:type="dxa"/>
            <w:tcBorders>
              <w:top w:val="single" w:sz="8" w:space="0" w:color="000000"/>
              <w:left w:val="single" w:sz="8" w:space="0" w:color="000000"/>
              <w:bottom w:val="single" w:sz="8" w:space="0" w:color="000000"/>
              <w:right w:val="single" w:sz="8" w:space="0" w:color="000000"/>
            </w:tcBorders>
          </w:tcPr>
          <w:p w:rsidR="00620A02" w:rsidRDefault="005F3EA7">
            <w:pPr>
              <w:snapToGrid w:val="0"/>
              <w:rPr>
                <w:rFonts w:ascii="宋体" w:eastAsia="宋体" w:hAnsi="宋体"/>
                <w:color w:val="000000"/>
                <w:spacing w:val="-3"/>
                <w:szCs w:val="21"/>
              </w:rPr>
            </w:pPr>
            <w:r>
              <w:rPr>
                <w:rFonts w:ascii="宋体" w:eastAsia="宋体" w:hAnsi="宋体"/>
                <w:color w:val="000000"/>
                <w:spacing w:val="-3"/>
                <w:szCs w:val="21"/>
              </w:rPr>
              <w:t>大成基金</w:t>
            </w:r>
            <w:r>
              <w:rPr>
                <w:rFonts w:ascii="宋体" w:eastAsia="宋体" w:hAnsi="宋体"/>
                <w:color w:val="000000"/>
                <w:spacing w:val="-3"/>
                <w:szCs w:val="21"/>
              </w:rPr>
              <w:t xml:space="preserve">   </w:t>
            </w:r>
            <w:r>
              <w:rPr>
                <w:rFonts w:ascii="宋体" w:eastAsia="宋体" w:hAnsi="宋体"/>
                <w:color w:val="000000"/>
                <w:spacing w:val="-3"/>
                <w:szCs w:val="21"/>
              </w:rPr>
              <w:t>黄海昕</w:t>
            </w:r>
          </w:p>
          <w:p w:rsidR="00620A02" w:rsidRDefault="005F3EA7">
            <w:pPr>
              <w:snapToGrid w:val="0"/>
              <w:rPr>
                <w:rFonts w:ascii="宋体" w:eastAsia="宋体" w:hAnsi="宋体"/>
                <w:color w:val="000000"/>
                <w:spacing w:val="-3"/>
                <w:szCs w:val="21"/>
              </w:rPr>
            </w:pPr>
            <w:r>
              <w:rPr>
                <w:rFonts w:ascii="宋体" w:eastAsia="宋体" w:hAnsi="宋体"/>
                <w:color w:val="000000"/>
                <w:spacing w:val="-3"/>
                <w:szCs w:val="21"/>
              </w:rPr>
              <w:t>长乐汇资本</w:t>
            </w:r>
            <w:r>
              <w:rPr>
                <w:rFonts w:ascii="宋体" w:eastAsia="宋体" w:hAnsi="宋体"/>
                <w:color w:val="000000"/>
                <w:spacing w:val="-3"/>
                <w:szCs w:val="21"/>
              </w:rPr>
              <w:t xml:space="preserve"> </w:t>
            </w:r>
            <w:r>
              <w:rPr>
                <w:rFonts w:ascii="宋体" w:eastAsia="宋体" w:hAnsi="宋体"/>
                <w:color w:val="000000"/>
                <w:spacing w:val="-3"/>
                <w:szCs w:val="21"/>
              </w:rPr>
              <w:t>张小仁</w:t>
            </w:r>
          </w:p>
        </w:tc>
      </w:tr>
      <w:tr w:rsidR="00620A02">
        <w:trPr>
          <w:trHeight w:val="555"/>
        </w:trPr>
        <w:tc>
          <w:tcPr>
            <w:tcW w:w="2370" w:type="dxa"/>
            <w:tcBorders>
              <w:top w:val="single" w:sz="8" w:space="0" w:color="000000"/>
              <w:left w:val="single" w:sz="8" w:space="0" w:color="000000"/>
              <w:bottom w:val="single" w:sz="8" w:space="0" w:color="000000"/>
              <w:right w:val="single" w:sz="8" w:space="0" w:color="000000"/>
            </w:tcBorders>
          </w:tcPr>
          <w:p w:rsidR="00620A02" w:rsidRDefault="00620A02">
            <w:pPr>
              <w:snapToGrid w:val="0"/>
              <w:spacing w:before="7"/>
              <w:rPr>
                <w:rFonts w:ascii="宋体" w:eastAsia="宋体" w:hAnsi="宋体"/>
                <w:color w:val="000000"/>
                <w:sz w:val="18"/>
                <w:szCs w:val="18"/>
              </w:rPr>
            </w:pPr>
          </w:p>
          <w:p w:rsidR="00620A02" w:rsidRDefault="005F3EA7">
            <w:pPr>
              <w:snapToGrid w:val="0"/>
              <w:spacing w:before="1"/>
              <w:ind w:left="107"/>
              <w:rPr>
                <w:rFonts w:ascii="宋体" w:eastAsia="宋体" w:hAnsi="宋体"/>
                <w:color w:val="000000"/>
                <w:szCs w:val="21"/>
              </w:rPr>
            </w:pPr>
            <w:r>
              <w:rPr>
                <w:rFonts w:ascii="宋体" w:eastAsia="宋体" w:hAnsi="宋体"/>
                <w:color w:val="000000"/>
                <w:szCs w:val="21"/>
              </w:rPr>
              <w:t>时间</w:t>
            </w:r>
          </w:p>
        </w:tc>
        <w:tc>
          <w:tcPr>
            <w:tcW w:w="6135" w:type="dxa"/>
            <w:tcBorders>
              <w:top w:val="single" w:sz="8" w:space="0" w:color="000000"/>
              <w:left w:val="single" w:sz="8" w:space="0" w:color="000000"/>
              <w:bottom w:val="single" w:sz="8" w:space="0" w:color="000000"/>
              <w:right w:val="single" w:sz="8" w:space="0" w:color="000000"/>
            </w:tcBorders>
          </w:tcPr>
          <w:p w:rsidR="00620A02" w:rsidRDefault="005F3EA7">
            <w:pPr>
              <w:snapToGrid w:val="0"/>
              <w:rPr>
                <w:rFonts w:ascii="Times New Roman" w:eastAsia="Times New Roman" w:hAnsi="Times New Roman"/>
                <w:color w:val="000000"/>
                <w:spacing w:val="-3"/>
                <w:szCs w:val="21"/>
              </w:rPr>
            </w:pPr>
            <w:r>
              <w:rPr>
                <w:rFonts w:ascii="Times New Roman" w:eastAsia="Times New Roman" w:hAnsi="Times New Roman"/>
                <w:color w:val="000000"/>
                <w:spacing w:val="-3"/>
                <w:szCs w:val="21"/>
              </w:rPr>
              <w:t>2020</w:t>
            </w:r>
            <w:r>
              <w:rPr>
                <w:rFonts w:ascii="宋体" w:eastAsia="宋体" w:hAnsi="宋体"/>
                <w:color w:val="000000"/>
                <w:spacing w:val="-3"/>
                <w:szCs w:val="21"/>
              </w:rPr>
              <w:t>年</w:t>
            </w:r>
            <w:r>
              <w:rPr>
                <w:rFonts w:ascii="Times New Roman" w:eastAsia="Times New Roman" w:hAnsi="Times New Roman"/>
                <w:color w:val="000000"/>
                <w:spacing w:val="-3"/>
                <w:szCs w:val="21"/>
              </w:rPr>
              <w:t>10</w:t>
            </w:r>
            <w:r>
              <w:rPr>
                <w:rFonts w:ascii="宋体" w:eastAsia="宋体" w:hAnsi="宋体"/>
                <w:color w:val="000000"/>
                <w:spacing w:val="-3"/>
                <w:szCs w:val="21"/>
              </w:rPr>
              <w:t>月</w:t>
            </w:r>
            <w:r>
              <w:rPr>
                <w:rFonts w:ascii="Times New Roman" w:eastAsia="Times New Roman" w:hAnsi="Times New Roman"/>
                <w:color w:val="000000"/>
                <w:spacing w:val="-3"/>
                <w:szCs w:val="21"/>
              </w:rPr>
              <w:t>29</w:t>
            </w:r>
            <w:r>
              <w:rPr>
                <w:rFonts w:ascii="宋体" w:eastAsia="宋体" w:hAnsi="宋体"/>
                <w:color w:val="000000"/>
                <w:spacing w:val="-3"/>
                <w:szCs w:val="21"/>
              </w:rPr>
              <w:t>日</w:t>
            </w:r>
            <w:r>
              <w:rPr>
                <w:rFonts w:ascii="Times New Roman" w:eastAsia="Times New Roman" w:hAnsi="Times New Roman"/>
                <w:color w:val="000000"/>
                <w:spacing w:val="-3"/>
                <w:szCs w:val="21"/>
              </w:rPr>
              <w:t xml:space="preserve"> 9:30-12:00</w:t>
            </w:r>
          </w:p>
        </w:tc>
      </w:tr>
      <w:tr w:rsidR="00620A02">
        <w:trPr>
          <w:trHeight w:val="555"/>
        </w:trPr>
        <w:tc>
          <w:tcPr>
            <w:tcW w:w="2370" w:type="dxa"/>
            <w:tcBorders>
              <w:top w:val="single" w:sz="8" w:space="0" w:color="000000"/>
              <w:left w:val="single" w:sz="8" w:space="0" w:color="000000"/>
              <w:bottom w:val="single" w:sz="8" w:space="0" w:color="000000"/>
              <w:right w:val="single" w:sz="8" w:space="0" w:color="000000"/>
            </w:tcBorders>
          </w:tcPr>
          <w:p w:rsidR="00620A02" w:rsidRDefault="00620A02">
            <w:pPr>
              <w:snapToGrid w:val="0"/>
              <w:spacing w:before="8"/>
              <w:rPr>
                <w:rFonts w:ascii="宋体" w:eastAsia="宋体" w:hAnsi="宋体"/>
                <w:color w:val="000000"/>
                <w:sz w:val="18"/>
                <w:szCs w:val="18"/>
              </w:rPr>
            </w:pPr>
          </w:p>
          <w:p w:rsidR="00620A02" w:rsidRDefault="005F3EA7">
            <w:pPr>
              <w:snapToGrid w:val="0"/>
              <w:ind w:left="107"/>
              <w:rPr>
                <w:rFonts w:ascii="宋体" w:eastAsia="宋体" w:hAnsi="宋体"/>
                <w:color w:val="000000"/>
                <w:szCs w:val="21"/>
              </w:rPr>
            </w:pPr>
            <w:r>
              <w:rPr>
                <w:rFonts w:ascii="宋体" w:eastAsia="宋体" w:hAnsi="宋体"/>
                <w:color w:val="000000"/>
                <w:szCs w:val="21"/>
              </w:rPr>
              <w:t>地点</w:t>
            </w:r>
          </w:p>
        </w:tc>
        <w:tc>
          <w:tcPr>
            <w:tcW w:w="6135" w:type="dxa"/>
            <w:tcBorders>
              <w:top w:val="single" w:sz="8" w:space="0" w:color="000000"/>
              <w:left w:val="single" w:sz="8" w:space="0" w:color="000000"/>
              <w:bottom w:val="single" w:sz="8" w:space="0" w:color="000000"/>
              <w:right w:val="single" w:sz="8" w:space="0" w:color="000000"/>
            </w:tcBorders>
          </w:tcPr>
          <w:p w:rsidR="00620A02" w:rsidRDefault="005F3EA7">
            <w:pPr>
              <w:snapToGrid w:val="0"/>
              <w:rPr>
                <w:rFonts w:ascii="宋体" w:eastAsia="宋体" w:hAnsi="宋体"/>
                <w:color w:val="000000"/>
                <w:spacing w:val="-3"/>
                <w:szCs w:val="21"/>
              </w:rPr>
            </w:pPr>
            <w:r>
              <w:rPr>
                <w:rFonts w:ascii="宋体" w:eastAsia="宋体" w:hAnsi="宋体"/>
                <w:color w:val="000000"/>
                <w:spacing w:val="-3"/>
                <w:szCs w:val="21"/>
              </w:rPr>
              <w:t>公司会议室</w:t>
            </w:r>
          </w:p>
        </w:tc>
      </w:tr>
      <w:tr w:rsidR="00620A02">
        <w:trPr>
          <w:trHeight w:val="555"/>
        </w:trPr>
        <w:tc>
          <w:tcPr>
            <w:tcW w:w="2370" w:type="dxa"/>
            <w:tcBorders>
              <w:top w:val="single" w:sz="8" w:space="0" w:color="000000"/>
              <w:left w:val="single" w:sz="8" w:space="0" w:color="000000"/>
              <w:bottom w:val="single" w:sz="8" w:space="0" w:color="000000"/>
              <w:right w:val="single" w:sz="8" w:space="0" w:color="000000"/>
            </w:tcBorders>
          </w:tcPr>
          <w:p w:rsidR="00620A02" w:rsidRDefault="00620A02">
            <w:pPr>
              <w:snapToGrid w:val="0"/>
              <w:spacing w:before="7"/>
              <w:rPr>
                <w:rFonts w:ascii="宋体" w:eastAsia="宋体" w:hAnsi="宋体"/>
                <w:color w:val="000000"/>
                <w:sz w:val="18"/>
                <w:szCs w:val="18"/>
              </w:rPr>
            </w:pPr>
          </w:p>
          <w:p w:rsidR="00620A02" w:rsidRDefault="005F3EA7">
            <w:pPr>
              <w:snapToGrid w:val="0"/>
              <w:spacing w:before="1"/>
              <w:ind w:left="107"/>
              <w:rPr>
                <w:rFonts w:ascii="宋体" w:eastAsia="宋体" w:hAnsi="宋体"/>
                <w:color w:val="000000"/>
                <w:szCs w:val="21"/>
              </w:rPr>
            </w:pPr>
            <w:r>
              <w:rPr>
                <w:rFonts w:ascii="宋体" w:eastAsia="宋体" w:hAnsi="宋体"/>
                <w:color w:val="000000"/>
                <w:szCs w:val="21"/>
              </w:rPr>
              <w:t>上市公司接待人员姓名</w:t>
            </w:r>
          </w:p>
        </w:tc>
        <w:tc>
          <w:tcPr>
            <w:tcW w:w="6135" w:type="dxa"/>
            <w:tcBorders>
              <w:top w:val="single" w:sz="8" w:space="0" w:color="000000"/>
              <w:left w:val="single" w:sz="8" w:space="0" w:color="000000"/>
              <w:bottom w:val="single" w:sz="8" w:space="0" w:color="000000"/>
              <w:right w:val="single" w:sz="8" w:space="0" w:color="000000"/>
            </w:tcBorders>
          </w:tcPr>
          <w:p w:rsidR="00620A02" w:rsidRDefault="005F3EA7">
            <w:pPr>
              <w:snapToGrid w:val="0"/>
              <w:rPr>
                <w:rFonts w:ascii="微软雅黑" w:eastAsia="微软雅黑" w:hAnsi="微软雅黑"/>
                <w:color w:val="000000"/>
                <w:szCs w:val="21"/>
              </w:rPr>
            </w:pPr>
            <w:r>
              <w:rPr>
                <w:rFonts w:ascii="宋体" w:eastAsia="宋体" w:hAnsi="宋体"/>
                <w:color w:val="000000"/>
                <w:spacing w:val="-3"/>
                <w:szCs w:val="21"/>
              </w:rPr>
              <w:t>董事长乔荣健、证券事务代表宋俊</w:t>
            </w:r>
          </w:p>
          <w:p w:rsidR="00620A02" w:rsidRDefault="00620A02">
            <w:pPr>
              <w:snapToGrid w:val="0"/>
              <w:rPr>
                <w:rFonts w:ascii="宋体" w:eastAsia="宋体" w:hAnsi="宋体"/>
                <w:color w:val="000000"/>
                <w:spacing w:val="-3"/>
                <w:szCs w:val="21"/>
              </w:rPr>
            </w:pPr>
          </w:p>
        </w:tc>
      </w:tr>
      <w:tr w:rsidR="00620A02">
        <w:trPr>
          <w:trHeight w:val="1545"/>
        </w:trPr>
        <w:tc>
          <w:tcPr>
            <w:tcW w:w="2370" w:type="dxa"/>
            <w:tcBorders>
              <w:top w:val="single" w:sz="8" w:space="0" w:color="000000"/>
              <w:left w:val="single" w:sz="8" w:space="0" w:color="000000"/>
              <w:bottom w:val="single" w:sz="8" w:space="0" w:color="000000"/>
              <w:right w:val="single" w:sz="8" w:space="0" w:color="000000"/>
            </w:tcBorders>
          </w:tcPr>
          <w:p w:rsidR="00620A02" w:rsidRDefault="00620A02">
            <w:pPr>
              <w:snapToGrid w:val="0"/>
              <w:rPr>
                <w:rFonts w:ascii="宋体" w:eastAsia="宋体" w:hAnsi="宋体"/>
                <w:color w:val="000000"/>
                <w:sz w:val="20"/>
                <w:szCs w:val="20"/>
              </w:rPr>
            </w:pPr>
          </w:p>
          <w:p w:rsidR="00620A02" w:rsidRDefault="00620A02">
            <w:pPr>
              <w:snapToGrid w:val="0"/>
              <w:rPr>
                <w:rFonts w:ascii="宋体" w:eastAsia="宋体" w:hAnsi="宋体"/>
                <w:color w:val="000000"/>
                <w:sz w:val="20"/>
                <w:szCs w:val="20"/>
              </w:rPr>
            </w:pPr>
          </w:p>
          <w:p w:rsidR="00620A02" w:rsidRDefault="00620A02">
            <w:pPr>
              <w:snapToGrid w:val="0"/>
              <w:spacing w:before="5"/>
              <w:rPr>
                <w:rFonts w:ascii="宋体" w:eastAsia="宋体" w:hAnsi="宋体"/>
                <w:color w:val="000000"/>
                <w:sz w:val="22"/>
              </w:rPr>
            </w:pPr>
          </w:p>
          <w:p w:rsidR="00620A02" w:rsidRDefault="005F3EA7">
            <w:pPr>
              <w:snapToGrid w:val="0"/>
              <w:spacing w:before="1" w:line="499" w:lineRule="auto"/>
              <w:ind w:left="107" w:right="96"/>
              <w:rPr>
                <w:rFonts w:ascii="宋体" w:eastAsia="宋体" w:hAnsi="宋体"/>
                <w:color w:val="000000"/>
                <w:szCs w:val="21"/>
              </w:rPr>
            </w:pPr>
            <w:r>
              <w:rPr>
                <w:rFonts w:ascii="宋体" w:eastAsia="宋体" w:hAnsi="宋体"/>
                <w:color w:val="000000"/>
                <w:szCs w:val="21"/>
              </w:rPr>
              <w:t>投资者关系活动主要内容介绍</w:t>
            </w:r>
          </w:p>
        </w:tc>
        <w:tc>
          <w:tcPr>
            <w:tcW w:w="6135" w:type="dxa"/>
            <w:tcBorders>
              <w:top w:val="single" w:sz="8" w:space="0" w:color="000000"/>
              <w:left w:val="single" w:sz="8" w:space="0" w:color="000000"/>
              <w:bottom w:val="single" w:sz="8" w:space="0" w:color="000000"/>
              <w:right w:val="single" w:sz="8" w:space="0" w:color="000000"/>
            </w:tcBorders>
          </w:tcPr>
          <w:p w:rsidR="00620A02" w:rsidRDefault="005F3EA7">
            <w:pPr>
              <w:numPr>
                <w:ilvl w:val="0"/>
                <w:numId w:val="33"/>
              </w:numPr>
              <w:snapToGrid w:val="0"/>
              <w:ind w:left="340" w:hanging="340"/>
              <w:rPr>
                <w:rFonts w:ascii="仿宋" w:eastAsia="仿宋" w:hAnsi="仿宋"/>
                <w:b/>
                <w:bCs/>
                <w:color w:val="000000"/>
                <w:sz w:val="22"/>
              </w:rPr>
            </w:pPr>
            <w:r>
              <w:rPr>
                <w:rFonts w:ascii="仿宋" w:eastAsia="仿宋" w:hAnsi="仿宋"/>
                <w:b/>
                <w:bCs/>
                <w:color w:val="000000"/>
                <w:sz w:val="22"/>
              </w:rPr>
              <w:t>当公司承接一个新项目时，如何进行人员安排？项目人员的构成一般是怎么样的？</w:t>
            </w:r>
          </w:p>
          <w:p w:rsidR="00620A02" w:rsidRDefault="005F3EA7">
            <w:pPr>
              <w:snapToGrid w:val="0"/>
              <w:rPr>
                <w:rFonts w:ascii="仿宋" w:eastAsia="仿宋" w:hAnsi="仿宋"/>
                <w:color w:val="000000"/>
                <w:sz w:val="22"/>
              </w:rPr>
            </w:pPr>
            <w:r>
              <w:rPr>
                <w:rFonts w:ascii="仿宋" w:eastAsia="仿宋" w:hAnsi="仿宋"/>
                <w:color w:val="000000"/>
                <w:sz w:val="22"/>
              </w:rPr>
              <w:t xml:space="preserve">    </w:t>
            </w:r>
            <w:r>
              <w:rPr>
                <w:rFonts w:ascii="仿宋" w:eastAsia="仿宋" w:hAnsi="仿宋"/>
                <w:color w:val="000000"/>
                <w:sz w:val="22"/>
              </w:rPr>
              <w:t>项目承接后，由公司人力资源部参考投标时确定的初步团队人员进一步组建项目管理团队，项目经理为该工程的第一责任人，全面负责项目的施工管理等工作，同时区域负责人对项目进行全程跟踪监督。项目管理团队一般还包括施工员、质检员、资料员、仓管员、安全员等。同时，公司采购管理部、工程管理部按照项目数量匹配情况向不同的区域中心派驻相关采购员和质检员，加强各项目的采购管理和施工管理。</w:t>
            </w:r>
          </w:p>
          <w:p w:rsidR="00620A02" w:rsidRDefault="005F3EA7">
            <w:pPr>
              <w:snapToGrid w:val="0"/>
              <w:rPr>
                <w:rFonts w:ascii="仿宋" w:eastAsia="仿宋" w:hAnsi="仿宋"/>
                <w:color w:val="000000"/>
                <w:sz w:val="22"/>
              </w:rPr>
            </w:pPr>
            <w:r>
              <w:rPr>
                <w:rFonts w:ascii="仿宋" w:eastAsia="仿宋" w:hAnsi="仿宋"/>
                <w:color w:val="000000"/>
                <w:sz w:val="22"/>
              </w:rPr>
              <w:t xml:space="preserve">    </w:t>
            </w:r>
            <w:r>
              <w:rPr>
                <w:rFonts w:ascii="仿宋" w:eastAsia="仿宋" w:hAnsi="仿宋"/>
                <w:color w:val="000000"/>
                <w:sz w:val="22"/>
              </w:rPr>
              <w:t>公司坚持施工项目不转包、不挂靠原则，项目管理团队均由公司具体委派，其他施工人员由公司与有长期合作关系的劳务</w:t>
            </w:r>
            <w:r>
              <w:rPr>
                <w:rFonts w:ascii="仿宋" w:eastAsia="仿宋" w:hAnsi="仿宋"/>
                <w:color w:val="000000"/>
                <w:sz w:val="22"/>
              </w:rPr>
              <w:lastRenderedPageBreak/>
              <w:t>公司按项目、按工种专业派出。在项目部人员的安排管理下开展施工工作，确保项目的顺利进行。</w:t>
            </w:r>
          </w:p>
          <w:p w:rsidR="00620A02" w:rsidRDefault="00620A02">
            <w:pPr>
              <w:snapToGrid w:val="0"/>
              <w:rPr>
                <w:rFonts w:ascii="仿宋" w:eastAsia="仿宋" w:hAnsi="仿宋"/>
                <w:color w:val="000000"/>
                <w:sz w:val="22"/>
              </w:rPr>
            </w:pPr>
          </w:p>
          <w:p w:rsidR="00620A02" w:rsidRDefault="005F3EA7">
            <w:pPr>
              <w:numPr>
                <w:ilvl w:val="0"/>
                <w:numId w:val="33"/>
              </w:numPr>
              <w:snapToGrid w:val="0"/>
              <w:ind w:left="340" w:hanging="340"/>
              <w:rPr>
                <w:rFonts w:ascii="仿宋" w:eastAsia="仿宋" w:hAnsi="仿宋"/>
                <w:b/>
                <w:bCs/>
                <w:color w:val="000000"/>
                <w:sz w:val="22"/>
              </w:rPr>
            </w:pPr>
            <w:r>
              <w:rPr>
                <w:rFonts w:ascii="仿宋" w:eastAsia="仿宋" w:hAnsi="仿宋"/>
                <w:b/>
                <w:bCs/>
                <w:color w:val="000000"/>
                <w:sz w:val="22"/>
              </w:rPr>
              <w:t>公司项目经理的薪酬怎么样，与项目效益相关吗？公司是否会考虑对项目经理进行股权激励？</w:t>
            </w:r>
          </w:p>
          <w:p w:rsidR="00620A02" w:rsidRDefault="005F3EA7">
            <w:pPr>
              <w:snapToGrid w:val="0"/>
              <w:ind w:firstLineChars="200" w:firstLine="440"/>
              <w:jc w:val="left"/>
              <w:rPr>
                <w:rFonts w:ascii="微软雅黑" w:eastAsia="微软雅黑" w:hAnsi="微软雅黑"/>
                <w:color w:val="000000"/>
                <w:szCs w:val="21"/>
              </w:rPr>
            </w:pPr>
            <w:r>
              <w:rPr>
                <w:rFonts w:ascii="仿宋" w:eastAsia="仿宋" w:hAnsi="仿宋"/>
                <w:color w:val="000000"/>
                <w:sz w:val="22"/>
              </w:rPr>
              <w:t>2</w:t>
            </w:r>
            <w:r>
              <w:rPr>
                <w:rFonts w:ascii="'Times New Roman'" w:eastAsia="'Times New Roman'" w:hAnsi="'Times New Roman'"/>
                <w:color w:val="000000"/>
                <w:sz w:val="22"/>
              </w:rPr>
              <w:t>019</w:t>
            </w:r>
            <w:r>
              <w:rPr>
                <w:rFonts w:ascii="仿宋" w:eastAsia="仿宋" w:hAnsi="仿宋"/>
                <w:color w:val="000000"/>
                <w:sz w:val="22"/>
              </w:rPr>
              <w:t>年</w:t>
            </w:r>
            <w:r>
              <w:rPr>
                <w:rFonts w:ascii="仿宋" w:eastAsia="仿宋" w:hAnsi="仿宋"/>
                <w:color w:val="000000"/>
                <w:szCs w:val="21"/>
              </w:rPr>
              <w:t>公司员工的</w:t>
            </w:r>
            <w:r>
              <w:rPr>
                <w:rFonts w:ascii="仿宋" w:eastAsia="仿宋" w:hAnsi="仿宋"/>
                <w:color w:val="000000"/>
                <w:sz w:val="22"/>
              </w:rPr>
              <w:t>平均薪酬</w:t>
            </w:r>
            <w:r>
              <w:rPr>
                <w:rFonts w:ascii="仿宋" w:eastAsia="仿宋" w:hAnsi="仿宋"/>
                <w:color w:val="000000"/>
                <w:sz w:val="22"/>
              </w:rPr>
              <w:t>2</w:t>
            </w:r>
            <w:r>
              <w:rPr>
                <w:rFonts w:ascii="'Times New Roman'" w:eastAsia="'Times New Roman'" w:hAnsi="'Times New Roman'"/>
                <w:color w:val="000000"/>
                <w:sz w:val="22"/>
              </w:rPr>
              <w:t>0</w:t>
            </w:r>
            <w:r>
              <w:rPr>
                <w:rFonts w:ascii="仿宋" w:eastAsia="仿宋" w:hAnsi="仿宋"/>
                <w:color w:val="000000"/>
                <w:sz w:val="22"/>
              </w:rPr>
              <w:t>万元左右（</w:t>
            </w:r>
            <w:r>
              <w:rPr>
                <w:rFonts w:ascii="仿宋" w:eastAsia="仿宋" w:hAnsi="仿宋"/>
                <w:color w:val="000000"/>
                <w:sz w:val="22"/>
              </w:rPr>
              <w:t>85%</w:t>
            </w:r>
            <w:r>
              <w:rPr>
                <w:rFonts w:ascii="仿宋" w:eastAsia="仿宋" w:hAnsi="仿宋"/>
                <w:color w:val="000000"/>
                <w:sz w:val="22"/>
              </w:rPr>
              <w:t>的员工分布在外地），远高于深圳市平均年薪水平，项目经理的薪资高于公司员工平均水平。项目经理的薪酬与项目效益存在较强但也不能太强的相关性，这主要体现在公司设立的健全的绩效奖金制度，比如工</w:t>
            </w:r>
            <w:r>
              <w:rPr>
                <w:rFonts w:ascii="仿宋" w:eastAsia="仿宋" w:hAnsi="仿宋"/>
                <w:color w:val="000000"/>
                <w:sz w:val="22"/>
              </w:rPr>
              <w:t>程质量方面的超越对手奖、项目利润方面的超额利润奖、项目成本管理方面的管理费用节约奖等。公司始终坚持以人为本，会采取各种措施稳定优秀的人才，和公司共成长。公司会在适当时机考虑新的股权激励计划。</w:t>
            </w:r>
          </w:p>
          <w:p w:rsidR="00620A02" w:rsidRDefault="00620A02">
            <w:pPr>
              <w:snapToGrid w:val="0"/>
              <w:rPr>
                <w:rFonts w:ascii="仿宋" w:eastAsia="仿宋" w:hAnsi="仿宋"/>
                <w:color w:val="000000"/>
                <w:sz w:val="22"/>
              </w:rPr>
            </w:pPr>
          </w:p>
          <w:p w:rsidR="00620A02" w:rsidRDefault="005F3EA7">
            <w:pPr>
              <w:numPr>
                <w:ilvl w:val="0"/>
                <w:numId w:val="33"/>
              </w:numPr>
              <w:snapToGrid w:val="0"/>
              <w:ind w:hanging="340"/>
              <w:rPr>
                <w:rFonts w:ascii="仿宋" w:eastAsia="仿宋" w:hAnsi="仿宋"/>
                <w:b/>
                <w:bCs/>
                <w:color w:val="000000"/>
                <w:sz w:val="22"/>
              </w:rPr>
            </w:pPr>
            <w:r>
              <w:rPr>
                <w:rFonts w:ascii="仿宋" w:eastAsia="仿宋" w:hAnsi="仿宋"/>
                <w:b/>
                <w:bCs/>
                <w:color w:val="000000"/>
                <w:sz w:val="22"/>
              </w:rPr>
              <w:t>在深圳客户满意度比较高的项目有哪些？</w:t>
            </w:r>
          </w:p>
          <w:p w:rsidR="00620A02" w:rsidRDefault="005F3EA7">
            <w:pPr>
              <w:snapToGrid w:val="0"/>
              <w:ind w:firstLineChars="200" w:firstLine="440"/>
              <w:rPr>
                <w:rFonts w:ascii="仿宋" w:eastAsia="仿宋" w:hAnsi="仿宋"/>
                <w:color w:val="000000"/>
                <w:sz w:val="22"/>
              </w:rPr>
            </w:pPr>
            <w:r>
              <w:rPr>
                <w:rFonts w:ascii="仿宋" w:eastAsia="仿宋" w:hAnsi="仿宋"/>
                <w:color w:val="000000"/>
                <w:sz w:val="22"/>
              </w:rPr>
              <w:t>例如万科星城华府、万科悦城和风轩，客户满意度都是很不错的。</w:t>
            </w:r>
          </w:p>
          <w:p w:rsidR="00620A02" w:rsidRDefault="00620A02">
            <w:pPr>
              <w:snapToGrid w:val="0"/>
              <w:rPr>
                <w:rFonts w:ascii="仿宋" w:eastAsia="仿宋" w:hAnsi="仿宋"/>
                <w:color w:val="000000"/>
                <w:sz w:val="22"/>
              </w:rPr>
            </w:pPr>
          </w:p>
          <w:p w:rsidR="00620A02" w:rsidRDefault="005F3EA7">
            <w:pPr>
              <w:numPr>
                <w:ilvl w:val="0"/>
                <w:numId w:val="33"/>
              </w:numPr>
              <w:snapToGrid w:val="0"/>
              <w:ind w:left="340" w:hanging="340"/>
              <w:rPr>
                <w:rFonts w:ascii="仿宋" w:eastAsia="仿宋" w:hAnsi="仿宋"/>
                <w:b/>
                <w:bCs/>
                <w:color w:val="000000"/>
                <w:sz w:val="22"/>
              </w:rPr>
            </w:pPr>
            <w:r>
              <w:rPr>
                <w:rFonts w:ascii="仿宋" w:eastAsia="仿宋" w:hAnsi="仿宋"/>
                <w:b/>
                <w:bCs/>
                <w:color w:val="000000"/>
                <w:sz w:val="22"/>
              </w:rPr>
              <w:t>公司三季度报表提到了由于赶工费用的发生影响了公司利润，赶工费用来源于哪些方面？</w:t>
            </w:r>
          </w:p>
          <w:p w:rsidR="00620A02" w:rsidRDefault="005F3EA7">
            <w:pPr>
              <w:snapToGrid w:val="0"/>
              <w:ind w:firstLineChars="200" w:firstLine="440"/>
              <w:rPr>
                <w:rFonts w:ascii="仿宋" w:eastAsia="仿宋" w:hAnsi="仿宋"/>
                <w:color w:val="000000"/>
                <w:sz w:val="22"/>
              </w:rPr>
            </w:pPr>
            <w:r>
              <w:rPr>
                <w:rFonts w:ascii="仿宋" w:eastAsia="仿宋" w:hAnsi="仿宋"/>
                <w:color w:val="000000"/>
                <w:sz w:val="22"/>
              </w:rPr>
              <w:t>赶工费用主要有公司对加班班组发放的加班工资及补贴，以及有些班组承受不了赶工的压力选择提前退场或者退出部分施工范围，公司就不得不紧急以更高的</w:t>
            </w:r>
            <w:r>
              <w:rPr>
                <w:rFonts w:ascii="仿宋" w:eastAsia="仿宋" w:hAnsi="仿宋"/>
                <w:color w:val="000000"/>
                <w:sz w:val="22"/>
              </w:rPr>
              <w:t>价格临时聘请施工人员。</w:t>
            </w:r>
          </w:p>
          <w:p w:rsidR="00620A02" w:rsidRDefault="00620A02">
            <w:pPr>
              <w:snapToGrid w:val="0"/>
              <w:rPr>
                <w:rFonts w:ascii="仿宋" w:eastAsia="仿宋" w:hAnsi="仿宋"/>
                <w:color w:val="000000"/>
                <w:sz w:val="22"/>
              </w:rPr>
            </w:pPr>
          </w:p>
          <w:p w:rsidR="00620A02" w:rsidRDefault="005F3EA7">
            <w:pPr>
              <w:numPr>
                <w:ilvl w:val="0"/>
                <w:numId w:val="33"/>
              </w:numPr>
              <w:snapToGrid w:val="0"/>
              <w:ind w:firstLine="0"/>
              <w:rPr>
                <w:rFonts w:ascii="仿宋" w:eastAsia="仿宋" w:hAnsi="仿宋"/>
                <w:b/>
                <w:bCs/>
                <w:color w:val="000000"/>
                <w:sz w:val="22"/>
              </w:rPr>
            </w:pPr>
            <w:r>
              <w:rPr>
                <w:rFonts w:ascii="仿宋" w:eastAsia="仿宋" w:hAnsi="仿宋"/>
                <w:b/>
                <w:bCs/>
                <w:color w:val="000000"/>
                <w:sz w:val="22"/>
              </w:rPr>
              <w:t>公司的现金流一直很不错，请介绍一下公司是如何收款的？</w:t>
            </w:r>
          </w:p>
          <w:p w:rsidR="00620A02" w:rsidRDefault="005F3EA7">
            <w:pPr>
              <w:snapToGrid w:val="0"/>
              <w:ind w:firstLineChars="200" w:firstLine="440"/>
              <w:rPr>
                <w:rFonts w:ascii="微软雅黑" w:eastAsia="微软雅黑" w:hAnsi="微软雅黑"/>
                <w:color w:val="000000"/>
                <w:szCs w:val="21"/>
              </w:rPr>
            </w:pPr>
            <w:r>
              <w:rPr>
                <w:rFonts w:ascii="仿宋" w:eastAsia="仿宋" w:hAnsi="仿宋"/>
                <w:color w:val="000000"/>
                <w:sz w:val="22"/>
              </w:rPr>
              <w:t>从经营模式上理解，精装修是房地产交付的最后一个环节，也是与业主接触最紧密的环节，按时支付进度款可以保障正常施工、顺利交楼，装修款占房地产造价的比例很低，所以开发商通常不会、也没有必要拖欠进度款。至于结算款，住宅批量精装修属于和开发商的重复交易，重复交易就需要双方互讲诚信，长期的合作中开发商也会正常支付。</w:t>
            </w:r>
          </w:p>
          <w:p w:rsidR="00620A02" w:rsidRDefault="005F3EA7">
            <w:pPr>
              <w:snapToGrid w:val="0"/>
              <w:ind w:firstLineChars="200" w:firstLine="440"/>
              <w:rPr>
                <w:rFonts w:ascii="仿宋" w:eastAsia="仿宋" w:hAnsi="仿宋"/>
                <w:color w:val="000000"/>
                <w:sz w:val="22"/>
              </w:rPr>
            </w:pPr>
            <w:r>
              <w:rPr>
                <w:rFonts w:ascii="仿宋" w:eastAsia="仿宋" w:hAnsi="仿宋"/>
                <w:color w:val="000000"/>
                <w:sz w:val="22"/>
              </w:rPr>
              <w:t>同时，公司良好的收款情况是公司优选客户，优选项目，强化内部管理的结果。第一，公司收入的</w:t>
            </w:r>
            <w:r>
              <w:rPr>
                <w:rFonts w:ascii="'Times New Roman'" w:eastAsia="'Times New Roman'" w:hAnsi="'Times New Roman'"/>
                <w:color w:val="000000"/>
                <w:sz w:val="22"/>
              </w:rPr>
              <w:t>80%</w:t>
            </w:r>
            <w:r>
              <w:rPr>
                <w:rFonts w:ascii="仿宋" w:eastAsia="仿宋" w:hAnsi="仿宋"/>
                <w:color w:val="000000"/>
                <w:sz w:val="22"/>
              </w:rPr>
              <w:t>以上来自于上市公司，地产前</w:t>
            </w:r>
            <w:r>
              <w:rPr>
                <w:rFonts w:ascii="仿宋" w:eastAsia="仿宋" w:hAnsi="仿宋"/>
                <w:color w:val="000000"/>
                <w:sz w:val="22"/>
              </w:rPr>
              <w:t>20</w:t>
            </w:r>
            <w:r>
              <w:rPr>
                <w:rFonts w:ascii="仿宋" w:eastAsia="仿宋" w:hAnsi="仿宋"/>
                <w:color w:val="000000"/>
                <w:sz w:val="22"/>
              </w:rPr>
              <w:t>强我们做了最优质的</w:t>
            </w:r>
            <w:r>
              <w:rPr>
                <w:rFonts w:ascii="仿宋" w:eastAsia="仿宋" w:hAnsi="仿宋"/>
                <w:color w:val="000000"/>
                <w:sz w:val="22"/>
              </w:rPr>
              <w:t>80%</w:t>
            </w:r>
            <w:r>
              <w:rPr>
                <w:rFonts w:ascii="仿宋" w:eastAsia="仿宋" w:hAnsi="仿宋"/>
                <w:color w:val="000000"/>
                <w:sz w:val="22"/>
              </w:rPr>
              <w:t>，也就是</w:t>
            </w:r>
            <w:r>
              <w:rPr>
                <w:rFonts w:ascii="仿宋" w:eastAsia="仿宋" w:hAnsi="仿宋"/>
                <w:color w:val="000000"/>
                <w:sz w:val="22"/>
              </w:rPr>
              <w:t>16</w:t>
            </w:r>
            <w:r>
              <w:rPr>
                <w:rFonts w:ascii="仿宋" w:eastAsia="仿宋" w:hAnsi="仿宋"/>
                <w:color w:val="000000"/>
                <w:sz w:val="22"/>
              </w:rPr>
              <w:t>家。这在一定程度上保证了我们的回款率。第二，除了优选客户，单个项目优质与否也非常重要，承接任务前公司会进行谨慎的判断。第三，即便已经选择了好的客户、好的项目，我们照样要做好每一个环节的内部管控，始终将款项回收作为重要指标进行管理。公司一直以来高度重视财务安全与财务质量，今年加大了应收账款的回收力度，建立了严格的管理、考核与奖惩制度，审计收款成为公司高度重视的常态化管理工作。</w:t>
            </w:r>
          </w:p>
          <w:p w:rsidR="00620A02" w:rsidRDefault="005F3EA7">
            <w:pPr>
              <w:snapToGrid w:val="0"/>
              <w:ind w:firstLineChars="200" w:firstLine="440"/>
              <w:rPr>
                <w:rFonts w:ascii="仿宋" w:eastAsia="仿宋" w:hAnsi="仿宋"/>
                <w:color w:val="000000"/>
                <w:sz w:val="22"/>
              </w:rPr>
            </w:pPr>
            <w:r>
              <w:rPr>
                <w:rFonts w:ascii="仿宋" w:eastAsia="仿宋" w:hAnsi="仿宋"/>
                <w:color w:val="000000"/>
                <w:sz w:val="22"/>
              </w:rPr>
              <w:t>项目收款主要分为三部分：进度款、结算款与质保金。进度款</w:t>
            </w:r>
            <w:r>
              <w:rPr>
                <w:rFonts w:ascii="仿宋" w:eastAsia="仿宋" w:hAnsi="仿宋"/>
                <w:color w:val="000000"/>
                <w:sz w:val="22"/>
              </w:rPr>
              <w:t>‍‍</w:t>
            </w:r>
            <w:r>
              <w:rPr>
                <w:rFonts w:ascii="仿宋" w:eastAsia="仿宋" w:hAnsi="仿宋"/>
                <w:color w:val="000000"/>
                <w:sz w:val="22"/>
              </w:rPr>
              <w:t>有两种：按</w:t>
            </w:r>
            <w:r>
              <w:rPr>
                <w:rFonts w:ascii="仿宋" w:eastAsia="仿宋" w:hAnsi="仿宋"/>
                <w:color w:val="000000"/>
                <w:sz w:val="22"/>
              </w:rPr>
              <w:t>节点付款、按月付款。</w:t>
            </w:r>
            <w:r>
              <w:rPr>
                <w:rFonts w:ascii="仿宋" w:eastAsia="仿宋" w:hAnsi="仿宋"/>
                <w:color w:val="000000"/>
                <w:sz w:val="22"/>
              </w:rPr>
              <w:t>‍‍</w:t>
            </w:r>
            <w:r>
              <w:rPr>
                <w:rFonts w:ascii="仿宋" w:eastAsia="仿宋" w:hAnsi="仿宋"/>
                <w:color w:val="000000"/>
                <w:sz w:val="22"/>
              </w:rPr>
              <w:t>后者是主流，按节点付款是一种辅助方式</w:t>
            </w:r>
            <w:r>
              <w:rPr>
                <w:rFonts w:ascii="仿宋" w:eastAsia="仿宋" w:hAnsi="仿宋"/>
                <w:color w:val="000000"/>
                <w:sz w:val="22"/>
              </w:rPr>
              <w:t>‍</w:t>
            </w:r>
            <w:r>
              <w:rPr>
                <w:rFonts w:ascii="仿宋" w:eastAsia="仿宋" w:hAnsi="仿宋"/>
                <w:color w:val="000000"/>
                <w:sz w:val="22"/>
              </w:rPr>
              <w:t>。进度款是按月支付上个月工程完成量的</w:t>
            </w:r>
            <w:r>
              <w:rPr>
                <w:rFonts w:ascii="仿宋" w:eastAsia="仿宋" w:hAnsi="仿宋"/>
                <w:color w:val="000000"/>
                <w:sz w:val="22"/>
              </w:rPr>
              <w:t>70~85%</w:t>
            </w:r>
            <w:r>
              <w:rPr>
                <w:rFonts w:ascii="仿宋" w:eastAsia="仿宋" w:hAnsi="仿宋"/>
                <w:color w:val="000000"/>
                <w:sz w:val="22"/>
              </w:rPr>
              <w:t>。结算款的</w:t>
            </w:r>
            <w:r>
              <w:rPr>
                <w:rFonts w:ascii="仿宋" w:eastAsia="仿宋" w:hAnsi="仿宋"/>
                <w:color w:val="000000"/>
                <w:sz w:val="22"/>
              </w:rPr>
              <w:t>‍‍</w:t>
            </w:r>
            <w:r>
              <w:rPr>
                <w:rFonts w:ascii="仿宋" w:eastAsia="仿宋" w:hAnsi="仿宋"/>
                <w:color w:val="000000"/>
                <w:sz w:val="22"/>
              </w:rPr>
              <w:t>审核周期相对较长，从竣工交付到结算收款大约在</w:t>
            </w:r>
            <w:r>
              <w:rPr>
                <w:rFonts w:ascii="仿宋" w:eastAsia="仿宋" w:hAnsi="仿宋"/>
                <w:color w:val="000000"/>
                <w:sz w:val="22"/>
              </w:rPr>
              <w:t>6-18</w:t>
            </w:r>
            <w:r>
              <w:rPr>
                <w:rFonts w:ascii="仿宋" w:eastAsia="仿宋" w:hAnsi="仿宋"/>
                <w:color w:val="000000"/>
                <w:sz w:val="22"/>
              </w:rPr>
              <w:t>个月之间。</w:t>
            </w:r>
            <w:r>
              <w:rPr>
                <w:rFonts w:ascii="仿宋" w:eastAsia="仿宋" w:hAnsi="仿宋"/>
                <w:color w:val="000000"/>
                <w:sz w:val="22"/>
              </w:rPr>
              <w:t>‍‍</w:t>
            </w:r>
            <w:r>
              <w:rPr>
                <w:rFonts w:ascii="仿宋" w:eastAsia="仿宋" w:hAnsi="仿宋"/>
                <w:color w:val="000000"/>
                <w:sz w:val="22"/>
              </w:rPr>
              <w:t>质保金通常为</w:t>
            </w:r>
            <w:r>
              <w:rPr>
                <w:rFonts w:ascii="仿宋" w:eastAsia="仿宋" w:hAnsi="仿宋"/>
                <w:color w:val="000000"/>
                <w:sz w:val="22"/>
              </w:rPr>
              <w:t>2</w:t>
            </w:r>
            <w:r>
              <w:rPr>
                <w:rFonts w:ascii="仿宋" w:eastAsia="仿宋" w:hAnsi="仿宋"/>
                <w:color w:val="000000"/>
                <w:sz w:val="22"/>
              </w:rPr>
              <w:t>年，到期收取</w:t>
            </w:r>
            <w:r>
              <w:rPr>
                <w:rFonts w:ascii="仿宋" w:eastAsia="仿宋" w:hAnsi="仿宋"/>
                <w:color w:val="000000"/>
                <w:sz w:val="22"/>
              </w:rPr>
              <w:t>3%~5%</w:t>
            </w:r>
            <w:r>
              <w:rPr>
                <w:rFonts w:ascii="仿宋" w:eastAsia="仿宋" w:hAnsi="仿宋"/>
                <w:color w:val="000000"/>
                <w:sz w:val="22"/>
              </w:rPr>
              <w:t>。</w:t>
            </w:r>
          </w:p>
          <w:p w:rsidR="00620A02" w:rsidRDefault="00620A02">
            <w:pPr>
              <w:snapToGrid w:val="0"/>
              <w:ind w:firstLineChars="200" w:firstLine="440"/>
              <w:rPr>
                <w:rFonts w:ascii="仿宋" w:eastAsia="仿宋" w:hAnsi="仿宋"/>
                <w:color w:val="000000"/>
                <w:sz w:val="22"/>
              </w:rPr>
            </w:pPr>
          </w:p>
          <w:p w:rsidR="00620A02" w:rsidRDefault="005F3EA7">
            <w:pPr>
              <w:numPr>
                <w:ilvl w:val="0"/>
                <w:numId w:val="33"/>
              </w:numPr>
              <w:snapToGrid w:val="0"/>
              <w:rPr>
                <w:rFonts w:ascii="仿宋" w:eastAsia="仿宋" w:hAnsi="仿宋"/>
                <w:b/>
                <w:bCs/>
                <w:color w:val="000000"/>
                <w:sz w:val="22"/>
              </w:rPr>
            </w:pPr>
            <w:r>
              <w:rPr>
                <w:rFonts w:ascii="仿宋" w:eastAsia="仿宋" w:hAnsi="仿宋"/>
                <w:b/>
                <w:bCs/>
                <w:color w:val="000000"/>
                <w:sz w:val="22"/>
              </w:rPr>
              <w:t>公司三季度报表解读提到坏账准备的计提具有不确定性，为什么？</w:t>
            </w:r>
          </w:p>
          <w:p w:rsidR="00620A02" w:rsidRDefault="005F3EA7">
            <w:pPr>
              <w:snapToGrid w:val="0"/>
              <w:ind w:firstLineChars="200" w:firstLine="440"/>
              <w:rPr>
                <w:rFonts w:ascii="仿宋" w:eastAsia="仿宋" w:hAnsi="仿宋"/>
                <w:color w:val="000000"/>
                <w:sz w:val="22"/>
              </w:rPr>
            </w:pPr>
            <w:r>
              <w:rPr>
                <w:rFonts w:ascii="仿宋" w:eastAsia="仿宋" w:hAnsi="仿宋"/>
                <w:color w:val="000000"/>
                <w:sz w:val="22"/>
              </w:rPr>
              <w:t>主要是因为今年下半年新增了房地产行业三条红线的影响，应收账款的回收是否能达到预期还不能完全判断，这个会影响坏账的计提。</w:t>
            </w:r>
          </w:p>
          <w:p w:rsidR="00620A02" w:rsidRDefault="00620A02">
            <w:pPr>
              <w:snapToGrid w:val="0"/>
              <w:ind w:firstLineChars="200" w:firstLine="420"/>
              <w:rPr>
                <w:rFonts w:ascii="微软雅黑" w:eastAsia="微软雅黑" w:hAnsi="微软雅黑"/>
                <w:color w:val="000000"/>
                <w:szCs w:val="21"/>
              </w:rPr>
            </w:pPr>
          </w:p>
          <w:p w:rsidR="00620A02" w:rsidRDefault="005F3EA7">
            <w:pPr>
              <w:numPr>
                <w:ilvl w:val="0"/>
                <w:numId w:val="33"/>
              </w:numPr>
              <w:snapToGrid w:val="0"/>
              <w:ind w:firstLine="0"/>
              <w:rPr>
                <w:rFonts w:ascii="仿宋" w:eastAsia="仿宋" w:hAnsi="仿宋"/>
                <w:b/>
                <w:bCs/>
                <w:color w:val="000000"/>
                <w:sz w:val="22"/>
              </w:rPr>
            </w:pPr>
            <w:r>
              <w:rPr>
                <w:rFonts w:ascii="仿宋" w:eastAsia="仿宋" w:hAnsi="仿宋"/>
                <w:b/>
                <w:bCs/>
                <w:color w:val="000000"/>
                <w:sz w:val="22"/>
              </w:rPr>
              <w:t>今年上半年由于疫情的影响，很多企业的营业收入都大幅下降了，但是公司反而没受到什么影响，为什么？</w:t>
            </w:r>
          </w:p>
          <w:p w:rsidR="00620A02" w:rsidRDefault="005F3EA7">
            <w:pPr>
              <w:snapToGrid w:val="0"/>
              <w:rPr>
                <w:rFonts w:ascii="仿宋" w:eastAsia="仿宋" w:hAnsi="仿宋"/>
                <w:color w:val="000000"/>
                <w:sz w:val="22"/>
              </w:rPr>
            </w:pPr>
            <w:r>
              <w:rPr>
                <w:rFonts w:ascii="仿宋" w:eastAsia="仿宋" w:hAnsi="仿宋"/>
                <w:b/>
                <w:bCs/>
                <w:color w:val="000000"/>
                <w:sz w:val="22"/>
              </w:rPr>
              <w:t xml:space="preserve"> </w:t>
            </w:r>
            <w:r>
              <w:rPr>
                <w:rFonts w:ascii="仿宋" w:eastAsia="仿宋" w:hAnsi="仿宋"/>
                <w:b/>
                <w:bCs/>
                <w:color w:val="000000"/>
                <w:sz w:val="22"/>
              </w:rPr>
              <w:t xml:space="preserve">   </w:t>
            </w:r>
            <w:r>
              <w:rPr>
                <w:rFonts w:ascii="仿宋" w:eastAsia="仿宋" w:hAnsi="仿宋"/>
                <w:color w:val="000000"/>
                <w:sz w:val="22"/>
              </w:rPr>
              <w:t>我们这个行业的细分市场具有特殊性，第一季度基本上处于春节前后，农民工走的早来的晚，一季度营业收入占全年的比例都比较低；另外，装修项目的各施工节点相对比较确定，公司需要按照原定的节点完成，所以第二季度对比第一季度增速会高一些，另外很多上市公司半年度也要结算收入和利润，故我们的营业收入还是保持在一个较为稳定的水平。</w:t>
            </w:r>
          </w:p>
          <w:p w:rsidR="00620A02" w:rsidRDefault="00620A02">
            <w:pPr>
              <w:snapToGrid w:val="0"/>
              <w:ind w:firstLineChars="200" w:firstLine="440"/>
              <w:rPr>
                <w:rFonts w:ascii="仿宋" w:eastAsia="仿宋" w:hAnsi="仿宋"/>
                <w:color w:val="000000"/>
                <w:sz w:val="22"/>
              </w:rPr>
            </w:pPr>
          </w:p>
          <w:p w:rsidR="00620A02" w:rsidRDefault="005F3EA7">
            <w:pPr>
              <w:numPr>
                <w:ilvl w:val="0"/>
                <w:numId w:val="33"/>
              </w:numPr>
              <w:snapToGrid w:val="0"/>
              <w:ind w:firstLine="0"/>
              <w:rPr>
                <w:rFonts w:ascii="仿宋" w:eastAsia="仿宋" w:hAnsi="仿宋"/>
                <w:b/>
                <w:bCs/>
                <w:color w:val="000000"/>
                <w:sz w:val="22"/>
              </w:rPr>
            </w:pPr>
            <w:r>
              <w:rPr>
                <w:rFonts w:ascii="仿宋" w:eastAsia="仿宋" w:hAnsi="仿宋"/>
                <w:b/>
                <w:bCs/>
                <w:color w:val="000000"/>
                <w:sz w:val="22"/>
              </w:rPr>
              <w:t>请谈一谈公司</w:t>
            </w:r>
            <w:r>
              <w:rPr>
                <w:rFonts w:ascii="仿宋" w:eastAsia="仿宋" w:hAnsi="仿宋"/>
                <w:b/>
                <w:bCs/>
                <w:color w:val="000000"/>
                <w:sz w:val="22"/>
              </w:rPr>
              <w:t>3-5</w:t>
            </w:r>
            <w:r>
              <w:rPr>
                <w:rFonts w:ascii="仿宋" w:eastAsia="仿宋" w:hAnsi="仿宋"/>
                <w:b/>
                <w:bCs/>
                <w:color w:val="000000"/>
                <w:sz w:val="22"/>
              </w:rPr>
              <w:t>年的规划。</w:t>
            </w:r>
          </w:p>
          <w:p w:rsidR="00620A02" w:rsidRDefault="005F3EA7">
            <w:pPr>
              <w:snapToGrid w:val="0"/>
              <w:ind w:firstLineChars="200" w:firstLine="440"/>
              <w:rPr>
                <w:rFonts w:ascii="仿宋" w:eastAsia="仿宋" w:hAnsi="仿宋"/>
                <w:b/>
                <w:bCs/>
                <w:color w:val="000000"/>
                <w:sz w:val="22"/>
              </w:rPr>
            </w:pPr>
            <w:r>
              <w:rPr>
                <w:rFonts w:ascii="仿宋" w:eastAsia="仿宋" w:hAnsi="仿宋"/>
                <w:color w:val="000000"/>
                <w:sz w:val="22"/>
              </w:rPr>
              <w:t>公司会始终立足于批量精装修市场，心无旁骛，深耕主业，提升份额。在均好中加速、有质量地增长。方向已定，干就完了。还是说说眼前的改进。</w:t>
            </w:r>
          </w:p>
          <w:p w:rsidR="00620A02" w:rsidRDefault="005F3EA7">
            <w:pPr>
              <w:numPr>
                <w:ilvl w:val="0"/>
                <w:numId w:val="32"/>
              </w:numPr>
              <w:snapToGrid w:val="0"/>
              <w:ind w:leftChars="209" w:left="791" w:hangingChars="160" w:hanging="352"/>
              <w:rPr>
                <w:rFonts w:ascii="仿宋" w:eastAsia="仿宋" w:hAnsi="仿宋"/>
                <w:color w:val="000000"/>
                <w:sz w:val="22"/>
              </w:rPr>
            </w:pPr>
            <w:r>
              <w:rPr>
                <w:rFonts w:ascii="仿宋" w:eastAsia="仿宋" w:hAnsi="仿宋"/>
                <w:color w:val="000000"/>
                <w:sz w:val="22"/>
              </w:rPr>
              <w:t>提高营销能力，公司正大力招聘</w:t>
            </w:r>
            <w:r>
              <w:rPr>
                <w:rFonts w:ascii="仿宋" w:eastAsia="仿宋" w:hAnsi="仿宋"/>
                <w:color w:val="000000"/>
                <w:sz w:val="22"/>
              </w:rPr>
              <w:t>更多的市场营销人才，努力提升营销的专业化水平。</w:t>
            </w:r>
          </w:p>
          <w:p w:rsidR="00620A02" w:rsidRDefault="005F3EA7">
            <w:pPr>
              <w:numPr>
                <w:ilvl w:val="0"/>
                <w:numId w:val="32"/>
              </w:numPr>
              <w:snapToGrid w:val="0"/>
              <w:ind w:leftChars="209" w:left="791" w:hangingChars="160" w:hanging="352"/>
              <w:rPr>
                <w:rFonts w:ascii="仿宋" w:eastAsia="仿宋" w:hAnsi="仿宋"/>
                <w:color w:val="000000"/>
                <w:sz w:val="22"/>
              </w:rPr>
            </w:pPr>
            <w:r>
              <w:rPr>
                <w:rFonts w:ascii="仿宋" w:eastAsia="仿宋" w:hAnsi="仿宋"/>
                <w:color w:val="000000"/>
                <w:sz w:val="22"/>
              </w:rPr>
              <w:t>扩充投标队伍，实行投标资格认定，提高投标水平与中标率。</w:t>
            </w:r>
          </w:p>
          <w:p w:rsidR="00620A02" w:rsidRDefault="005F3EA7">
            <w:pPr>
              <w:numPr>
                <w:ilvl w:val="0"/>
                <w:numId w:val="32"/>
              </w:numPr>
              <w:snapToGrid w:val="0"/>
              <w:ind w:leftChars="209" w:left="791" w:hangingChars="160" w:hanging="352"/>
              <w:rPr>
                <w:rFonts w:ascii="仿宋" w:eastAsia="仿宋" w:hAnsi="仿宋"/>
                <w:color w:val="000000"/>
                <w:sz w:val="22"/>
              </w:rPr>
            </w:pPr>
            <w:r>
              <w:rPr>
                <w:rFonts w:ascii="仿宋" w:eastAsia="仿宋" w:hAnsi="仿宋"/>
                <w:color w:val="000000"/>
                <w:sz w:val="22"/>
              </w:rPr>
              <w:t>增加一个新的关于劳务管理的部门以实现对劳务资源的有效管理。</w:t>
            </w:r>
          </w:p>
          <w:p w:rsidR="00620A02" w:rsidRDefault="00620A02">
            <w:pPr>
              <w:snapToGrid w:val="0"/>
              <w:rPr>
                <w:rFonts w:ascii="仿宋" w:eastAsia="仿宋" w:hAnsi="仿宋"/>
                <w:b/>
                <w:bCs/>
                <w:color w:val="000000"/>
                <w:sz w:val="22"/>
              </w:rPr>
            </w:pPr>
          </w:p>
          <w:p w:rsidR="00620A02" w:rsidRDefault="005F3EA7">
            <w:pPr>
              <w:numPr>
                <w:ilvl w:val="0"/>
                <w:numId w:val="33"/>
              </w:numPr>
              <w:snapToGrid w:val="0"/>
              <w:rPr>
                <w:rFonts w:ascii="仿宋" w:eastAsia="仿宋" w:hAnsi="仿宋"/>
                <w:b/>
                <w:bCs/>
                <w:color w:val="000000"/>
                <w:sz w:val="22"/>
              </w:rPr>
            </w:pPr>
            <w:r>
              <w:rPr>
                <w:rFonts w:ascii="仿宋" w:eastAsia="仿宋" w:hAnsi="仿宋"/>
                <w:b/>
                <w:bCs/>
                <w:color w:val="000000"/>
                <w:sz w:val="22"/>
              </w:rPr>
              <w:t>公司对于市场份额有着怎样的期待，现在的市场环境对于我们提升市场份额有怎样的影响？</w:t>
            </w:r>
          </w:p>
          <w:p w:rsidR="00620A02" w:rsidRDefault="005F3EA7">
            <w:pPr>
              <w:snapToGrid w:val="0"/>
              <w:ind w:firstLineChars="200" w:firstLine="440"/>
              <w:rPr>
                <w:rFonts w:ascii="仿宋" w:eastAsia="仿宋" w:hAnsi="仿宋"/>
                <w:color w:val="000000"/>
                <w:sz w:val="22"/>
              </w:rPr>
            </w:pPr>
            <w:r>
              <w:rPr>
                <w:rFonts w:ascii="仿宋" w:eastAsia="仿宋" w:hAnsi="仿宋"/>
                <w:color w:val="000000"/>
                <w:sz w:val="22"/>
              </w:rPr>
              <w:t>万科</w:t>
            </w:r>
            <w:r>
              <w:rPr>
                <w:rFonts w:ascii="仿宋" w:eastAsia="仿宋" w:hAnsi="仿宋"/>
                <w:color w:val="000000"/>
                <w:sz w:val="22"/>
              </w:rPr>
              <w:t>2</w:t>
            </w:r>
            <w:r>
              <w:rPr>
                <w:rFonts w:ascii="'Times New Roman'" w:eastAsia="'Times New Roman'" w:hAnsi="'Times New Roman'"/>
                <w:color w:val="000000"/>
                <w:sz w:val="22"/>
              </w:rPr>
              <w:t>0</w:t>
            </w:r>
            <w:r>
              <w:rPr>
                <w:rFonts w:ascii="仿宋" w:eastAsia="仿宋" w:hAnsi="仿宋"/>
                <w:color w:val="000000"/>
                <w:sz w:val="22"/>
              </w:rPr>
              <w:t>年前市场占有率就是</w:t>
            </w:r>
            <w:r>
              <w:rPr>
                <w:rFonts w:ascii="仿宋" w:eastAsia="仿宋" w:hAnsi="仿宋"/>
                <w:color w:val="000000"/>
                <w:sz w:val="22"/>
              </w:rPr>
              <w:t>1%</w:t>
            </w:r>
            <w:r>
              <w:rPr>
                <w:rFonts w:ascii="仿宋" w:eastAsia="仿宋" w:hAnsi="仿宋"/>
                <w:color w:val="000000"/>
                <w:sz w:val="22"/>
              </w:rPr>
              <w:t>，现在大约</w:t>
            </w:r>
            <w:r>
              <w:rPr>
                <w:rFonts w:ascii="Times New Roman" w:eastAsia="Times New Roman" w:hAnsi="Times New Roman"/>
                <w:color w:val="000000"/>
                <w:sz w:val="22"/>
              </w:rPr>
              <w:t>5%</w:t>
            </w:r>
            <w:r>
              <w:rPr>
                <w:rFonts w:ascii="仿宋" w:eastAsia="仿宋" w:hAnsi="仿宋"/>
                <w:color w:val="000000"/>
                <w:sz w:val="22"/>
              </w:rPr>
              <w:t>左右，这个给我们指引了方向，我们希望向万科学习，将</w:t>
            </w:r>
            <w:r>
              <w:rPr>
                <w:rFonts w:ascii="Times New Roman" w:eastAsia="Times New Roman" w:hAnsi="Times New Roman"/>
                <w:color w:val="000000"/>
                <w:sz w:val="22"/>
              </w:rPr>
              <w:t>5%</w:t>
            </w:r>
            <w:r>
              <w:rPr>
                <w:rFonts w:ascii="仿宋" w:eastAsia="仿宋" w:hAnsi="仿宋"/>
                <w:color w:val="000000"/>
                <w:sz w:val="22"/>
              </w:rPr>
              <w:t>作为一个中长期的目标。当前市场环境不容乐观，但是对于提高精装修行业的市场集中度反而是有利的，大浪淘沙，真正有实力、有口碑的公司就会更加迅速地发展。公司</w:t>
            </w:r>
            <w:r>
              <w:rPr>
                <w:rFonts w:ascii="仿宋" w:eastAsia="仿宋" w:hAnsi="仿宋"/>
                <w:color w:val="000000"/>
                <w:sz w:val="22"/>
              </w:rPr>
              <w:t>会一如既往的扩大市场开拓力度，努力提高市场占有率。</w:t>
            </w:r>
          </w:p>
          <w:p w:rsidR="00620A02" w:rsidRDefault="00620A02">
            <w:pPr>
              <w:snapToGrid w:val="0"/>
              <w:rPr>
                <w:rFonts w:ascii="仿宋" w:eastAsia="仿宋" w:hAnsi="仿宋"/>
                <w:color w:val="000000"/>
                <w:sz w:val="22"/>
              </w:rPr>
            </w:pPr>
          </w:p>
          <w:p w:rsidR="00620A02" w:rsidRDefault="005F3EA7">
            <w:pPr>
              <w:numPr>
                <w:ilvl w:val="0"/>
                <w:numId w:val="33"/>
              </w:numPr>
              <w:snapToGrid w:val="0"/>
              <w:ind w:firstLine="0"/>
              <w:rPr>
                <w:rFonts w:ascii="仿宋" w:eastAsia="仿宋" w:hAnsi="仿宋"/>
                <w:b/>
                <w:bCs/>
                <w:color w:val="000000"/>
                <w:sz w:val="22"/>
              </w:rPr>
            </w:pPr>
            <w:r>
              <w:rPr>
                <w:rFonts w:ascii="仿宋" w:eastAsia="仿宋" w:hAnsi="仿宋"/>
                <w:b/>
                <w:bCs/>
                <w:color w:val="000000"/>
                <w:sz w:val="22"/>
              </w:rPr>
              <w:t>对房地产行业三条红线的看法？</w:t>
            </w:r>
          </w:p>
          <w:p w:rsidR="00620A02" w:rsidRDefault="005F3EA7">
            <w:pPr>
              <w:snapToGrid w:val="0"/>
              <w:ind w:firstLineChars="200" w:firstLine="440"/>
              <w:rPr>
                <w:rFonts w:ascii="仿宋" w:eastAsia="仿宋" w:hAnsi="仿宋"/>
                <w:color w:val="000000"/>
                <w:sz w:val="22"/>
              </w:rPr>
            </w:pPr>
            <w:r>
              <w:rPr>
                <w:rFonts w:ascii="仿宋" w:eastAsia="仿宋" w:hAnsi="仿宋"/>
                <w:color w:val="000000"/>
                <w:sz w:val="22"/>
              </w:rPr>
              <w:t>政策的出台从长期来看是一件好事，能够控制房地产企业的负债率，驱动行业走向管理红利时代。我们认为对供应商来说更加安全，符合我们公司的风格与倾向。在短期内客户可能会优先减少有息负债，可能会减少对外的支付，加大以房抵工程款，对公司产生一些不利影响。公司对风险有所预判，始终优选项目与甲方，客户质量较高，不存在较大风险。</w:t>
            </w:r>
          </w:p>
          <w:p w:rsidR="00620A02" w:rsidRDefault="00620A02">
            <w:pPr>
              <w:snapToGrid w:val="0"/>
              <w:ind w:firstLineChars="200" w:firstLine="440"/>
              <w:rPr>
                <w:rFonts w:ascii="仿宋" w:eastAsia="仿宋" w:hAnsi="仿宋"/>
                <w:color w:val="000000"/>
                <w:sz w:val="22"/>
              </w:rPr>
            </w:pPr>
          </w:p>
          <w:p w:rsidR="00620A02" w:rsidRDefault="005F3EA7">
            <w:pPr>
              <w:numPr>
                <w:ilvl w:val="0"/>
                <w:numId w:val="33"/>
              </w:numPr>
              <w:snapToGrid w:val="0"/>
              <w:ind w:firstLine="0"/>
              <w:rPr>
                <w:rFonts w:ascii="仿宋" w:eastAsia="仿宋" w:hAnsi="仿宋"/>
                <w:b/>
                <w:bCs/>
                <w:color w:val="000000"/>
                <w:sz w:val="22"/>
              </w:rPr>
            </w:pPr>
            <w:r>
              <w:rPr>
                <w:rFonts w:ascii="仿宋" w:eastAsia="仿宋" w:hAnsi="仿宋"/>
                <w:b/>
                <w:bCs/>
                <w:color w:val="000000"/>
                <w:sz w:val="22"/>
              </w:rPr>
              <w:t>公司与同行业企业相比，在管理模式上最大的差异是什么？</w:t>
            </w:r>
          </w:p>
          <w:p w:rsidR="00620A02" w:rsidRDefault="005F3EA7">
            <w:pPr>
              <w:snapToGrid w:val="0"/>
              <w:ind w:firstLineChars="200" w:firstLine="440"/>
              <w:rPr>
                <w:rFonts w:ascii="仿宋" w:eastAsia="仿宋" w:hAnsi="仿宋"/>
                <w:color w:val="000000"/>
                <w:sz w:val="22"/>
              </w:rPr>
            </w:pPr>
            <w:r>
              <w:rPr>
                <w:rFonts w:ascii="仿宋" w:eastAsia="仿宋" w:hAnsi="仿宋"/>
                <w:color w:val="000000"/>
                <w:sz w:val="22"/>
              </w:rPr>
              <w:t>公司在管理模式上最大的差异是采用精细化管理。精细化</w:t>
            </w:r>
            <w:r>
              <w:rPr>
                <w:rFonts w:ascii="仿宋" w:eastAsia="仿宋" w:hAnsi="仿宋"/>
                <w:color w:val="000000"/>
                <w:sz w:val="22"/>
              </w:rPr>
              <w:lastRenderedPageBreak/>
              <w:t>管理属于</w:t>
            </w:r>
            <w:r>
              <w:rPr>
                <w:rFonts w:ascii="仿宋" w:eastAsia="仿宋" w:hAnsi="仿宋"/>
                <w:color w:val="000000"/>
                <w:sz w:val="22"/>
              </w:rPr>
              <w:t>公司的核心能力：</w:t>
            </w:r>
            <w:r>
              <w:rPr>
                <w:rFonts w:ascii="仿宋" w:eastAsia="仿宋" w:hAnsi="仿宋"/>
                <w:color w:val="000000"/>
                <w:sz w:val="22"/>
              </w:rPr>
              <w:t>1</w:t>
            </w:r>
            <w:r>
              <w:rPr>
                <w:rFonts w:ascii="仿宋" w:eastAsia="仿宋" w:hAnsi="仿宋"/>
                <w:color w:val="000000"/>
                <w:sz w:val="22"/>
              </w:rPr>
              <w:t>、批量精装修的细分市场具备精细化管理的充分条件。公装与家庭装修，更多属于个性化、定制化产品；而批量精装修属于标准化市场，装修套数批量足够多，但户型种类少，图纸能准确计算，可拆分的单元很细，这方面公司更像一个制造型企业，能标准化管理、精细化管控；</w:t>
            </w:r>
            <w:r>
              <w:rPr>
                <w:rFonts w:ascii="仿宋" w:eastAsia="仿宋" w:hAnsi="仿宋"/>
                <w:color w:val="000000"/>
                <w:sz w:val="22"/>
              </w:rPr>
              <w:t>2</w:t>
            </w:r>
            <w:r>
              <w:rPr>
                <w:rFonts w:ascii="仿宋" w:eastAsia="仿宋" w:hAnsi="仿宋"/>
                <w:color w:val="000000"/>
                <w:sz w:val="22"/>
              </w:rPr>
              <w:t>、公司实现了对材料和人工管控的精细化管理：材料均有编码、价格有比对、用量精准；人工采用了小劳务模式，每个项目拆分出</w:t>
            </w:r>
            <w:r>
              <w:rPr>
                <w:rFonts w:ascii="仿宋" w:eastAsia="仿宋" w:hAnsi="仿宋"/>
                <w:color w:val="000000"/>
                <w:sz w:val="22"/>
              </w:rPr>
              <w:t>10</w:t>
            </w:r>
            <w:r>
              <w:rPr>
                <w:rFonts w:ascii="仿宋" w:eastAsia="仿宋" w:hAnsi="仿宋"/>
                <w:color w:val="000000"/>
                <w:sz w:val="22"/>
              </w:rPr>
              <w:t>个左右的劳务班组，同一工种也引入</w:t>
            </w:r>
            <w:r>
              <w:rPr>
                <w:rFonts w:ascii="仿宋" w:eastAsia="仿宋" w:hAnsi="仿宋"/>
                <w:color w:val="000000"/>
                <w:sz w:val="22"/>
              </w:rPr>
              <w:t>2</w:t>
            </w:r>
            <w:r>
              <w:rPr>
                <w:rFonts w:ascii="仿宋" w:eastAsia="仿宋" w:hAnsi="仿宋"/>
                <w:color w:val="000000"/>
                <w:sz w:val="22"/>
              </w:rPr>
              <w:t>个以上的班组进行良性竞争，降低了无效成本；</w:t>
            </w:r>
            <w:r>
              <w:rPr>
                <w:rFonts w:ascii="仿宋" w:eastAsia="仿宋" w:hAnsi="仿宋"/>
                <w:color w:val="000000"/>
                <w:sz w:val="22"/>
              </w:rPr>
              <w:t>3</w:t>
            </w:r>
            <w:r>
              <w:rPr>
                <w:rFonts w:ascii="仿宋" w:eastAsia="仿宋" w:hAnsi="仿宋"/>
                <w:color w:val="000000"/>
                <w:sz w:val="22"/>
              </w:rPr>
              <w:t>、公司实现了对管理成本的精细化管理，公司三项费用率较</w:t>
            </w:r>
            <w:r>
              <w:rPr>
                <w:rFonts w:ascii="仿宋" w:eastAsia="仿宋" w:hAnsi="仿宋"/>
                <w:color w:val="000000"/>
                <w:sz w:val="22"/>
              </w:rPr>
              <w:t>低，</w:t>
            </w:r>
            <w:r>
              <w:rPr>
                <w:rFonts w:ascii="仿宋" w:eastAsia="仿宋" w:hAnsi="仿宋"/>
                <w:color w:val="000000"/>
                <w:sz w:val="22"/>
              </w:rPr>
              <w:t>2019</w:t>
            </w:r>
            <w:r>
              <w:rPr>
                <w:rFonts w:ascii="仿宋" w:eastAsia="仿宋" w:hAnsi="仿宋"/>
                <w:color w:val="000000"/>
                <w:sz w:val="22"/>
              </w:rPr>
              <w:t>年控制在</w:t>
            </w:r>
            <w:r>
              <w:rPr>
                <w:rFonts w:ascii="仿宋" w:eastAsia="仿宋" w:hAnsi="仿宋"/>
                <w:color w:val="000000"/>
                <w:sz w:val="22"/>
              </w:rPr>
              <w:t>5%</w:t>
            </w:r>
            <w:r>
              <w:rPr>
                <w:rFonts w:ascii="仿宋" w:eastAsia="仿宋" w:hAnsi="仿宋"/>
                <w:color w:val="000000"/>
                <w:sz w:val="22"/>
              </w:rPr>
              <w:t>左右，这得益于公司应收账款控制的好，财务费用长期保持在</w:t>
            </w:r>
            <w:r>
              <w:rPr>
                <w:rFonts w:ascii="仿宋" w:eastAsia="仿宋" w:hAnsi="仿宋"/>
                <w:color w:val="000000"/>
                <w:sz w:val="22"/>
              </w:rPr>
              <w:t>1%</w:t>
            </w:r>
            <w:r>
              <w:rPr>
                <w:rFonts w:ascii="仿宋" w:eastAsia="仿宋" w:hAnsi="仿宋"/>
                <w:color w:val="000000"/>
                <w:sz w:val="22"/>
              </w:rPr>
              <w:t>以内；营销成本低，公司均是大客户、回头客占比多，费用率也不超过</w:t>
            </w:r>
            <w:r>
              <w:rPr>
                <w:rFonts w:ascii="仿宋" w:eastAsia="仿宋" w:hAnsi="仿宋"/>
                <w:color w:val="000000"/>
                <w:sz w:val="22"/>
              </w:rPr>
              <w:t>1%</w:t>
            </w:r>
            <w:r>
              <w:rPr>
                <w:rFonts w:ascii="仿宋" w:eastAsia="仿宋" w:hAnsi="仿宋"/>
                <w:color w:val="000000"/>
                <w:sz w:val="22"/>
              </w:rPr>
              <w:t>；管理方面务实、实质重于形式。</w:t>
            </w:r>
          </w:p>
          <w:p w:rsidR="00620A02" w:rsidRDefault="00620A02">
            <w:pPr>
              <w:snapToGrid w:val="0"/>
              <w:ind w:firstLineChars="100" w:firstLine="220"/>
              <w:rPr>
                <w:rFonts w:ascii="仿宋" w:eastAsia="仿宋" w:hAnsi="仿宋"/>
                <w:color w:val="000000"/>
                <w:sz w:val="22"/>
              </w:rPr>
            </w:pPr>
          </w:p>
        </w:tc>
      </w:tr>
      <w:tr w:rsidR="00620A02">
        <w:trPr>
          <w:trHeight w:val="555"/>
        </w:trPr>
        <w:tc>
          <w:tcPr>
            <w:tcW w:w="2370" w:type="dxa"/>
            <w:tcBorders>
              <w:top w:val="single" w:sz="8" w:space="0" w:color="000000"/>
              <w:left w:val="single" w:sz="8" w:space="0" w:color="000000"/>
              <w:bottom w:val="single" w:sz="8" w:space="0" w:color="000000"/>
              <w:right w:val="single" w:sz="8" w:space="0" w:color="000000"/>
            </w:tcBorders>
          </w:tcPr>
          <w:p w:rsidR="00620A02" w:rsidRDefault="00620A02">
            <w:pPr>
              <w:snapToGrid w:val="0"/>
              <w:spacing w:before="7"/>
              <w:rPr>
                <w:rFonts w:ascii="宋体" w:eastAsia="宋体" w:hAnsi="宋体"/>
                <w:color w:val="000000"/>
                <w:sz w:val="18"/>
                <w:szCs w:val="18"/>
              </w:rPr>
            </w:pPr>
          </w:p>
          <w:p w:rsidR="00620A02" w:rsidRDefault="005F3EA7">
            <w:pPr>
              <w:snapToGrid w:val="0"/>
              <w:spacing w:before="1"/>
              <w:ind w:left="107"/>
              <w:rPr>
                <w:rFonts w:ascii="宋体" w:eastAsia="宋体" w:hAnsi="宋体"/>
                <w:color w:val="000000"/>
                <w:szCs w:val="21"/>
              </w:rPr>
            </w:pPr>
            <w:r>
              <w:rPr>
                <w:rFonts w:ascii="宋体" w:eastAsia="宋体" w:hAnsi="宋体"/>
                <w:color w:val="000000"/>
                <w:szCs w:val="21"/>
              </w:rPr>
              <w:t>附件清单（如有）</w:t>
            </w:r>
          </w:p>
        </w:tc>
        <w:tc>
          <w:tcPr>
            <w:tcW w:w="6135" w:type="dxa"/>
            <w:tcBorders>
              <w:top w:val="single" w:sz="8" w:space="0" w:color="000000"/>
              <w:left w:val="single" w:sz="8" w:space="0" w:color="000000"/>
              <w:bottom w:val="single" w:sz="8" w:space="0" w:color="000000"/>
              <w:right w:val="single" w:sz="8" w:space="0" w:color="000000"/>
            </w:tcBorders>
          </w:tcPr>
          <w:p w:rsidR="00620A02" w:rsidRDefault="00620A02">
            <w:pPr>
              <w:snapToGrid w:val="0"/>
              <w:rPr>
                <w:rFonts w:ascii="宋体" w:eastAsia="宋体" w:hAnsi="宋体"/>
                <w:color w:val="000000"/>
                <w:sz w:val="26"/>
                <w:szCs w:val="26"/>
              </w:rPr>
            </w:pPr>
          </w:p>
        </w:tc>
      </w:tr>
      <w:tr w:rsidR="00620A02">
        <w:trPr>
          <w:trHeight w:val="555"/>
        </w:trPr>
        <w:tc>
          <w:tcPr>
            <w:tcW w:w="2370" w:type="dxa"/>
            <w:tcBorders>
              <w:top w:val="single" w:sz="8" w:space="0" w:color="000000"/>
              <w:left w:val="single" w:sz="8" w:space="0" w:color="000000"/>
              <w:bottom w:val="single" w:sz="8" w:space="0" w:color="000000"/>
              <w:right w:val="single" w:sz="8" w:space="0" w:color="000000"/>
            </w:tcBorders>
          </w:tcPr>
          <w:p w:rsidR="00620A02" w:rsidRDefault="00620A02">
            <w:pPr>
              <w:snapToGrid w:val="0"/>
              <w:spacing w:before="7"/>
              <w:rPr>
                <w:rFonts w:ascii="宋体" w:eastAsia="宋体" w:hAnsi="宋体"/>
                <w:color w:val="000000"/>
                <w:sz w:val="18"/>
                <w:szCs w:val="18"/>
              </w:rPr>
            </w:pPr>
          </w:p>
          <w:p w:rsidR="00620A02" w:rsidRDefault="005F3EA7">
            <w:pPr>
              <w:snapToGrid w:val="0"/>
              <w:spacing w:before="1"/>
              <w:ind w:left="107"/>
              <w:rPr>
                <w:rFonts w:ascii="宋体" w:eastAsia="宋体" w:hAnsi="宋体"/>
                <w:color w:val="000000"/>
                <w:szCs w:val="21"/>
              </w:rPr>
            </w:pPr>
            <w:r>
              <w:rPr>
                <w:rFonts w:ascii="宋体" w:eastAsia="宋体" w:hAnsi="宋体"/>
                <w:color w:val="000000"/>
                <w:szCs w:val="21"/>
              </w:rPr>
              <w:t>日期</w:t>
            </w:r>
          </w:p>
        </w:tc>
        <w:tc>
          <w:tcPr>
            <w:tcW w:w="6135" w:type="dxa"/>
            <w:tcBorders>
              <w:top w:val="single" w:sz="8" w:space="0" w:color="000000"/>
              <w:left w:val="single" w:sz="8" w:space="0" w:color="000000"/>
              <w:bottom w:val="single" w:sz="8" w:space="0" w:color="000000"/>
              <w:right w:val="single" w:sz="8" w:space="0" w:color="000000"/>
            </w:tcBorders>
          </w:tcPr>
          <w:p w:rsidR="00620A02" w:rsidRDefault="005F3EA7">
            <w:pPr>
              <w:snapToGrid w:val="0"/>
              <w:rPr>
                <w:rFonts w:ascii="宋体" w:eastAsia="宋体" w:hAnsi="宋体"/>
                <w:color w:val="000000"/>
                <w:spacing w:val="-3"/>
                <w:szCs w:val="21"/>
              </w:rPr>
            </w:pPr>
            <w:r>
              <w:rPr>
                <w:rFonts w:ascii="Times New Roman" w:eastAsia="Times New Roman" w:hAnsi="Times New Roman"/>
                <w:color w:val="000000"/>
                <w:spacing w:val="-3"/>
                <w:szCs w:val="21"/>
              </w:rPr>
              <w:t>2020</w:t>
            </w:r>
            <w:r>
              <w:rPr>
                <w:rFonts w:ascii="宋体" w:eastAsia="宋体" w:hAnsi="宋体"/>
                <w:color w:val="000000"/>
                <w:spacing w:val="-3"/>
                <w:szCs w:val="21"/>
              </w:rPr>
              <w:t>年</w:t>
            </w:r>
            <w:r>
              <w:rPr>
                <w:rFonts w:ascii="Times New Roman" w:eastAsia="Times New Roman" w:hAnsi="Times New Roman"/>
                <w:color w:val="000000"/>
                <w:spacing w:val="-3"/>
                <w:szCs w:val="21"/>
              </w:rPr>
              <w:t>10</w:t>
            </w:r>
            <w:r>
              <w:rPr>
                <w:rFonts w:ascii="宋体" w:eastAsia="宋体" w:hAnsi="宋体"/>
                <w:color w:val="000000"/>
                <w:spacing w:val="-3"/>
                <w:szCs w:val="21"/>
              </w:rPr>
              <w:t>月</w:t>
            </w:r>
            <w:r>
              <w:rPr>
                <w:rFonts w:ascii="Times New Roman" w:eastAsia="Times New Roman" w:hAnsi="Times New Roman"/>
                <w:color w:val="000000"/>
                <w:spacing w:val="-3"/>
                <w:szCs w:val="21"/>
              </w:rPr>
              <w:t>29</w:t>
            </w:r>
            <w:r>
              <w:rPr>
                <w:rFonts w:ascii="宋体" w:eastAsia="宋体" w:hAnsi="宋体"/>
                <w:color w:val="000000"/>
                <w:spacing w:val="-3"/>
                <w:szCs w:val="21"/>
              </w:rPr>
              <w:t>日</w:t>
            </w:r>
          </w:p>
        </w:tc>
      </w:tr>
    </w:tbl>
    <w:p w:rsidR="00620A02" w:rsidRDefault="005F3EA7">
      <w:pPr>
        <w:snapToGrid w:val="0"/>
        <w:jc w:val="left"/>
        <w:rPr>
          <w:rFonts w:ascii="微软雅黑" w:eastAsia="微软雅黑" w:hAnsi="微软雅黑"/>
          <w:color w:val="000000"/>
          <w:szCs w:val="21"/>
        </w:rPr>
      </w:pPr>
      <w:r>
        <w:rPr>
          <w:rFonts w:ascii="宋体" w:eastAsia="宋体" w:hAnsi="宋体"/>
          <w:color w:val="000000"/>
          <w:sz w:val="28"/>
          <w:szCs w:val="28"/>
        </w:rPr>
        <w:t xml:space="preserve"> </w:t>
      </w:r>
    </w:p>
    <w:sectPr w:rsidR="00620A02">
      <w:pgSz w:w="1191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1ACC"/>
    <w:multiLevelType w:val="multilevel"/>
    <w:tmpl w:val="7F04269C"/>
    <w:lvl w:ilvl="0">
      <w:start w:val="1"/>
      <w:numFmt w:val="decimal"/>
      <w:lvlText w:val="%1、"/>
      <w:lvlJc w:val="left"/>
      <w:pPr>
        <w:ind w:left="420" w:hanging="420"/>
      </w:pPr>
      <w:rPr>
        <w:rFonts w:ascii="仿宋" w:eastAsia="仿宋" w:hAnsi="仿宋" w:hint="default"/>
        <w:bCs/>
      </w:rPr>
    </w:lvl>
    <w:lvl w:ilvl="1">
      <w:start w:val="1"/>
      <w:numFmt w:val="lowerLetter"/>
      <w:lvlText w:val="%2)"/>
      <w:lvlJc w:val="left"/>
      <w:pPr>
        <w:ind w:left="840" w:hanging="420"/>
      </w:pPr>
      <w:rPr>
        <w:rFonts w:ascii="仿宋" w:eastAsia="仿宋" w:hAnsi="仿宋" w:hint="default"/>
        <w:bCs/>
      </w:rPr>
    </w:lvl>
    <w:lvl w:ilvl="2">
      <w:start w:val="1"/>
      <w:numFmt w:val="lowerRoman"/>
      <w:lvlText w:val="%3."/>
      <w:lvlJc w:val="left"/>
      <w:pPr>
        <w:ind w:left="1260" w:hanging="420"/>
      </w:pPr>
      <w:rPr>
        <w:rFonts w:ascii="仿宋" w:eastAsia="仿宋" w:hAnsi="仿宋" w:hint="default"/>
        <w:bCs/>
      </w:rPr>
    </w:lvl>
    <w:lvl w:ilvl="3">
      <w:start w:val="1"/>
      <w:numFmt w:val="decimal"/>
      <w:lvlText w:val="%4."/>
      <w:lvlJc w:val="left"/>
      <w:pPr>
        <w:ind w:left="1680" w:hanging="420"/>
      </w:pPr>
      <w:rPr>
        <w:rFonts w:ascii="仿宋" w:eastAsia="仿宋" w:hAnsi="仿宋" w:hint="default"/>
        <w:bCs/>
      </w:rPr>
    </w:lvl>
    <w:lvl w:ilvl="4">
      <w:start w:val="1"/>
      <w:numFmt w:val="lowerLetter"/>
      <w:lvlText w:val="%5)"/>
      <w:lvlJc w:val="left"/>
      <w:pPr>
        <w:ind w:left="2100" w:hanging="420"/>
      </w:pPr>
      <w:rPr>
        <w:rFonts w:ascii="仿宋" w:eastAsia="仿宋" w:hAnsi="仿宋" w:hint="default"/>
        <w:bCs/>
      </w:rPr>
    </w:lvl>
    <w:lvl w:ilvl="5">
      <w:start w:val="1"/>
      <w:numFmt w:val="lowerRoman"/>
      <w:lvlText w:val="%6."/>
      <w:lvlJc w:val="left"/>
      <w:pPr>
        <w:ind w:left="2520" w:hanging="420"/>
      </w:pPr>
      <w:rPr>
        <w:rFonts w:ascii="仿宋" w:eastAsia="仿宋" w:hAnsi="仿宋" w:hint="default"/>
        <w:bCs/>
      </w:rPr>
    </w:lvl>
    <w:lvl w:ilvl="6">
      <w:start w:val="1"/>
      <w:numFmt w:val="decimal"/>
      <w:lvlText w:val="%7."/>
      <w:lvlJc w:val="left"/>
      <w:pPr>
        <w:ind w:left="2940" w:hanging="420"/>
      </w:pPr>
      <w:rPr>
        <w:rFonts w:ascii="仿宋" w:eastAsia="仿宋" w:hAnsi="仿宋" w:hint="default"/>
        <w:bCs/>
      </w:rPr>
    </w:lvl>
    <w:lvl w:ilvl="7">
      <w:start w:val="1"/>
      <w:numFmt w:val="lowerLetter"/>
      <w:lvlText w:val="%8)"/>
      <w:lvlJc w:val="left"/>
      <w:pPr>
        <w:ind w:left="3360" w:hanging="420"/>
      </w:pPr>
      <w:rPr>
        <w:rFonts w:ascii="仿宋" w:eastAsia="仿宋" w:hAnsi="仿宋" w:hint="default"/>
        <w:bCs/>
      </w:rPr>
    </w:lvl>
    <w:lvl w:ilvl="8">
      <w:start w:val="1"/>
      <w:numFmt w:val="lowerRoman"/>
      <w:lvlText w:val="%9."/>
      <w:lvlJc w:val="left"/>
      <w:pPr>
        <w:ind w:left="3780" w:hanging="420"/>
      </w:pPr>
      <w:rPr>
        <w:rFonts w:ascii="仿宋" w:eastAsia="仿宋" w:hAnsi="仿宋" w:hint="default"/>
        <w:bCs/>
      </w:rPr>
    </w:lvl>
  </w:abstractNum>
  <w:abstractNum w:abstractNumId="1"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1F547F3E"/>
    <w:multiLevelType w:val="multilevel"/>
    <w:tmpl w:val="6AA22B6C"/>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3"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5"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2"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2"/>
  </w:num>
  <w:num w:numId="2">
    <w:abstractNumId w:val="7"/>
  </w:num>
  <w:num w:numId="3">
    <w:abstractNumId w:val="5"/>
  </w:num>
  <w:num w:numId="4">
    <w:abstractNumId w:val="6"/>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
  </w:num>
  <w:num w:numId="30">
    <w:abstractNumId w:val="4"/>
  </w:num>
  <w:num w:numId="31">
    <w:abstractNumId w:val="1"/>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5F3EA7"/>
    <w:rsid w:val="00616505"/>
    <w:rsid w:val="00620A02"/>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rsid w:val="001C768A"/>
    <w:pPr>
      <w:keepNext/>
      <w:keepLines/>
      <w:spacing w:before="240" w:after="240" w:line="408" w:lineRule="auto"/>
      <w:jc w:val="left"/>
      <w:outlineLvl w:val="0"/>
    </w:pPr>
    <w:rPr>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9E915-ED7A-44D8-AC23-749262B67F37}">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2449</Characters>
  <Application>Microsoft Office Word</Application>
  <DocSecurity>0</DocSecurity>
  <Lines>20</Lines>
  <Paragraphs>5</Paragraphs>
  <ScaleCrop>false</ScaleCrop>
  <Company>Microsoft</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songjun</cp:lastModifiedBy>
  <cp:revision>9</cp:revision>
  <dcterms:created xsi:type="dcterms:W3CDTF">2017-01-10T09:10:00Z</dcterms:created>
  <dcterms:modified xsi:type="dcterms:W3CDTF">2020-10-29T12:21:00Z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