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F8" w:rsidRDefault="00454BC1">
      <w:pPr>
        <w:spacing w:beforeLines="50" w:before="156" w:afterLines="50" w:after="156" w:line="400" w:lineRule="exact"/>
        <w:jc w:val="distribute"/>
        <w:rPr>
          <w:bCs/>
          <w:iCs/>
          <w:color w:val="000000"/>
          <w:sz w:val="24"/>
        </w:rPr>
      </w:pPr>
      <w:r>
        <w:rPr>
          <w:bCs/>
          <w:iCs/>
          <w:color w:val="000000"/>
          <w:sz w:val="24"/>
        </w:rPr>
        <w:t>证券代码：</w:t>
      </w:r>
      <w:r>
        <w:rPr>
          <w:bCs/>
          <w:iCs/>
          <w:color w:val="000000"/>
          <w:sz w:val="24"/>
        </w:rPr>
        <w:t xml:space="preserve">300767                               </w:t>
      </w:r>
      <w:r>
        <w:rPr>
          <w:bCs/>
          <w:iCs/>
          <w:color w:val="000000"/>
          <w:sz w:val="24"/>
        </w:rPr>
        <w:t>证券简称：</w:t>
      </w:r>
      <w:r>
        <w:rPr>
          <w:rFonts w:hint="eastAsia"/>
          <w:bCs/>
          <w:iCs/>
          <w:color w:val="000000"/>
          <w:sz w:val="24"/>
        </w:rPr>
        <w:t>震安科技</w:t>
      </w:r>
    </w:p>
    <w:p w:rsidR="00B741F8" w:rsidRDefault="00454BC1">
      <w:pPr>
        <w:spacing w:beforeLines="50" w:before="156" w:afterLines="50" w:after="156" w:line="400" w:lineRule="exact"/>
        <w:jc w:val="center"/>
        <w:rPr>
          <w:b/>
          <w:bCs/>
          <w:iCs/>
          <w:color w:val="000000"/>
          <w:sz w:val="30"/>
          <w:szCs w:val="30"/>
        </w:rPr>
      </w:pPr>
      <w:r>
        <w:rPr>
          <w:rFonts w:hint="eastAsia"/>
          <w:b/>
          <w:bCs/>
          <w:iCs/>
          <w:color w:val="000000"/>
          <w:sz w:val="30"/>
          <w:szCs w:val="30"/>
        </w:rPr>
        <w:t>震安科技</w:t>
      </w:r>
      <w:r>
        <w:rPr>
          <w:b/>
          <w:bCs/>
          <w:iCs/>
          <w:color w:val="000000"/>
          <w:sz w:val="30"/>
          <w:szCs w:val="30"/>
        </w:rPr>
        <w:t>股份有限公司投资者关系活动记录表</w:t>
      </w:r>
    </w:p>
    <w:p w:rsidR="00B741F8" w:rsidRDefault="00454BC1" w:rsidP="00404065">
      <w:pPr>
        <w:spacing w:line="400" w:lineRule="exact"/>
        <w:jc w:val="right"/>
        <w:rPr>
          <w:bCs/>
          <w:iCs/>
          <w:color w:val="000000"/>
          <w:sz w:val="24"/>
        </w:rPr>
      </w:pPr>
      <w:r>
        <w:rPr>
          <w:bCs/>
          <w:iCs/>
          <w:color w:val="000000"/>
          <w:sz w:val="24"/>
        </w:rPr>
        <w:t>编号：</w:t>
      </w:r>
      <w:r>
        <w:rPr>
          <w:bCs/>
          <w:iCs/>
          <w:color w:val="000000"/>
          <w:sz w:val="24"/>
        </w:rPr>
        <w:t>2020-007</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42"/>
      </w:tblGrid>
      <w:tr w:rsidR="00B741F8">
        <w:trPr>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t>投资者关系活动类别</w:t>
            </w:r>
          </w:p>
        </w:tc>
        <w:tc>
          <w:tcPr>
            <w:tcW w:w="6542" w:type="dxa"/>
            <w:vAlign w:val="center"/>
          </w:tcPr>
          <w:p w:rsidR="00B741F8" w:rsidRDefault="00454BC1">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特定对象调研</w:t>
            </w:r>
            <w:r>
              <w:rPr>
                <w:rFonts w:asciiTheme="minorEastAsia" w:eastAsiaTheme="minorEastAsia" w:hAnsiTheme="minorEastAsia"/>
                <w:sz w:val="24"/>
              </w:rPr>
              <w:t xml:space="preserve">        </w:t>
            </w:r>
            <w:r>
              <w:rPr>
                <w:rFonts w:asciiTheme="minorEastAsia" w:eastAsiaTheme="minorEastAsia" w:hAnsiTheme="minorEastAsia"/>
                <w:bCs/>
                <w:iCs/>
                <w:color w:val="000000"/>
                <w:sz w:val="24"/>
              </w:rPr>
              <w:t>□</w:t>
            </w:r>
            <w:r>
              <w:rPr>
                <w:rFonts w:asciiTheme="minorEastAsia" w:eastAsiaTheme="minorEastAsia" w:hAnsiTheme="minorEastAsia"/>
                <w:sz w:val="24"/>
              </w:rPr>
              <w:t>分析师会议</w:t>
            </w:r>
          </w:p>
          <w:p w:rsidR="00B741F8" w:rsidRDefault="00454BC1">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媒体采访</w:t>
            </w:r>
            <w:r>
              <w:rPr>
                <w:rFonts w:asciiTheme="minorEastAsia" w:eastAsiaTheme="minorEastAsia" w:hAnsiTheme="minorEastAsia"/>
                <w:sz w:val="24"/>
              </w:rPr>
              <w:t xml:space="preserve">            </w:t>
            </w:r>
            <w:r>
              <w:rPr>
                <w:rFonts w:asciiTheme="minorEastAsia" w:eastAsiaTheme="minorEastAsia" w:hAnsiTheme="minorEastAsia"/>
                <w:bCs/>
                <w:iCs/>
                <w:color w:val="000000"/>
                <w:sz w:val="24"/>
              </w:rPr>
              <w:t>□</w:t>
            </w:r>
            <w:r>
              <w:rPr>
                <w:rFonts w:asciiTheme="minorEastAsia" w:eastAsiaTheme="minorEastAsia" w:hAnsiTheme="minorEastAsia"/>
                <w:sz w:val="24"/>
              </w:rPr>
              <w:t>业绩说明会</w:t>
            </w:r>
          </w:p>
          <w:p w:rsidR="00B741F8" w:rsidRDefault="00454BC1">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新闻发布会</w:t>
            </w:r>
            <w:r>
              <w:rPr>
                <w:rFonts w:asciiTheme="minorEastAsia" w:eastAsiaTheme="minorEastAsia" w:hAnsiTheme="minorEastAsia"/>
                <w:sz w:val="24"/>
              </w:rPr>
              <w:t xml:space="preserve">          </w:t>
            </w:r>
            <w:r>
              <w:rPr>
                <w:rFonts w:asciiTheme="minorEastAsia" w:eastAsiaTheme="minorEastAsia" w:hAnsiTheme="minorEastAsia"/>
                <w:bCs/>
                <w:iCs/>
                <w:color w:val="000000"/>
                <w:sz w:val="24"/>
              </w:rPr>
              <w:t>□</w:t>
            </w:r>
            <w:r>
              <w:rPr>
                <w:rFonts w:asciiTheme="minorEastAsia" w:eastAsiaTheme="minorEastAsia" w:hAnsiTheme="minorEastAsia"/>
                <w:sz w:val="24"/>
              </w:rPr>
              <w:t>路演活动</w:t>
            </w:r>
          </w:p>
          <w:p w:rsidR="00B741F8" w:rsidRDefault="00454BC1">
            <w:pPr>
              <w:tabs>
                <w:tab w:val="left" w:pos="3045"/>
                <w:tab w:val="center" w:pos="3199"/>
              </w:tabs>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现场参观</w:t>
            </w:r>
          </w:p>
          <w:p w:rsidR="00B741F8" w:rsidRDefault="00454BC1">
            <w:pPr>
              <w:tabs>
                <w:tab w:val="center" w:pos="3199"/>
              </w:tabs>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其他（请文字说明其他活动内容）</w:t>
            </w:r>
          </w:p>
        </w:tc>
      </w:tr>
      <w:tr w:rsidR="00B741F8">
        <w:trPr>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t>参与单位名称及人员姓名</w:t>
            </w:r>
          </w:p>
        </w:tc>
        <w:tc>
          <w:tcPr>
            <w:tcW w:w="6542" w:type="dxa"/>
            <w:vAlign w:val="center"/>
          </w:tcPr>
          <w:p w:rsidR="00B741F8" w:rsidRDefault="00454BC1">
            <w:pPr>
              <w:spacing w:line="480" w:lineRule="atLeast"/>
              <w:rPr>
                <w:bCs/>
                <w:iCs/>
                <w:color w:val="000000"/>
                <w:sz w:val="24"/>
              </w:rPr>
            </w:pPr>
            <w:r>
              <w:rPr>
                <w:rFonts w:hint="eastAsia"/>
                <w:bCs/>
                <w:iCs/>
                <w:color w:val="000000"/>
                <w:sz w:val="24"/>
              </w:rPr>
              <w:t>海通证券</w:t>
            </w:r>
            <w:r>
              <w:rPr>
                <w:rFonts w:hint="eastAsia"/>
                <w:bCs/>
                <w:iCs/>
                <w:color w:val="000000"/>
                <w:sz w:val="24"/>
              </w:rPr>
              <w:t xml:space="preserve"> </w:t>
            </w:r>
            <w:r>
              <w:rPr>
                <w:rFonts w:hint="eastAsia"/>
                <w:bCs/>
                <w:iCs/>
                <w:color w:val="000000"/>
                <w:sz w:val="24"/>
              </w:rPr>
              <w:t>刘威</w:t>
            </w:r>
          </w:p>
          <w:p w:rsidR="00B741F8" w:rsidRDefault="00454BC1">
            <w:pPr>
              <w:spacing w:line="480" w:lineRule="atLeast"/>
              <w:rPr>
                <w:bCs/>
                <w:iCs/>
                <w:color w:val="000000"/>
                <w:sz w:val="24"/>
              </w:rPr>
            </w:pPr>
            <w:r>
              <w:rPr>
                <w:rFonts w:hint="eastAsia"/>
                <w:bCs/>
                <w:iCs/>
                <w:color w:val="000000"/>
                <w:sz w:val="24"/>
              </w:rPr>
              <w:t>富国基金</w:t>
            </w:r>
            <w:r>
              <w:rPr>
                <w:rFonts w:hint="eastAsia"/>
                <w:bCs/>
                <w:iCs/>
                <w:color w:val="000000"/>
                <w:sz w:val="24"/>
              </w:rPr>
              <w:t xml:space="preserve"> </w:t>
            </w:r>
            <w:r>
              <w:rPr>
                <w:rFonts w:hint="eastAsia"/>
                <w:bCs/>
                <w:iCs/>
                <w:color w:val="000000"/>
                <w:sz w:val="24"/>
              </w:rPr>
              <w:t>杨栋</w:t>
            </w:r>
            <w:r>
              <w:rPr>
                <w:rFonts w:hint="eastAsia"/>
                <w:bCs/>
                <w:iCs/>
                <w:color w:val="000000"/>
                <w:sz w:val="24"/>
              </w:rPr>
              <w:t xml:space="preserve"> </w:t>
            </w:r>
          </w:p>
        </w:tc>
      </w:tr>
      <w:tr w:rsidR="00B741F8">
        <w:trPr>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t>时间</w:t>
            </w:r>
          </w:p>
        </w:tc>
        <w:tc>
          <w:tcPr>
            <w:tcW w:w="6542" w:type="dxa"/>
            <w:vAlign w:val="center"/>
          </w:tcPr>
          <w:p w:rsidR="00B741F8" w:rsidRDefault="00454BC1">
            <w:pPr>
              <w:spacing w:line="480" w:lineRule="atLeast"/>
              <w:rPr>
                <w:bCs/>
                <w:iCs/>
                <w:color w:val="000000"/>
                <w:sz w:val="24"/>
              </w:rPr>
            </w:pPr>
            <w:r>
              <w:rPr>
                <w:rFonts w:hint="eastAsia"/>
                <w:bCs/>
                <w:iCs/>
                <w:color w:val="000000"/>
                <w:sz w:val="24"/>
              </w:rPr>
              <w:t>2020</w:t>
            </w:r>
            <w:r>
              <w:rPr>
                <w:rFonts w:hint="eastAsia"/>
                <w:bCs/>
                <w:iCs/>
                <w:color w:val="000000"/>
                <w:sz w:val="24"/>
              </w:rPr>
              <w:t>年</w:t>
            </w:r>
            <w:r>
              <w:rPr>
                <w:rFonts w:hint="eastAsia"/>
                <w:bCs/>
                <w:iCs/>
                <w:color w:val="000000"/>
                <w:sz w:val="24"/>
              </w:rPr>
              <w:t>10</w:t>
            </w:r>
            <w:r>
              <w:rPr>
                <w:rFonts w:hint="eastAsia"/>
                <w:bCs/>
                <w:iCs/>
                <w:color w:val="000000"/>
                <w:sz w:val="24"/>
              </w:rPr>
              <w:t>月</w:t>
            </w:r>
            <w:r>
              <w:rPr>
                <w:rFonts w:hint="eastAsia"/>
                <w:bCs/>
                <w:iCs/>
                <w:color w:val="000000"/>
                <w:sz w:val="24"/>
              </w:rPr>
              <w:t>30</w:t>
            </w:r>
            <w:r>
              <w:rPr>
                <w:rFonts w:hint="eastAsia"/>
                <w:bCs/>
                <w:iCs/>
                <w:color w:val="000000"/>
                <w:sz w:val="24"/>
              </w:rPr>
              <w:t>日</w:t>
            </w:r>
          </w:p>
        </w:tc>
      </w:tr>
      <w:tr w:rsidR="00B741F8">
        <w:trPr>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t>地点</w:t>
            </w:r>
          </w:p>
        </w:tc>
        <w:tc>
          <w:tcPr>
            <w:tcW w:w="6542" w:type="dxa"/>
            <w:vAlign w:val="center"/>
          </w:tcPr>
          <w:p w:rsidR="00B741F8" w:rsidRDefault="00454BC1">
            <w:pPr>
              <w:spacing w:line="480" w:lineRule="atLeast"/>
              <w:rPr>
                <w:bCs/>
                <w:iCs/>
                <w:color w:val="000000"/>
                <w:sz w:val="24"/>
              </w:rPr>
            </w:pPr>
            <w:r>
              <w:rPr>
                <w:bCs/>
                <w:iCs/>
                <w:color w:val="000000"/>
                <w:sz w:val="24"/>
              </w:rPr>
              <w:t>公司</w:t>
            </w:r>
            <w:r>
              <w:rPr>
                <w:rFonts w:hint="eastAsia"/>
                <w:bCs/>
                <w:iCs/>
                <w:color w:val="000000"/>
                <w:sz w:val="24"/>
              </w:rPr>
              <w:t>会议室</w:t>
            </w:r>
          </w:p>
        </w:tc>
      </w:tr>
      <w:tr w:rsidR="00B741F8">
        <w:trPr>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t>接待人员姓名</w:t>
            </w:r>
          </w:p>
        </w:tc>
        <w:tc>
          <w:tcPr>
            <w:tcW w:w="6542" w:type="dxa"/>
            <w:vAlign w:val="center"/>
          </w:tcPr>
          <w:p w:rsidR="00B741F8" w:rsidRDefault="00454BC1">
            <w:pPr>
              <w:spacing w:line="480" w:lineRule="atLeast"/>
              <w:rPr>
                <w:bCs/>
                <w:iCs/>
                <w:color w:val="000000"/>
                <w:sz w:val="24"/>
              </w:rPr>
            </w:pPr>
            <w:r>
              <w:rPr>
                <w:rFonts w:hint="eastAsia"/>
                <w:bCs/>
                <w:iCs/>
                <w:color w:val="000000"/>
                <w:sz w:val="24"/>
              </w:rPr>
              <w:t>副总经理、财务总监、董事会秘书</w:t>
            </w:r>
            <w:r>
              <w:rPr>
                <w:rFonts w:hint="eastAsia"/>
                <w:bCs/>
                <w:iCs/>
                <w:color w:val="000000"/>
                <w:sz w:val="24"/>
              </w:rPr>
              <w:t xml:space="preserve"> </w:t>
            </w:r>
            <w:r>
              <w:rPr>
                <w:rFonts w:hint="eastAsia"/>
                <w:bCs/>
                <w:iCs/>
                <w:color w:val="000000"/>
                <w:sz w:val="24"/>
              </w:rPr>
              <w:t>龙云刚</w:t>
            </w:r>
          </w:p>
          <w:p w:rsidR="00B741F8" w:rsidRDefault="00454BC1">
            <w:pPr>
              <w:spacing w:line="480" w:lineRule="atLeast"/>
              <w:rPr>
                <w:bCs/>
                <w:iCs/>
                <w:color w:val="000000"/>
                <w:sz w:val="24"/>
              </w:rPr>
            </w:pPr>
            <w:r>
              <w:rPr>
                <w:rFonts w:hint="eastAsia"/>
                <w:bCs/>
                <w:iCs/>
                <w:color w:val="000000"/>
                <w:sz w:val="24"/>
              </w:rPr>
              <w:t>证券</w:t>
            </w:r>
            <w:r>
              <w:rPr>
                <w:rFonts w:hint="eastAsia"/>
                <w:bCs/>
                <w:iCs/>
                <w:color w:val="000000"/>
                <w:sz w:val="24"/>
              </w:rPr>
              <w:t>部</w:t>
            </w:r>
            <w:r>
              <w:rPr>
                <w:rFonts w:hint="eastAsia"/>
                <w:bCs/>
                <w:iCs/>
                <w:color w:val="000000"/>
                <w:sz w:val="24"/>
              </w:rPr>
              <w:t>经理</w:t>
            </w:r>
            <w:r>
              <w:rPr>
                <w:rFonts w:hint="eastAsia"/>
                <w:bCs/>
                <w:iCs/>
                <w:color w:val="000000"/>
                <w:sz w:val="24"/>
              </w:rPr>
              <w:t xml:space="preserve"> </w:t>
            </w:r>
            <w:r>
              <w:rPr>
                <w:rFonts w:hint="eastAsia"/>
                <w:bCs/>
                <w:iCs/>
                <w:color w:val="000000"/>
                <w:sz w:val="24"/>
              </w:rPr>
              <w:t>刘芳</w:t>
            </w:r>
          </w:p>
        </w:tc>
      </w:tr>
      <w:tr w:rsidR="00B741F8">
        <w:trPr>
          <w:trHeight w:val="472"/>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t>投资者关系活动主要内容介绍</w:t>
            </w:r>
          </w:p>
        </w:tc>
        <w:tc>
          <w:tcPr>
            <w:tcW w:w="6542" w:type="dxa"/>
            <w:vAlign w:val="center"/>
          </w:tcPr>
          <w:p w:rsidR="00B741F8" w:rsidRDefault="00454BC1">
            <w:pPr>
              <w:pStyle w:val="1"/>
              <w:spacing w:line="360" w:lineRule="auto"/>
              <w:ind w:firstLineChars="0" w:firstLine="0"/>
              <w:rPr>
                <w:b/>
                <w:sz w:val="24"/>
              </w:rPr>
            </w:pPr>
            <w:r>
              <w:rPr>
                <w:rFonts w:hint="eastAsia"/>
                <w:b/>
                <w:sz w:val="24"/>
              </w:rPr>
              <w:t xml:space="preserve">1. </w:t>
            </w:r>
            <w:r>
              <w:rPr>
                <w:rFonts w:hint="eastAsia"/>
                <w:b/>
                <w:sz w:val="24"/>
              </w:rPr>
              <w:t>请问目前在政策还未落地的情况下，公司订单的来源是什么？</w:t>
            </w:r>
          </w:p>
          <w:p w:rsidR="00B741F8" w:rsidRDefault="00454BC1">
            <w:pPr>
              <w:pStyle w:val="1"/>
              <w:spacing w:line="360" w:lineRule="auto"/>
              <w:ind w:firstLineChars="0" w:firstLine="0"/>
              <w:rPr>
                <w:sz w:val="24"/>
              </w:rPr>
            </w:pPr>
            <w:r>
              <w:rPr>
                <w:rFonts w:hint="eastAsia"/>
                <w:sz w:val="24"/>
              </w:rPr>
              <w:t>答：对于公司来说，政策外市场也有很大的发展空间。</w:t>
            </w:r>
            <w:r>
              <w:rPr>
                <w:rFonts w:hint="eastAsia"/>
                <w:sz w:val="24"/>
              </w:rPr>
              <w:t>（</w:t>
            </w:r>
            <w:r>
              <w:rPr>
                <w:rFonts w:hint="eastAsia"/>
                <w:sz w:val="24"/>
              </w:rPr>
              <w:t>1</w:t>
            </w:r>
            <w:r>
              <w:rPr>
                <w:rFonts w:hint="eastAsia"/>
                <w:sz w:val="24"/>
              </w:rPr>
              <w:t>）</w:t>
            </w:r>
            <w:r>
              <w:rPr>
                <w:rFonts w:hint="eastAsia"/>
                <w:sz w:val="24"/>
              </w:rPr>
              <w:t>首先是机场航站楼。对于机场来说，其抗震要求高，并且由于机场</w:t>
            </w:r>
            <w:r>
              <w:rPr>
                <w:rFonts w:hint="eastAsia"/>
                <w:sz w:val="24"/>
              </w:rPr>
              <w:t>基本上是大跨度</w:t>
            </w:r>
            <w:r>
              <w:rPr>
                <w:rFonts w:hint="eastAsia"/>
                <w:sz w:val="24"/>
              </w:rPr>
              <w:t>钢结构，</w:t>
            </w:r>
            <w:r>
              <w:rPr>
                <w:rFonts w:hint="eastAsia"/>
                <w:sz w:val="24"/>
              </w:rPr>
              <w:t>抗震要求高，同时采用减隔震技术能够减少钢结构</w:t>
            </w:r>
            <w:r>
              <w:rPr>
                <w:rFonts w:hint="eastAsia"/>
                <w:sz w:val="24"/>
              </w:rPr>
              <w:t>用量从而降低造价</w:t>
            </w:r>
            <w:r>
              <w:rPr>
                <w:rFonts w:hint="eastAsia"/>
                <w:sz w:val="24"/>
              </w:rPr>
              <w:t>。</w:t>
            </w:r>
            <w:r>
              <w:rPr>
                <w:rFonts w:hint="eastAsia"/>
                <w:sz w:val="24"/>
              </w:rPr>
              <w:t>昆明长水机场、北京大兴机场、海口美兰机场</w:t>
            </w:r>
            <w:r>
              <w:rPr>
                <w:rFonts w:hint="eastAsia"/>
                <w:sz w:val="24"/>
              </w:rPr>
              <w:t>等地的机场</w:t>
            </w:r>
            <w:r>
              <w:rPr>
                <w:rFonts w:hint="eastAsia"/>
                <w:sz w:val="24"/>
              </w:rPr>
              <w:t>已经</w:t>
            </w:r>
            <w:r>
              <w:rPr>
                <w:rFonts w:hint="eastAsia"/>
                <w:sz w:val="24"/>
              </w:rPr>
              <w:t>采用减隔震技术</w:t>
            </w:r>
            <w:r>
              <w:rPr>
                <w:rFonts w:hint="eastAsia"/>
                <w:sz w:val="24"/>
              </w:rPr>
              <w:t>，形成了很好的示范</w:t>
            </w:r>
            <w:r>
              <w:rPr>
                <w:rFonts w:hint="eastAsia"/>
                <w:sz w:val="24"/>
              </w:rPr>
              <w:t>。</w:t>
            </w:r>
            <w:r>
              <w:rPr>
                <w:rFonts w:hint="eastAsia"/>
                <w:sz w:val="24"/>
              </w:rPr>
              <w:t>（</w:t>
            </w:r>
            <w:r>
              <w:rPr>
                <w:rFonts w:hint="eastAsia"/>
                <w:sz w:val="24"/>
              </w:rPr>
              <w:t>2</w:t>
            </w:r>
            <w:r>
              <w:rPr>
                <w:rFonts w:hint="eastAsia"/>
                <w:sz w:val="24"/>
              </w:rPr>
              <w:t>）</w:t>
            </w:r>
            <w:r>
              <w:rPr>
                <w:rFonts w:hint="eastAsia"/>
                <w:sz w:val="24"/>
              </w:rPr>
              <w:t>第二是地铁上盖建筑。使用减隔震装置能有效降低地铁运行时对上部建筑的震动影响，提高上部建筑的安全性和舒适度。例如公司已有的“北京海淀区玉渊潭地铁上盖住宅项目”等地铁上盖房地产项目。</w:t>
            </w:r>
            <w:r>
              <w:rPr>
                <w:rFonts w:hint="eastAsia"/>
                <w:sz w:val="24"/>
              </w:rPr>
              <w:t>（</w:t>
            </w:r>
            <w:r>
              <w:rPr>
                <w:rFonts w:hint="eastAsia"/>
                <w:sz w:val="24"/>
              </w:rPr>
              <w:t>3</w:t>
            </w:r>
            <w:r>
              <w:rPr>
                <w:rFonts w:hint="eastAsia"/>
                <w:sz w:val="24"/>
              </w:rPr>
              <w:t>）</w:t>
            </w:r>
            <w:r>
              <w:rPr>
                <w:rFonts w:hint="eastAsia"/>
                <w:sz w:val="24"/>
              </w:rPr>
              <w:t>第三是</w:t>
            </w:r>
            <w:r>
              <w:rPr>
                <w:rFonts w:hint="eastAsia"/>
                <w:sz w:val="24"/>
              </w:rPr>
              <w:t>L</w:t>
            </w:r>
            <w:r>
              <w:rPr>
                <w:sz w:val="24"/>
              </w:rPr>
              <w:t>NG</w:t>
            </w:r>
            <w:r>
              <w:rPr>
                <w:rFonts w:hint="eastAsia"/>
                <w:sz w:val="24"/>
              </w:rPr>
              <w:t>储罐。其内部储存的液化天然气在</w:t>
            </w:r>
            <w:r>
              <w:rPr>
                <w:rFonts w:hint="eastAsia"/>
                <w:sz w:val="24"/>
              </w:rPr>
              <w:t>储存</w:t>
            </w:r>
            <w:r>
              <w:rPr>
                <w:rFonts w:hint="eastAsia"/>
                <w:sz w:val="24"/>
              </w:rPr>
              <w:t>要尽量避免晃动，以防温度升高发生爆炸，</w:t>
            </w:r>
            <w:r>
              <w:rPr>
                <w:rFonts w:hint="eastAsia"/>
                <w:sz w:val="24"/>
              </w:rPr>
              <w:t>减隔震装置</w:t>
            </w:r>
            <w:r>
              <w:rPr>
                <w:rFonts w:hint="eastAsia"/>
                <w:sz w:val="24"/>
              </w:rPr>
              <w:t>在这一领域应用广泛</w:t>
            </w:r>
            <w:r>
              <w:rPr>
                <w:rFonts w:hint="eastAsia"/>
                <w:sz w:val="24"/>
              </w:rPr>
              <w:t>。</w:t>
            </w:r>
            <w:r>
              <w:rPr>
                <w:rFonts w:hint="eastAsia"/>
                <w:sz w:val="24"/>
              </w:rPr>
              <w:t>（</w:t>
            </w:r>
            <w:r>
              <w:rPr>
                <w:rFonts w:hint="eastAsia"/>
                <w:sz w:val="24"/>
              </w:rPr>
              <w:t>4</w:t>
            </w:r>
            <w:r>
              <w:rPr>
                <w:rFonts w:hint="eastAsia"/>
                <w:sz w:val="24"/>
              </w:rPr>
              <w:t>）</w:t>
            </w:r>
            <w:r>
              <w:rPr>
                <w:rFonts w:hint="eastAsia"/>
                <w:sz w:val="24"/>
              </w:rPr>
              <w:t>第四是高层和超高层建筑。这些建筑由于高度的原因，在设计时都要</w:t>
            </w:r>
            <w:r>
              <w:rPr>
                <w:rFonts w:hint="eastAsia"/>
                <w:sz w:val="24"/>
              </w:rPr>
              <w:lastRenderedPageBreak/>
              <w:t>考虑到自身的抗风性，例如深圳平安大厦、上海中心等都有减震设计。</w:t>
            </w:r>
            <w:r>
              <w:rPr>
                <w:rFonts w:hint="eastAsia"/>
                <w:sz w:val="24"/>
              </w:rPr>
              <w:t>（</w:t>
            </w:r>
            <w:r>
              <w:rPr>
                <w:rFonts w:hint="eastAsia"/>
                <w:sz w:val="24"/>
              </w:rPr>
              <w:t>5</w:t>
            </w:r>
            <w:r>
              <w:rPr>
                <w:rFonts w:hint="eastAsia"/>
                <w:sz w:val="24"/>
              </w:rPr>
              <w:t>）</w:t>
            </w:r>
            <w:r>
              <w:rPr>
                <w:rFonts w:hint="eastAsia"/>
                <w:sz w:val="24"/>
              </w:rPr>
              <w:t>最后</w:t>
            </w:r>
            <w:r>
              <w:rPr>
                <w:rFonts w:hint="eastAsia"/>
                <w:sz w:val="24"/>
              </w:rPr>
              <w:t>部分</w:t>
            </w:r>
            <w:r>
              <w:rPr>
                <w:rFonts w:hint="eastAsia"/>
                <w:sz w:val="24"/>
              </w:rPr>
              <w:t>住宅</w:t>
            </w:r>
            <w:r>
              <w:rPr>
                <w:rFonts w:hint="eastAsia"/>
                <w:sz w:val="24"/>
              </w:rPr>
              <w:t>特别是抗震设防烈度为</w:t>
            </w:r>
            <w:r>
              <w:rPr>
                <w:rFonts w:hint="eastAsia"/>
                <w:sz w:val="24"/>
              </w:rPr>
              <w:t>8</w:t>
            </w:r>
            <w:r>
              <w:rPr>
                <w:rFonts w:hint="eastAsia"/>
                <w:sz w:val="24"/>
              </w:rPr>
              <w:t>度半、</w:t>
            </w:r>
            <w:r>
              <w:rPr>
                <w:rFonts w:hint="eastAsia"/>
                <w:sz w:val="24"/>
              </w:rPr>
              <w:t>9</w:t>
            </w:r>
            <w:r>
              <w:rPr>
                <w:rFonts w:hint="eastAsia"/>
                <w:sz w:val="24"/>
              </w:rPr>
              <w:t>度地</w:t>
            </w:r>
            <w:r>
              <w:rPr>
                <w:rFonts w:hint="eastAsia"/>
                <w:sz w:val="24"/>
              </w:rPr>
              <w:t>区的住宅</w:t>
            </w:r>
            <w:r>
              <w:rPr>
                <w:rFonts w:hint="eastAsia"/>
                <w:sz w:val="24"/>
              </w:rPr>
              <w:t>为了提高自身的安全性和经济性也会考虑使用减隔震装置，公司目前</w:t>
            </w:r>
            <w:r>
              <w:rPr>
                <w:rFonts w:hint="eastAsia"/>
                <w:sz w:val="24"/>
              </w:rPr>
              <w:t>与</w:t>
            </w:r>
            <w:r>
              <w:rPr>
                <w:rFonts w:hint="eastAsia"/>
                <w:sz w:val="24"/>
              </w:rPr>
              <w:t>西昌、昆明东川和寻甸、普洱澜沧</w:t>
            </w:r>
            <w:r>
              <w:rPr>
                <w:rFonts w:hint="eastAsia"/>
                <w:sz w:val="24"/>
              </w:rPr>
              <w:t>等</w:t>
            </w:r>
            <w:r>
              <w:rPr>
                <w:rFonts w:hint="eastAsia"/>
                <w:sz w:val="24"/>
              </w:rPr>
              <w:t>有大量的减隔震住宅实例</w:t>
            </w:r>
            <w:r>
              <w:rPr>
                <w:rFonts w:hint="eastAsia"/>
                <w:sz w:val="24"/>
              </w:rPr>
              <w:t>。</w:t>
            </w:r>
          </w:p>
          <w:p w:rsidR="00B741F8" w:rsidRDefault="00B741F8">
            <w:pPr>
              <w:pStyle w:val="1"/>
              <w:spacing w:line="360" w:lineRule="auto"/>
              <w:ind w:firstLineChars="0" w:firstLine="0"/>
              <w:rPr>
                <w:sz w:val="24"/>
              </w:rPr>
            </w:pPr>
          </w:p>
          <w:p w:rsidR="00B741F8" w:rsidRDefault="00454BC1">
            <w:pPr>
              <w:pStyle w:val="1"/>
              <w:spacing w:line="360" w:lineRule="auto"/>
              <w:ind w:firstLineChars="0" w:firstLine="0"/>
              <w:rPr>
                <w:b/>
                <w:sz w:val="24"/>
              </w:rPr>
            </w:pPr>
            <w:r>
              <w:rPr>
                <w:rFonts w:hint="eastAsia"/>
                <w:b/>
                <w:sz w:val="24"/>
              </w:rPr>
              <w:t>2</w:t>
            </w:r>
            <w:r>
              <w:rPr>
                <w:b/>
                <w:sz w:val="24"/>
              </w:rPr>
              <w:t xml:space="preserve">. </w:t>
            </w:r>
            <w:r>
              <w:rPr>
                <w:rFonts w:hint="eastAsia"/>
                <w:b/>
                <w:sz w:val="24"/>
              </w:rPr>
              <w:t>请问老旧建筑也可以使用减隔震技术吗？</w:t>
            </w:r>
          </w:p>
          <w:p w:rsidR="00B741F8" w:rsidRDefault="00454BC1">
            <w:pPr>
              <w:pStyle w:val="1"/>
              <w:spacing w:line="360" w:lineRule="auto"/>
              <w:ind w:firstLineChars="0" w:firstLine="0"/>
              <w:rPr>
                <w:sz w:val="24"/>
              </w:rPr>
            </w:pPr>
            <w:r>
              <w:rPr>
                <w:rFonts w:hint="eastAsia"/>
                <w:sz w:val="24"/>
              </w:rPr>
              <w:t>答：公司产品可以用于老建筑加装，对于发生变形、损坏等情况的产品也可以进行</w:t>
            </w:r>
            <w:r>
              <w:rPr>
                <w:rFonts w:hint="eastAsia"/>
                <w:sz w:val="24"/>
              </w:rPr>
              <w:t>更换</w:t>
            </w:r>
            <w:r>
              <w:rPr>
                <w:rFonts w:hint="eastAsia"/>
                <w:sz w:val="24"/>
              </w:rPr>
              <w:t>。主要的实现手段是依靠“托梁换柱</w:t>
            </w:r>
            <w:r>
              <w:rPr>
                <w:rFonts w:hint="eastAsia"/>
                <w:sz w:val="24"/>
              </w:rPr>
              <w:t>、再加减隔震装置</w:t>
            </w:r>
            <w:r>
              <w:rPr>
                <w:rFonts w:hint="eastAsia"/>
                <w:sz w:val="24"/>
              </w:rPr>
              <w:t>”的方式，将上层建筑用液压式千斤顶托起之后，</w:t>
            </w:r>
            <w:r>
              <w:rPr>
                <w:rFonts w:hint="eastAsia"/>
                <w:sz w:val="24"/>
              </w:rPr>
              <w:t>把柱子重新改造</w:t>
            </w:r>
            <w:r>
              <w:rPr>
                <w:rFonts w:hint="eastAsia"/>
                <w:sz w:val="24"/>
              </w:rPr>
              <w:t>，在其中加入减隔震的装置。</w:t>
            </w:r>
          </w:p>
          <w:p w:rsidR="00B741F8" w:rsidRDefault="00B741F8">
            <w:pPr>
              <w:pStyle w:val="1"/>
              <w:spacing w:line="360" w:lineRule="auto"/>
              <w:ind w:firstLineChars="0" w:firstLine="0"/>
              <w:rPr>
                <w:sz w:val="24"/>
              </w:rPr>
            </w:pPr>
          </w:p>
          <w:p w:rsidR="00B741F8" w:rsidRDefault="00454BC1">
            <w:pPr>
              <w:pStyle w:val="1"/>
              <w:spacing w:line="360" w:lineRule="auto"/>
              <w:ind w:firstLineChars="0" w:firstLine="0"/>
              <w:rPr>
                <w:b/>
                <w:sz w:val="24"/>
              </w:rPr>
            </w:pPr>
            <w:r>
              <w:rPr>
                <w:rFonts w:hint="eastAsia"/>
                <w:b/>
                <w:sz w:val="24"/>
              </w:rPr>
              <w:t>3</w:t>
            </w:r>
            <w:r>
              <w:rPr>
                <w:b/>
                <w:sz w:val="24"/>
              </w:rPr>
              <w:t xml:space="preserve">. </w:t>
            </w:r>
            <w:r>
              <w:rPr>
                <w:rFonts w:hint="eastAsia"/>
                <w:b/>
                <w:sz w:val="24"/>
              </w:rPr>
              <w:t>请问公司所处行业主要的进入壁垒是什么？</w:t>
            </w:r>
          </w:p>
          <w:p w:rsidR="00B741F8" w:rsidRDefault="00454BC1">
            <w:pPr>
              <w:pStyle w:val="1"/>
              <w:spacing w:line="360" w:lineRule="auto"/>
              <w:ind w:firstLineChars="0" w:firstLine="0"/>
              <w:rPr>
                <w:sz w:val="24"/>
              </w:rPr>
            </w:pPr>
            <w:r>
              <w:rPr>
                <w:rFonts w:hint="eastAsia"/>
                <w:sz w:val="24"/>
              </w:rPr>
              <w:t>答：主要是两个方面，</w:t>
            </w:r>
            <w:r>
              <w:rPr>
                <w:rFonts w:hint="eastAsia"/>
                <w:sz w:val="24"/>
              </w:rPr>
              <w:t>橡胶</w:t>
            </w:r>
            <w:r>
              <w:rPr>
                <w:rFonts w:hint="eastAsia"/>
                <w:sz w:val="24"/>
              </w:rPr>
              <w:t>配方和</w:t>
            </w:r>
            <w:r>
              <w:rPr>
                <w:rFonts w:hint="eastAsia"/>
                <w:sz w:val="24"/>
              </w:rPr>
              <w:t>生产</w:t>
            </w:r>
            <w:r>
              <w:rPr>
                <w:rFonts w:hint="eastAsia"/>
                <w:sz w:val="24"/>
              </w:rPr>
              <w:t>工艺。经过长期的试验和经验积累，公司在橡胶配方、胶黏剂的粘接工艺、硫化工艺、阻尼器生产工艺等方面都积累了大量的核心技术和经验，能够保证橡胶的抗变形、抗老化、耐候性，以及橡胶和钢板的紧密粘接、阻尼器力学性能及耐久性等要求，从而有能力生产出高质量、高性能的隔震橡胶支座和阻尼器产品。</w:t>
            </w:r>
          </w:p>
          <w:p w:rsidR="00B741F8" w:rsidRDefault="00B741F8">
            <w:pPr>
              <w:pStyle w:val="1"/>
              <w:spacing w:line="360" w:lineRule="auto"/>
              <w:ind w:firstLineChars="0" w:firstLine="0"/>
              <w:rPr>
                <w:sz w:val="24"/>
              </w:rPr>
            </w:pPr>
          </w:p>
          <w:p w:rsidR="00B741F8" w:rsidRDefault="00454BC1">
            <w:pPr>
              <w:pStyle w:val="1"/>
              <w:spacing w:line="360" w:lineRule="auto"/>
              <w:ind w:firstLineChars="0" w:firstLine="0"/>
              <w:rPr>
                <w:b/>
                <w:sz w:val="24"/>
              </w:rPr>
            </w:pPr>
            <w:r>
              <w:rPr>
                <w:rFonts w:hint="eastAsia"/>
                <w:sz w:val="24"/>
              </w:rPr>
              <w:t>4</w:t>
            </w:r>
            <w:r>
              <w:rPr>
                <w:sz w:val="24"/>
              </w:rPr>
              <w:t>.</w:t>
            </w:r>
            <w:r>
              <w:rPr>
                <w:rFonts w:hint="eastAsia"/>
                <w:b/>
                <w:sz w:val="24"/>
              </w:rPr>
              <w:t>抗震设防烈度以什么作为划分依据？</w:t>
            </w:r>
          </w:p>
          <w:p w:rsidR="00B741F8" w:rsidRDefault="00454BC1">
            <w:pPr>
              <w:pStyle w:val="1"/>
              <w:spacing w:line="360" w:lineRule="auto"/>
              <w:ind w:firstLineChars="0" w:firstLine="0"/>
              <w:rPr>
                <w:rFonts w:hint="eastAsia"/>
                <w:sz w:val="24"/>
              </w:rPr>
            </w:pPr>
            <w:r>
              <w:rPr>
                <w:rFonts w:hint="eastAsia"/>
                <w:sz w:val="24"/>
              </w:rPr>
              <w:t>答：</w:t>
            </w:r>
            <w:r>
              <w:rPr>
                <w:rFonts w:hint="eastAsia"/>
                <w:sz w:val="24"/>
              </w:rPr>
              <w:t>抗震设防烈度是用来衡量建设工程所应达到的</w:t>
            </w:r>
            <w:r>
              <w:rPr>
                <w:rFonts w:hint="eastAsia"/>
                <w:sz w:val="24"/>
              </w:rPr>
              <w:t>防</w:t>
            </w:r>
            <w:r>
              <w:rPr>
                <w:rFonts w:hint="eastAsia"/>
                <w:sz w:val="24"/>
              </w:rPr>
              <w:t>御地震破坏的准则和技术指标。抗震设防简单地说，就是为达到抗震效果，在工程建设时对建筑物进行抗震设计并采取抗震设施</w:t>
            </w:r>
            <w:r>
              <w:rPr>
                <w:rFonts w:hint="eastAsia"/>
                <w:sz w:val="24"/>
              </w:rPr>
              <w:t>应达到的要求</w:t>
            </w:r>
            <w:r>
              <w:rPr>
                <w:rFonts w:hint="eastAsia"/>
                <w:sz w:val="24"/>
              </w:rPr>
              <w:t>。</w:t>
            </w:r>
            <w:r>
              <w:rPr>
                <w:rFonts w:hint="eastAsia"/>
                <w:sz w:val="24"/>
              </w:rPr>
              <w:t>抗震设防烈度是指经国务院地震行政主管部门制定或审定的，它是在综合考虑地震环境例如该地点所处的断层、板块、历史上是否发生过大地震等，以及建设工程的重要程度、允许的风险水平及要达到的安全目标和国家经济承受能力等因素的基础上确定的。</w:t>
            </w:r>
            <w:bookmarkStart w:id="0" w:name="_GoBack"/>
            <w:bookmarkEnd w:id="0"/>
          </w:p>
          <w:p w:rsidR="00B741F8" w:rsidRDefault="00454BC1">
            <w:pPr>
              <w:pStyle w:val="1"/>
              <w:spacing w:line="360" w:lineRule="auto"/>
              <w:ind w:firstLineChars="0" w:firstLine="0"/>
              <w:rPr>
                <w:b/>
                <w:sz w:val="24"/>
              </w:rPr>
            </w:pPr>
            <w:r>
              <w:rPr>
                <w:rFonts w:hint="eastAsia"/>
                <w:b/>
                <w:sz w:val="24"/>
              </w:rPr>
              <w:lastRenderedPageBreak/>
              <w:t>5</w:t>
            </w:r>
            <w:r>
              <w:rPr>
                <w:b/>
                <w:sz w:val="24"/>
              </w:rPr>
              <w:t>.</w:t>
            </w:r>
            <w:r>
              <w:rPr>
                <w:rFonts w:hint="eastAsia"/>
                <w:b/>
                <w:sz w:val="24"/>
              </w:rPr>
              <w:t>请问目前民用住宅使用减隔震装置多吗？</w:t>
            </w:r>
          </w:p>
          <w:p w:rsidR="00B741F8" w:rsidRDefault="00454BC1">
            <w:pPr>
              <w:pStyle w:val="1"/>
              <w:spacing w:line="360" w:lineRule="auto"/>
              <w:ind w:firstLineChars="0" w:firstLine="0"/>
              <w:rPr>
                <w:sz w:val="24"/>
              </w:rPr>
            </w:pPr>
            <w:r>
              <w:rPr>
                <w:rFonts w:hint="eastAsia"/>
                <w:sz w:val="24"/>
              </w:rPr>
              <w:t>答：</w:t>
            </w:r>
            <w:r>
              <w:rPr>
                <w:rFonts w:hint="eastAsia"/>
                <w:sz w:val="24"/>
              </w:rPr>
              <w:t xml:space="preserve"> </w:t>
            </w:r>
            <w:r>
              <w:rPr>
                <w:rFonts w:hint="eastAsia"/>
                <w:sz w:val="24"/>
              </w:rPr>
              <w:t>国内目前的住宅小区所使用防御地震的装置</w:t>
            </w:r>
            <w:r>
              <w:rPr>
                <w:rFonts w:hint="eastAsia"/>
                <w:sz w:val="24"/>
              </w:rPr>
              <w:t>还不多</w:t>
            </w:r>
            <w:r>
              <w:rPr>
                <w:rFonts w:hint="eastAsia"/>
                <w:sz w:val="24"/>
              </w:rPr>
              <w:t>，</w:t>
            </w:r>
            <w:r>
              <w:rPr>
                <w:rFonts w:hint="eastAsia"/>
                <w:sz w:val="24"/>
              </w:rPr>
              <w:t>几个</w:t>
            </w:r>
            <w:r>
              <w:rPr>
                <w:rFonts w:hint="eastAsia"/>
                <w:sz w:val="24"/>
              </w:rPr>
              <w:t>烈度为</w:t>
            </w:r>
            <w:r>
              <w:rPr>
                <w:rFonts w:hint="eastAsia"/>
                <w:sz w:val="24"/>
              </w:rPr>
              <w:t>8</w:t>
            </w:r>
            <w:r>
              <w:rPr>
                <w:rFonts w:hint="eastAsia"/>
                <w:sz w:val="24"/>
              </w:rPr>
              <w:t>度半、</w:t>
            </w:r>
            <w:r>
              <w:rPr>
                <w:rFonts w:hint="eastAsia"/>
                <w:sz w:val="24"/>
              </w:rPr>
              <w:t>9</w:t>
            </w:r>
            <w:r>
              <w:rPr>
                <w:rFonts w:hint="eastAsia"/>
                <w:sz w:val="24"/>
              </w:rPr>
              <w:t>度的地区</w:t>
            </w:r>
            <w:r>
              <w:rPr>
                <w:rFonts w:hint="eastAsia"/>
                <w:sz w:val="24"/>
              </w:rPr>
              <w:t>由于采用减隔震技术有较好的经济性</w:t>
            </w:r>
            <w:r>
              <w:rPr>
                <w:rFonts w:hint="eastAsia"/>
                <w:sz w:val="24"/>
              </w:rPr>
              <w:t>在使用，例如四川的康定、西昌</w:t>
            </w:r>
            <w:r>
              <w:rPr>
                <w:rFonts w:hint="eastAsia"/>
                <w:sz w:val="24"/>
              </w:rPr>
              <w:t>，云南的东川、寻甸、澜沧</w:t>
            </w:r>
            <w:r>
              <w:rPr>
                <w:rFonts w:hint="eastAsia"/>
                <w:sz w:val="24"/>
              </w:rPr>
              <w:t>等</w:t>
            </w:r>
            <w:r>
              <w:rPr>
                <w:rFonts w:hint="eastAsia"/>
                <w:sz w:val="24"/>
              </w:rPr>
              <w:t>，但在住宅中采用减隔震技术</w:t>
            </w:r>
            <w:r>
              <w:rPr>
                <w:rFonts w:hint="eastAsia"/>
                <w:sz w:val="24"/>
              </w:rPr>
              <w:t>能大大提高</w:t>
            </w:r>
            <w:r>
              <w:rPr>
                <w:rFonts w:hint="eastAsia"/>
                <w:sz w:val="24"/>
              </w:rPr>
              <w:t>安全性，有效的保护人员生命、建筑家具及建筑本身，具有潜在的需求。</w:t>
            </w:r>
          </w:p>
          <w:p w:rsidR="00B741F8" w:rsidRDefault="00B741F8">
            <w:pPr>
              <w:pStyle w:val="1"/>
              <w:spacing w:line="360" w:lineRule="auto"/>
              <w:ind w:firstLineChars="0" w:firstLine="0"/>
              <w:rPr>
                <w:sz w:val="24"/>
              </w:rPr>
            </w:pPr>
          </w:p>
          <w:p w:rsidR="00B741F8" w:rsidRDefault="00454BC1">
            <w:pPr>
              <w:pStyle w:val="1"/>
              <w:spacing w:line="360" w:lineRule="auto"/>
              <w:ind w:firstLineChars="0" w:firstLine="0"/>
              <w:rPr>
                <w:b/>
                <w:sz w:val="24"/>
              </w:rPr>
            </w:pPr>
            <w:r>
              <w:rPr>
                <w:rFonts w:hint="eastAsia"/>
                <w:b/>
                <w:sz w:val="24"/>
              </w:rPr>
              <w:t>6</w:t>
            </w:r>
            <w:r>
              <w:rPr>
                <w:b/>
                <w:sz w:val="24"/>
              </w:rPr>
              <w:t xml:space="preserve">. </w:t>
            </w:r>
            <w:r>
              <w:rPr>
                <w:rFonts w:hint="eastAsia"/>
                <w:b/>
                <w:sz w:val="24"/>
              </w:rPr>
              <w:t>请问公司与竞争对手相比有什么优势？</w:t>
            </w:r>
          </w:p>
          <w:p w:rsidR="00B741F8" w:rsidRDefault="00454BC1">
            <w:pPr>
              <w:pStyle w:val="1"/>
              <w:spacing w:line="360" w:lineRule="auto"/>
              <w:ind w:firstLineChars="0" w:firstLine="0"/>
              <w:rPr>
                <w:sz w:val="24"/>
              </w:rPr>
            </w:pPr>
            <w:r>
              <w:rPr>
                <w:rFonts w:hint="eastAsia"/>
                <w:sz w:val="24"/>
              </w:rPr>
              <w:t>答：首先，公司通过资源整合，突破了单纯产品生</w:t>
            </w:r>
            <w:r>
              <w:rPr>
                <w:rFonts w:hint="eastAsia"/>
                <w:sz w:val="24"/>
              </w:rPr>
              <w:t>产企业的局限性，能够为工程项目提供减隔震技术咨询，减隔震结构分析设计，减隔震产品研发、设计、生产、检验、销售、监测以及指导安装与更换等全产业链和全方位整体减隔震解决方案。其次，</w:t>
            </w:r>
            <w:r>
              <w:rPr>
                <w:rFonts w:hint="eastAsia"/>
                <w:sz w:val="24"/>
              </w:rPr>
              <w:t>公司</w:t>
            </w:r>
            <w:r>
              <w:rPr>
                <w:rFonts w:hint="eastAsia"/>
                <w:sz w:val="24"/>
              </w:rPr>
              <w:t>减震产品</w:t>
            </w:r>
            <w:r>
              <w:rPr>
                <w:rFonts w:hint="eastAsia"/>
                <w:sz w:val="24"/>
              </w:rPr>
              <w:t>部分</w:t>
            </w:r>
            <w:r>
              <w:rPr>
                <w:rFonts w:hint="eastAsia"/>
                <w:sz w:val="24"/>
              </w:rPr>
              <w:t>性能指标优于</w:t>
            </w:r>
            <w:r>
              <w:rPr>
                <w:rFonts w:hint="eastAsia"/>
                <w:sz w:val="24"/>
              </w:rPr>
              <w:t>国家标准和</w:t>
            </w:r>
            <w:r>
              <w:rPr>
                <w:rFonts w:hint="eastAsia"/>
                <w:sz w:val="24"/>
              </w:rPr>
              <w:t>行业标准，不仅保证了公司产品的高质量，而且也进一步提高了减隔震建筑物在大地震中的安全储备。随着减隔震技术的进一步推广和应用，减隔震产品的质量标准预期会进</w:t>
            </w:r>
            <w:r>
              <w:rPr>
                <w:rFonts w:hint="eastAsia"/>
                <w:sz w:val="24"/>
              </w:rPr>
              <w:t>一步提高，公司具有较大的先发优势。最后，公司的技术水平、能力水平在行业内处于领先的地位，具有较强的研发能力和较高的产品制造工艺水平。</w:t>
            </w:r>
          </w:p>
        </w:tc>
      </w:tr>
      <w:tr w:rsidR="00B741F8">
        <w:trPr>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lastRenderedPageBreak/>
              <w:t>附件清单（如有）</w:t>
            </w:r>
          </w:p>
        </w:tc>
        <w:tc>
          <w:tcPr>
            <w:tcW w:w="6542" w:type="dxa"/>
            <w:vAlign w:val="center"/>
          </w:tcPr>
          <w:p w:rsidR="00B741F8" w:rsidRDefault="00454BC1">
            <w:pPr>
              <w:pStyle w:val="1"/>
              <w:spacing w:line="360" w:lineRule="auto"/>
              <w:ind w:firstLineChars="0" w:firstLine="0"/>
              <w:rPr>
                <w:bCs/>
                <w:iCs/>
                <w:color w:val="000000"/>
                <w:sz w:val="24"/>
              </w:rPr>
            </w:pPr>
            <w:r>
              <w:rPr>
                <w:bCs/>
                <w:iCs/>
                <w:color w:val="000000"/>
                <w:sz w:val="24"/>
              </w:rPr>
              <w:t>无</w:t>
            </w:r>
          </w:p>
        </w:tc>
      </w:tr>
      <w:tr w:rsidR="00B741F8">
        <w:trPr>
          <w:jc w:val="center"/>
        </w:trPr>
        <w:tc>
          <w:tcPr>
            <w:tcW w:w="1980" w:type="dxa"/>
            <w:vAlign w:val="center"/>
          </w:tcPr>
          <w:p w:rsidR="00B741F8" w:rsidRDefault="00454BC1">
            <w:pPr>
              <w:spacing w:line="480" w:lineRule="atLeast"/>
              <w:jc w:val="center"/>
              <w:rPr>
                <w:b/>
                <w:bCs/>
                <w:iCs/>
                <w:color w:val="000000"/>
                <w:sz w:val="24"/>
              </w:rPr>
            </w:pPr>
            <w:r>
              <w:rPr>
                <w:b/>
                <w:bCs/>
                <w:iCs/>
                <w:color w:val="000000"/>
                <w:sz w:val="24"/>
              </w:rPr>
              <w:t>日期</w:t>
            </w:r>
          </w:p>
        </w:tc>
        <w:tc>
          <w:tcPr>
            <w:tcW w:w="6542" w:type="dxa"/>
            <w:vAlign w:val="center"/>
          </w:tcPr>
          <w:p w:rsidR="00B741F8" w:rsidRDefault="00454BC1">
            <w:pPr>
              <w:spacing w:line="480" w:lineRule="atLeast"/>
              <w:rPr>
                <w:bCs/>
                <w:iCs/>
                <w:color w:val="000000"/>
                <w:sz w:val="24"/>
              </w:rPr>
            </w:pPr>
            <w:r>
              <w:rPr>
                <w:rFonts w:hint="eastAsia"/>
                <w:bCs/>
                <w:iCs/>
                <w:color w:val="000000"/>
                <w:sz w:val="24"/>
              </w:rPr>
              <w:t>2020</w:t>
            </w:r>
            <w:r>
              <w:rPr>
                <w:rFonts w:hint="eastAsia"/>
                <w:bCs/>
                <w:iCs/>
                <w:color w:val="000000"/>
                <w:sz w:val="24"/>
              </w:rPr>
              <w:t>年</w:t>
            </w:r>
            <w:r>
              <w:rPr>
                <w:rFonts w:hint="eastAsia"/>
                <w:bCs/>
                <w:iCs/>
                <w:color w:val="000000"/>
                <w:sz w:val="24"/>
              </w:rPr>
              <w:t>10</w:t>
            </w:r>
            <w:r>
              <w:rPr>
                <w:rFonts w:hint="eastAsia"/>
                <w:bCs/>
                <w:iCs/>
                <w:color w:val="000000"/>
                <w:sz w:val="24"/>
              </w:rPr>
              <w:t>月</w:t>
            </w:r>
            <w:r>
              <w:rPr>
                <w:rFonts w:hint="eastAsia"/>
                <w:bCs/>
                <w:iCs/>
                <w:color w:val="000000"/>
                <w:sz w:val="24"/>
              </w:rPr>
              <w:t>30</w:t>
            </w:r>
            <w:r>
              <w:rPr>
                <w:rFonts w:hint="eastAsia"/>
                <w:bCs/>
                <w:iCs/>
                <w:color w:val="000000"/>
                <w:sz w:val="24"/>
              </w:rPr>
              <w:t>日</w:t>
            </w:r>
          </w:p>
        </w:tc>
      </w:tr>
    </w:tbl>
    <w:p w:rsidR="00B741F8" w:rsidRDefault="00B741F8"/>
    <w:sectPr w:rsidR="00B741F8">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C1" w:rsidRDefault="00454BC1">
      <w:r>
        <w:separator/>
      </w:r>
    </w:p>
  </w:endnote>
  <w:endnote w:type="continuationSeparator" w:id="0">
    <w:p w:rsidR="00454BC1" w:rsidRDefault="0045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47414"/>
    </w:sdtPr>
    <w:sdtEndPr/>
    <w:sdtContent>
      <w:p w:rsidR="00B741F8" w:rsidRDefault="00454BC1">
        <w:pPr>
          <w:pStyle w:val="a5"/>
          <w:jc w:val="right"/>
        </w:pPr>
        <w:r>
          <w:fldChar w:fldCharType="begin"/>
        </w:r>
        <w:r>
          <w:instrText>PAGE   \* MERGEFORMAT</w:instrText>
        </w:r>
        <w:r>
          <w:fldChar w:fldCharType="separate"/>
        </w:r>
        <w:r w:rsidR="00E87C8D" w:rsidRPr="00E87C8D">
          <w:rPr>
            <w:noProof/>
            <w:lang w:val="zh-CN"/>
          </w:rPr>
          <w:t>1</w:t>
        </w:r>
        <w:r>
          <w:fldChar w:fldCharType="end"/>
        </w:r>
      </w:p>
    </w:sdtContent>
  </w:sdt>
  <w:p w:rsidR="00B741F8" w:rsidRDefault="00B741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C1" w:rsidRDefault="00454BC1">
      <w:r>
        <w:separator/>
      </w:r>
    </w:p>
  </w:footnote>
  <w:footnote w:type="continuationSeparator" w:id="0">
    <w:p w:rsidR="00454BC1" w:rsidRDefault="0045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88"/>
    <w:rsid w:val="00016191"/>
    <w:rsid w:val="00026FAB"/>
    <w:rsid w:val="00043FE7"/>
    <w:rsid w:val="000658D3"/>
    <w:rsid w:val="00095892"/>
    <w:rsid w:val="00097939"/>
    <w:rsid w:val="000A1918"/>
    <w:rsid w:val="000A59F0"/>
    <w:rsid w:val="000B35E8"/>
    <w:rsid w:val="000E488E"/>
    <w:rsid w:val="000E7130"/>
    <w:rsid w:val="00101D8E"/>
    <w:rsid w:val="00127AD7"/>
    <w:rsid w:val="001705F1"/>
    <w:rsid w:val="00183F06"/>
    <w:rsid w:val="001848BC"/>
    <w:rsid w:val="001A3AC1"/>
    <w:rsid w:val="001B1613"/>
    <w:rsid w:val="001B33D4"/>
    <w:rsid w:val="001D46A0"/>
    <w:rsid w:val="001E4C47"/>
    <w:rsid w:val="00275409"/>
    <w:rsid w:val="002B7F1A"/>
    <w:rsid w:val="002C0F8B"/>
    <w:rsid w:val="002D6222"/>
    <w:rsid w:val="002F3D2C"/>
    <w:rsid w:val="003037BA"/>
    <w:rsid w:val="00307908"/>
    <w:rsid w:val="0031557A"/>
    <w:rsid w:val="00322613"/>
    <w:rsid w:val="00372393"/>
    <w:rsid w:val="003857F8"/>
    <w:rsid w:val="003A76C8"/>
    <w:rsid w:val="003C5708"/>
    <w:rsid w:val="003E686B"/>
    <w:rsid w:val="00404065"/>
    <w:rsid w:val="004077AE"/>
    <w:rsid w:val="00422C58"/>
    <w:rsid w:val="00425368"/>
    <w:rsid w:val="004256C3"/>
    <w:rsid w:val="00432EE9"/>
    <w:rsid w:val="00447104"/>
    <w:rsid w:val="00454BC1"/>
    <w:rsid w:val="004675B0"/>
    <w:rsid w:val="004718F2"/>
    <w:rsid w:val="00472113"/>
    <w:rsid w:val="00481B0F"/>
    <w:rsid w:val="0048367E"/>
    <w:rsid w:val="00494BCF"/>
    <w:rsid w:val="004954EF"/>
    <w:rsid w:val="004A25E1"/>
    <w:rsid w:val="004A5354"/>
    <w:rsid w:val="004A7CC0"/>
    <w:rsid w:val="004C3501"/>
    <w:rsid w:val="004D2FB5"/>
    <w:rsid w:val="004D622B"/>
    <w:rsid w:val="004E6326"/>
    <w:rsid w:val="004F7A8C"/>
    <w:rsid w:val="00500DEE"/>
    <w:rsid w:val="005029D9"/>
    <w:rsid w:val="00515714"/>
    <w:rsid w:val="0055201E"/>
    <w:rsid w:val="00566621"/>
    <w:rsid w:val="005E203A"/>
    <w:rsid w:val="005E2E67"/>
    <w:rsid w:val="005E690F"/>
    <w:rsid w:val="005F08AD"/>
    <w:rsid w:val="005F4152"/>
    <w:rsid w:val="00611F6B"/>
    <w:rsid w:val="00635106"/>
    <w:rsid w:val="0063691D"/>
    <w:rsid w:val="00644AF1"/>
    <w:rsid w:val="006A1EC0"/>
    <w:rsid w:val="006A45BF"/>
    <w:rsid w:val="006A6CB6"/>
    <w:rsid w:val="006E7839"/>
    <w:rsid w:val="007122AF"/>
    <w:rsid w:val="00720812"/>
    <w:rsid w:val="007279EA"/>
    <w:rsid w:val="00745C17"/>
    <w:rsid w:val="00760725"/>
    <w:rsid w:val="00785994"/>
    <w:rsid w:val="0078798A"/>
    <w:rsid w:val="00790557"/>
    <w:rsid w:val="00797619"/>
    <w:rsid w:val="007A21D1"/>
    <w:rsid w:val="007C02F5"/>
    <w:rsid w:val="007C7567"/>
    <w:rsid w:val="007F17D1"/>
    <w:rsid w:val="007F551D"/>
    <w:rsid w:val="007F5C6D"/>
    <w:rsid w:val="008057BC"/>
    <w:rsid w:val="00814DC9"/>
    <w:rsid w:val="00816336"/>
    <w:rsid w:val="008449BA"/>
    <w:rsid w:val="008520EF"/>
    <w:rsid w:val="00852529"/>
    <w:rsid w:val="00853BEF"/>
    <w:rsid w:val="008569B6"/>
    <w:rsid w:val="00875511"/>
    <w:rsid w:val="00891419"/>
    <w:rsid w:val="008A2C88"/>
    <w:rsid w:val="008A544D"/>
    <w:rsid w:val="008B0C58"/>
    <w:rsid w:val="008B3270"/>
    <w:rsid w:val="008C259E"/>
    <w:rsid w:val="008D5355"/>
    <w:rsid w:val="008F2C20"/>
    <w:rsid w:val="0091142C"/>
    <w:rsid w:val="0091766A"/>
    <w:rsid w:val="009349D0"/>
    <w:rsid w:val="00943F10"/>
    <w:rsid w:val="00963BFC"/>
    <w:rsid w:val="00972E3D"/>
    <w:rsid w:val="009936BE"/>
    <w:rsid w:val="009D4088"/>
    <w:rsid w:val="009E504E"/>
    <w:rsid w:val="009F1C8D"/>
    <w:rsid w:val="009F67D0"/>
    <w:rsid w:val="00A01C32"/>
    <w:rsid w:val="00A14E10"/>
    <w:rsid w:val="00A26F9E"/>
    <w:rsid w:val="00A360D1"/>
    <w:rsid w:val="00A4700F"/>
    <w:rsid w:val="00A741CA"/>
    <w:rsid w:val="00A93A9A"/>
    <w:rsid w:val="00A94290"/>
    <w:rsid w:val="00AA3890"/>
    <w:rsid w:val="00AA5B26"/>
    <w:rsid w:val="00AC3329"/>
    <w:rsid w:val="00AC4CBD"/>
    <w:rsid w:val="00AC69A7"/>
    <w:rsid w:val="00AC6FC0"/>
    <w:rsid w:val="00AE70D7"/>
    <w:rsid w:val="00AF4D59"/>
    <w:rsid w:val="00B22D6A"/>
    <w:rsid w:val="00B63924"/>
    <w:rsid w:val="00B741F8"/>
    <w:rsid w:val="00B82DC0"/>
    <w:rsid w:val="00B8799D"/>
    <w:rsid w:val="00BA600B"/>
    <w:rsid w:val="00BA6297"/>
    <w:rsid w:val="00BB4589"/>
    <w:rsid w:val="00BB6A75"/>
    <w:rsid w:val="00BC5A45"/>
    <w:rsid w:val="00C30A75"/>
    <w:rsid w:val="00C33152"/>
    <w:rsid w:val="00C71674"/>
    <w:rsid w:val="00C732D1"/>
    <w:rsid w:val="00C74DCB"/>
    <w:rsid w:val="00CA1627"/>
    <w:rsid w:val="00CB2595"/>
    <w:rsid w:val="00CB6366"/>
    <w:rsid w:val="00CD19C2"/>
    <w:rsid w:val="00CD2CAD"/>
    <w:rsid w:val="00CD403C"/>
    <w:rsid w:val="00D4096F"/>
    <w:rsid w:val="00D534C9"/>
    <w:rsid w:val="00D62C85"/>
    <w:rsid w:val="00D73F88"/>
    <w:rsid w:val="00D76232"/>
    <w:rsid w:val="00D813A4"/>
    <w:rsid w:val="00D8725E"/>
    <w:rsid w:val="00DA1FFA"/>
    <w:rsid w:val="00DA4F1F"/>
    <w:rsid w:val="00DB44EF"/>
    <w:rsid w:val="00DB58B2"/>
    <w:rsid w:val="00DF5E5F"/>
    <w:rsid w:val="00E00A4D"/>
    <w:rsid w:val="00E16188"/>
    <w:rsid w:val="00E238EE"/>
    <w:rsid w:val="00E33971"/>
    <w:rsid w:val="00E44DA3"/>
    <w:rsid w:val="00E639AD"/>
    <w:rsid w:val="00E82C96"/>
    <w:rsid w:val="00E87C8D"/>
    <w:rsid w:val="00EB3B19"/>
    <w:rsid w:val="00ED3F10"/>
    <w:rsid w:val="00EF359E"/>
    <w:rsid w:val="00EF41AC"/>
    <w:rsid w:val="00EF508D"/>
    <w:rsid w:val="00EF6D70"/>
    <w:rsid w:val="00F042BE"/>
    <w:rsid w:val="00F05CD6"/>
    <w:rsid w:val="00F26C06"/>
    <w:rsid w:val="00F74B2E"/>
    <w:rsid w:val="00F8516A"/>
    <w:rsid w:val="00F86792"/>
    <w:rsid w:val="00F94AF4"/>
    <w:rsid w:val="00F971FD"/>
    <w:rsid w:val="00FA4608"/>
    <w:rsid w:val="00FA5D39"/>
    <w:rsid w:val="0F3F2ACC"/>
    <w:rsid w:val="12D6207C"/>
    <w:rsid w:val="17771A8F"/>
    <w:rsid w:val="17A50551"/>
    <w:rsid w:val="25A74942"/>
    <w:rsid w:val="349E5654"/>
    <w:rsid w:val="36FF0937"/>
    <w:rsid w:val="3D4472A6"/>
    <w:rsid w:val="3E413A8B"/>
    <w:rsid w:val="4543181B"/>
    <w:rsid w:val="4917556B"/>
    <w:rsid w:val="4A2E7B49"/>
    <w:rsid w:val="4E95725E"/>
    <w:rsid w:val="516415FB"/>
    <w:rsid w:val="5A912E0D"/>
    <w:rsid w:val="5DBE3B40"/>
    <w:rsid w:val="5E1C4ABB"/>
    <w:rsid w:val="5F562845"/>
    <w:rsid w:val="675C3085"/>
    <w:rsid w:val="683479C5"/>
    <w:rsid w:val="6E4D3803"/>
    <w:rsid w:val="6EEE4AF6"/>
    <w:rsid w:val="70851933"/>
    <w:rsid w:val="751E1775"/>
    <w:rsid w:val="786C4A13"/>
    <w:rsid w:val="78E55147"/>
    <w:rsid w:val="7D3F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39AB7"/>
  <w15:docId w15:val="{A48B7A75-4DCF-426B-9AEE-3289E0C0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7">
    <w:name w:val="页眉 字符"/>
    <w:basedOn w:val="a0"/>
    <w:link w:val="a6"/>
    <w:qFormat/>
    <w:rPr>
      <w:rFonts w:ascii="Times New Roman" w:eastAsia="宋体" w:hAnsi="Times New Roman" w:cs="Times New Roman"/>
      <w:kern w:val="2"/>
      <w:sz w:val="18"/>
      <w:szCs w:val="18"/>
    </w:rPr>
  </w:style>
  <w:style w:type="character" w:customStyle="1" w:styleId="a4">
    <w:name w:val="批注框文本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B1248-CA60-4DFE-B1C3-93B58E04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1516</Characters>
  <Application>Microsoft Office Word</Application>
  <DocSecurity>0</DocSecurity>
  <Lines>12</Lines>
  <Paragraphs>3</Paragraphs>
  <ScaleCrop>false</ScaleCrop>
  <Company>longjin</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2017-05-08T02:02:00Z</cp:lastPrinted>
  <dcterms:created xsi:type="dcterms:W3CDTF">2020-10-30T08:22:00Z</dcterms:created>
  <dcterms:modified xsi:type="dcterms:W3CDTF">2020-10-30T08:22:00Z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