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AA" w:rsidRPr="00D33505" w:rsidRDefault="00E94BAA" w:rsidP="00E94BAA">
      <w:pPr>
        <w:spacing w:beforeLines="50" w:before="156" w:afterLines="50" w:after="156" w:line="400" w:lineRule="exact"/>
        <w:rPr>
          <w:rFonts w:ascii="华文楷体" w:eastAsia="华文楷体" w:hAnsi="华文楷体"/>
          <w:bCs/>
          <w:iCs/>
          <w:color w:val="000000"/>
          <w:sz w:val="24"/>
        </w:rPr>
      </w:pPr>
      <w:r w:rsidRPr="00D33505">
        <w:rPr>
          <w:rFonts w:ascii="华文楷体" w:eastAsia="华文楷体" w:hAnsi="华文楷体" w:hint="eastAsia"/>
          <w:bCs/>
          <w:iCs/>
          <w:color w:val="000000"/>
          <w:sz w:val="24"/>
        </w:rPr>
        <w:t>证券代码：</w:t>
      </w:r>
      <w:r w:rsidRPr="00D33505">
        <w:rPr>
          <w:rFonts w:ascii="华文楷体" w:eastAsia="华文楷体" w:hAnsi="华文楷体"/>
          <w:sz w:val="24"/>
        </w:rPr>
        <w:t>000039、299901</w:t>
      </w:r>
      <w:r w:rsidRPr="00D33505">
        <w:rPr>
          <w:rFonts w:ascii="华文楷体" w:eastAsia="华文楷体" w:hAnsi="华文楷体" w:hint="eastAsia"/>
          <w:bCs/>
          <w:iCs/>
          <w:color w:val="000000"/>
          <w:sz w:val="24"/>
        </w:rPr>
        <w:t xml:space="preserve">                 证券简称：中集集团、中集</w:t>
      </w:r>
      <w:r w:rsidRPr="00D33505">
        <w:rPr>
          <w:rFonts w:ascii="华文楷体" w:eastAsia="华文楷体" w:hAnsi="华文楷体"/>
          <w:bCs/>
          <w:iCs/>
          <w:color w:val="000000"/>
          <w:sz w:val="24"/>
        </w:rPr>
        <w:t>H代</w:t>
      </w:r>
      <w:r w:rsidRPr="00D33505">
        <w:rPr>
          <w:rFonts w:ascii="华文楷体" w:eastAsia="华文楷体" w:hAnsi="华文楷体" w:hint="eastAsia"/>
          <w:bCs/>
          <w:iCs/>
          <w:color w:val="000000"/>
          <w:sz w:val="24"/>
        </w:rPr>
        <w:t xml:space="preserve">　</w:t>
      </w:r>
    </w:p>
    <w:p w:rsidR="00E94BAA" w:rsidRPr="00D33505" w:rsidRDefault="00E94BAA" w:rsidP="00E94BAA">
      <w:pPr>
        <w:spacing w:beforeLines="50" w:before="156" w:afterLines="50" w:after="156" w:line="400" w:lineRule="exact"/>
        <w:jc w:val="center"/>
        <w:rPr>
          <w:rFonts w:ascii="华文楷体" w:eastAsia="华文楷体" w:hAnsi="华文楷体"/>
          <w:b/>
          <w:bCs/>
          <w:iCs/>
          <w:color w:val="000000"/>
          <w:sz w:val="32"/>
          <w:szCs w:val="32"/>
        </w:rPr>
      </w:pPr>
    </w:p>
    <w:p w:rsidR="00E94BAA" w:rsidRPr="00D33505" w:rsidRDefault="00E94BAA" w:rsidP="00E94BAA">
      <w:pPr>
        <w:spacing w:beforeLines="50" w:before="156" w:afterLines="50" w:after="156" w:line="400" w:lineRule="exact"/>
        <w:jc w:val="center"/>
        <w:rPr>
          <w:rFonts w:ascii="华文楷体" w:eastAsia="华文楷体" w:hAnsi="华文楷体"/>
          <w:b/>
          <w:bCs/>
          <w:iCs/>
          <w:color w:val="000000"/>
          <w:sz w:val="32"/>
          <w:szCs w:val="32"/>
        </w:rPr>
      </w:pPr>
      <w:r w:rsidRPr="00D33505">
        <w:rPr>
          <w:rFonts w:ascii="华文楷体" w:eastAsia="华文楷体" w:hAnsi="华文楷体" w:hint="eastAsia"/>
          <w:b/>
          <w:bCs/>
          <w:iCs/>
          <w:color w:val="000000"/>
          <w:sz w:val="32"/>
          <w:szCs w:val="32"/>
        </w:rPr>
        <w:t>中国国际海运集装箱（集团）股份有限公司</w:t>
      </w:r>
    </w:p>
    <w:p w:rsidR="00E94BAA" w:rsidRPr="00D33505" w:rsidRDefault="00E94BAA" w:rsidP="00E94BAA">
      <w:pPr>
        <w:spacing w:beforeLines="50" w:before="156" w:afterLines="50" w:after="156" w:line="400" w:lineRule="exact"/>
        <w:jc w:val="center"/>
        <w:rPr>
          <w:rFonts w:ascii="华文楷体" w:eastAsia="华文楷体" w:hAnsi="华文楷体"/>
          <w:b/>
          <w:bCs/>
          <w:iCs/>
          <w:color w:val="000000"/>
          <w:sz w:val="32"/>
          <w:szCs w:val="32"/>
        </w:rPr>
      </w:pPr>
      <w:r w:rsidRPr="00D33505">
        <w:rPr>
          <w:rFonts w:ascii="华文楷体" w:eastAsia="华文楷体" w:hAnsi="华文楷体" w:hint="eastAsia"/>
          <w:b/>
          <w:bCs/>
          <w:iCs/>
          <w:color w:val="000000"/>
          <w:sz w:val="32"/>
          <w:szCs w:val="32"/>
        </w:rPr>
        <w:t>投资者关系活动记录表</w:t>
      </w:r>
    </w:p>
    <w:p w:rsidR="00E94BAA" w:rsidRPr="00D33505" w:rsidRDefault="00E94BAA" w:rsidP="00E94BAA">
      <w:pPr>
        <w:spacing w:line="400" w:lineRule="exact"/>
        <w:rPr>
          <w:rFonts w:ascii="华文楷体" w:eastAsia="华文楷体" w:hAnsi="华文楷体"/>
          <w:bCs/>
          <w:iCs/>
          <w:color w:val="000000"/>
          <w:sz w:val="24"/>
        </w:rPr>
      </w:pPr>
      <w:r w:rsidRPr="00D33505">
        <w:rPr>
          <w:rFonts w:ascii="华文楷体" w:eastAsia="华文楷体" w:hAnsi="华文楷体" w:hint="eastAsia"/>
          <w:bCs/>
          <w:iCs/>
          <w:color w:val="000000"/>
          <w:sz w:val="24"/>
        </w:rPr>
        <w:t xml:space="preserve">                                                        编号：</w:t>
      </w:r>
      <w:r w:rsidRPr="00D33505">
        <w:rPr>
          <w:rFonts w:ascii="华文楷体" w:eastAsia="华文楷体" w:hAnsi="华文楷体"/>
          <w:bCs/>
          <w:iCs/>
          <w:color w:val="000000"/>
          <w:sz w:val="24"/>
        </w:rPr>
        <w:t>20</w:t>
      </w:r>
      <w:r w:rsidR="00F3592D">
        <w:rPr>
          <w:rFonts w:ascii="华文楷体" w:eastAsia="华文楷体" w:hAnsi="华文楷体"/>
          <w:bCs/>
          <w:iCs/>
          <w:color w:val="000000"/>
          <w:sz w:val="24"/>
        </w:rPr>
        <w:t>20</w:t>
      </w:r>
      <w:r w:rsidRPr="00D33505">
        <w:rPr>
          <w:rFonts w:ascii="华文楷体" w:eastAsia="华文楷体" w:hAnsi="华文楷体" w:hint="eastAsia"/>
          <w:bCs/>
          <w:iCs/>
          <w:color w:val="000000"/>
          <w:sz w:val="24"/>
        </w:rPr>
        <w:t>0</w:t>
      </w:r>
      <w:r w:rsidR="00AC64C8">
        <w:rPr>
          <w:rFonts w:ascii="华文楷体" w:eastAsia="华文楷体" w:hAnsi="华文楷体" w:hint="eastAsia"/>
          <w:bCs/>
          <w:iCs/>
          <w:color w:val="000000"/>
          <w:sz w:val="24"/>
        </w:rPr>
        <w:t>0</w:t>
      </w:r>
      <w:r w:rsidR="000F46DA">
        <w:rPr>
          <w:rFonts w:ascii="华文楷体" w:eastAsia="华文楷体" w:hAnsi="华文楷体" w:hint="eastAsia"/>
          <w:bCs/>
          <w:iCs/>
          <w:color w:val="000000"/>
          <w:sz w:val="24"/>
        </w:rPr>
        <w:t>1</w:t>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6"/>
      </w:tblGrid>
      <w:tr w:rsidR="00E94BAA" w:rsidRPr="00D33505" w:rsidTr="002A0A09">
        <w:trPr>
          <w:trHeight w:val="2863"/>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投资者关系活动类别</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spacing w:line="480" w:lineRule="atLeast"/>
              <w:rPr>
                <w:rFonts w:ascii="华文楷体" w:eastAsia="华文楷体" w:hAnsi="华文楷体"/>
                <w:bCs/>
                <w:iCs/>
                <w:color w:val="000000"/>
                <w:sz w:val="24"/>
              </w:rPr>
            </w:pPr>
            <w:bookmarkStart w:id="0" w:name="OLE_LINK1"/>
            <w:bookmarkStart w:id="1" w:name="OLE_LINK2"/>
            <w:r w:rsidRPr="00D33505">
              <w:rPr>
                <w:rFonts w:ascii="华文楷体" w:eastAsia="华文楷体" w:hAnsi="华文楷体" w:hint="eastAsia"/>
                <w:bCs/>
                <w:iCs/>
                <w:color w:val="000000"/>
                <w:sz w:val="24"/>
              </w:rPr>
              <w:t>■</w:t>
            </w:r>
            <w:bookmarkEnd w:id="0"/>
            <w:bookmarkEnd w:id="1"/>
            <w:r w:rsidRPr="00D33505">
              <w:rPr>
                <w:rFonts w:ascii="华文楷体" w:eastAsia="华文楷体" w:hAnsi="华文楷体" w:hint="eastAsia"/>
                <w:sz w:val="24"/>
              </w:rPr>
              <w:t xml:space="preserve">特定对象调研        </w:t>
            </w: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分析师会议</w:t>
            </w:r>
          </w:p>
          <w:p w:rsidR="00E94BAA" w:rsidRPr="00D33505" w:rsidRDefault="00E94BAA" w:rsidP="00134AFB">
            <w:pPr>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 xml:space="preserve">媒体采访            </w:t>
            </w:r>
            <w:r w:rsidR="00411C88"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业绩说明会</w:t>
            </w:r>
          </w:p>
          <w:p w:rsidR="00E94BAA" w:rsidRPr="00D33505" w:rsidRDefault="00E94BAA" w:rsidP="00134AFB">
            <w:pPr>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 xml:space="preserve">新闻发布会          </w:t>
            </w: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路演活动</w:t>
            </w:r>
          </w:p>
          <w:p w:rsidR="00E94BAA" w:rsidRPr="00D33505" w:rsidRDefault="00E94BAA" w:rsidP="00134AFB">
            <w:pPr>
              <w:tabs>
                <w:tab w:val="left" w:pos="3045"/>
                <w:tab w:val="center" w:pos="3199"/>
              </w:tabs>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现场参观</w:t>
            </w:r>
            <w:r w:rsidRPr="00D33505">
              <w:rPr>
                <w:rFonts w:ascii="华文楷体" w:eastAsia="华文楷体" w:hAnsi="华文楷体" w:hint="eastAsia"/>
                <w:bCs/>
                <w:iCs/>
                <w:color w:val="000000"/>
                <w:sz w:val="24"/>
              </w:rPr>
              <w:tab/>
            </w:r>
          </w:p>
          <w:p w:rsidR="00E94BAA" w:rsidRPr="00D33505" w:rsidRDefault="00E94BAA" w:rsidP="00134AFB">
            <w:pPr>
              <w:tabs>
                <w:tab w:val="center" w:pos="3199"/>
              </w:tabs>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其他 （</w:t>
            </w:r>
            <w:proofErr w:type="gramStart"/>
            <w:r w:rsidRPr="00D33505">
              <w:rPr>
                <w:rFonts w:ascii="华文楷体" w:eastAsia="华文楷体" w:hAnsi="华文楷体" w:hint="eastAsia"/>
                <w:sz w:val="24"/>
                <w:u w:val="single"/>
              </w:rPr>
              <w:t>请文字</w:t>
            </w:r>
            <w:proofErr w:type="gramEnd"/>
            <w:r w:rsidRPr="00D33505">
              <w:rPr>
                <w:rFonts w:ascii="华文楷体" w:eastAsia="华文楷体" w:hAnsi="华文楷体" w:hint="eastAsia"/>
                <w:sz w:val="24"/>
                <w:u w:val="single"/>
              </w:rPr>
              <w:t>说明其他活动内容）</w:t>
            </w:r>
          </w:p>
        </w:tc>
      </w:tr>
      <w:tr w:rsidR="00E94BAA" w:rsidRPr="00D33505" w:rsidTr="002A0A09">
        <w:trPr>
          <w:trHeight w:val="866"/>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参与单位名称及人员姓名</w:t>
            </w:r>
          </w:p>
        </w:tc>
        <w:tc>
          <w:tcPr>
            <w:tcW w:w="7306" w:type="dxa"/>
            <w:tcBorders>
              <w:top w:val="single" w:sz="4" w:space="0" w:color="auto"/>
              <w:left w:val="single" w:sz="4" w:space="0" w:color="auto"/>
              <w:bottom w:val="single" w:sz="4" w:space="0" w:color="auto"/>
              <w:right w:val="single" w:sz="4" w:space="0" w:color="auto"/>
            </w:tcBorders>
            <w:vAlign w:val="center"/>
          </w:tcPr>
          <w:p w:rsidR="00F3592D" w:rsidRDefault="00434BFC" w:rsidP="00EB3D2F">
            <w:pPr>
              <w:rPr>
                <w:rFonts w:ascii="华文楷体" w:eastAsia="华文楷体" w:hAnsi="华文楷体"/>
                <w:bCs/>
                <w:iCs/>
                <w:color w:val="000000"/>
                <w:sz w:val="24"/>
              </w:rPr>
            </w:pPr>
            <w:r>
              <w:rPr>
                <w:rFonts w:ascii="华文楷体" w:eastAsia="华文楷体" w:hAnsi="华文楷体" w:hint="eastAsia"/>
                <w:bCs/>
                <w:iCs/>
                <w:color w:val="000000"/>
                <w:sz w:val="24"/>
              </w:rPr>
              <w:t>博时基金：张锦、蔡宗延</w:t>
            </w:r>
          </w:p>
          <w:p w:rsidR="00434BFC" w:rsidRPr="000F46DA" w:rsidRDefault="00434BFC" w:rsidP="00EB3D2F">
            <w:pPr>
              <w:rPr>
                <w:rFonts w:ascii="华文楷体" w:eastAsia="华文楷体" w:hAnsi="华文楷体"/>
                <w:bCs/>
                <w:iCs/>
                <w:color w:val="000000"/>
                <w:sz w:val="24"/>
              </w:rPr>
            </w:pPr>
            <w:r>
              <w:rPr>
                <w:rFonts w:ascii="华文楷体" w:eastAsia="华文楷体" w:hAnsi="华文楷体" w:hint="eastAsia"/>
                <w:bCs/>
                <w:iCs/>
                <w:color w:val="000000"/>
                <w:sz w:val="24"/>
              </w:rPr>
              <w:t>兴业证券：丁志刚</w:t>
            </w:r>
          </w:p>
        </w:tc>
      </w:tr>
      <w:tr w:rsidR="00E94BAA" w:rsidRPr="00D33505" w:rsidTr="002A0A09">
        <w:trPr>
          <w:trHeight w:val="554"/>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时间</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EB3D2F">
            <w:pPr>
              <w:rPr>
                <w:rFonts w:ascii="华文楷体" w:eastAsia="华文楷体" w:hAnsi="华文楷体"/>
                <w:bCs/>
                <w:iCs/>
                <w:color w:val="000000"/>
                <w:sz w:val="24"/>
              </w:rPr>
            </w:pPr>
            <w:r w:rsidRPr="00D33505">
              <w:rPr>
                <w:rFonts w:ascii="华文楷体" w:eastAsia="华文楷体" w:hAnsi="华文楷体"/>
                <w:bCs/>
                <w:iCs/>
                <w:color w:val="000000"/>
                <w:sz w:val="24"/>
              </w:rPr>
              <w:t>20</w:t>
            </w:r>
            <w:r w:rsidR="00F3592D">
              <w:rPr>
                <w:rFonts w:ascii="华文楷体" w:eastAsia="华文楷体" w:hAnsi="华文楷体"/>
                <w:bCs/>
                <w:iCs/>
                <w:color w:val="000000"/>
                <w:sz w:val="24"/>
              </w:rPr>
              <w:t>20</w:t>
            </w:r>
            <w:r w:rsidRPr="00D33505">
              <w:rPr>
                <w:rFonts w:ascii="华文楷体" w:eastAsia="华文楷体" w:hAnsi="华文楷体"/>
                <w:bCs/>
                <w:iCs/>
                <w:color w:val="000000"/>
                <w:sz w:val="24"/>
              </w:rPr>
              <w:t>年</w:t>
            </w:r>
            <w:r w:rsidR="00434BFC">
              <w:rPr>
                <w:rFonts w:ascii="华文楷体" w:eastAsia="华文楷体" w:hAnsi="华文楷体"/>
                <w:bCs/>
                <w:iCs/>
                <w:color w:val="000000"/>
                <w:sz w:val="24"/>
              </w:rPr>
              <w:t>10</w:t>
            </w:r>
            <w:r w:rsidR="000F46DA">
              <w:rPr>
                <w:rFonts w:ascii="华文楷体" w:eastAsia="华文楷体" w:hAnsi="华文楷体" w:hint="eastAsia"/>
                <w:bCs/>
                <w:iCs/>
                <w:color w:val="000000"/>
                <w:sz w:val="24"/>
              </w:rPr>
              <w:t>月</w:t>
            </w:r>
            <w:r w:rsidR="00F3592D">
              <w:rPr>
                <w:rFonts w:ascii="华文楷体" w:eastAsia="华文楷体" w:hAnsi="华文楷体" w:hint="eastAsia"/>
                <w:bCs/>
                <w:iCs/>
                <w:color w:val="000000"/>
                <w:sz w:val="24"/>
              </w:rPr>
              <w:t>2</w:t>
            </w:r>
            <w:r w:rsidR="00434BFC">
              <w:rPr>
                <w:rFonts w:ascii="华文楷体" w:eastAsia="华文楷体" w:hAnsi="华文楷体"/>
                <w:bCs/>
                <w:iCs/>
                <w:color w:val="000000"/>
                <w:sz w:val="24"/>
              </w:rPr>
              <w:t>9</w:t>
            </w:r>
            <w:r w:rsidR="000F46DA">
              <w:rPr>
                <w:rFonts w:ascii="华文楷体" w:eastAsia="华文楷体" w:hAnsi="华文楷体" w:hint="eastAsia"/>
                <w:bCs/>
                <w:iCs/>
                <w:color w:val="000000"/>
                <w:sz w:val="24"/>
              </w:rPr>
              <w:t>日</w:t>
            </w:r>
            <w:r w:rsidR="00434BFC">
              <w:rPr>
                <w:rFonts w:ascii="华文楷体" w:eastAsia="华文楷体" w:hAnsi="华文楷体" w:hint="eastAsia"/>
                <w:bCs/>
                <w:iCs/>
                <w:color w:val="000000"/>
                <w:sz w:val="24"/>
              </w:rPr>
              <w:t>、2</w:t>
            </w:r>
            <w:r w:rsidR="00434BFC">
              <w:rPr>
                <w:rFonts w:ascii="华文楷体" w:eastAsia="华文楷体" w:hAnsi="华文楷体"/>
                <w:bCs/>
                <w:iCs/>
                <w:color w:val="000000"/>
                <w:sz w:val="24"/>
              </w:rPr>
              <w:t>020</w:t>
            </w:r>
            <w:r w:rsidR="00434BFC">
              <w:rPr>
                <w:rFonts w:ascii="华文楷体" w:eastAsia="华文楷体" w:hAnsi="华文楷体" w:hint="eastAsia"/>
                <w:bCs/>
                <w:iCs/>
                <w:color w:val="000000"/>
                <w:sz w:val="24"/>
              </w:rPr>
              <w:t>年1</w:t>
            </w:r>
            <w:r w:rsidR="00434BFC">
              <w:rPr>
                <w:rFonts w:ascii="华文楷体" w:eastAsia="华文楷体" w:hAnsi="华文楷体"/>
                <w:bCs/>
                <w:iCs/>
                <w:color w:val="000000"/>
                <w:sz w:val="24"/>
              </w:rPr>
              <w:t>0</w:t>
            </w:r>
            <w:r w:rsidR="00434BFC">
              <w:rPr>
                <w:rFonts w:ascii="华文楷体" w:eastAsia="华文楷体" w:hAnsi="华文楷体" w:hint="eastAsia"/>
                <w:bCs/>
                <w:iCs/>
                <w:color w:val="000000"/>
                <w:sz w:val="24"/>
              </w:rPr>
              <w:t>月3</w:t>
            </w:r>
            <w:r w:rsidR="00434BFC">
              <w:rPr>
                <w:rFonts w:ascii="华文楷体" w:eastAsia="华文楷体" w:hAnsi="华文楷体"/>
                <w:bCs/>
                <w:iCs/>
                <w:color w:val="000000"/>
                <w:sz w:val="24"/>
              </w:rPr>
              <w:t>0</w:t>
            </w:r>
            <w:r w:rsidR="00434BFC">
              <w:rPr>
                <w:rFonts w:ascii="华文楷体" w:eastAsia="华文楷体" w:hAnsi="华文楷体" w:hint="eastAsia"/>
                <w:bCs/>
                <w:iCs/>
                <w:color w:val="000000"/>
                <w:sz w:val="24"/>
              </w:rPr>
              <w:t>日</w:t>
            </w:r>
          </w:p>
        </w:tc>
      </w:tr>
      <w:tr w:rsidR="00E94BAA" w:rsidRPr="00D33505" w:rsidTr="002A0A09">
        <w:trPr>
          <w:trHeight w:val="461"/>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地点</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411C88">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中集研发中心</w:t>
            </w:r>
          </w:p>
        </w:tc>
      </w:tr>
      <w:tr w:rsidR="00E94BAA" w:rsidRPr="00D33505" w:rsidTr="002A0A09">
        <w:trPr>
          <w:trHeight w:val="375"/>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上市公司接待人员姓名</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EB3D2F" w:rsidP="00EB3D2F">
            <w:pPr>
              <w:spacing w:line="360" w:lineRule="auto"/>
              <w:rPr>
                <w:rFonts w:ascii="华文楷体" w:eastAsia="华文楷体" w:hAnsi="华文楷体"/>
                <w:bCs/>
                <w:iCs/>
                <w:color w:val="000000"/>
                <w:sz w:val="24"/>
              </w:rPr>
            </w:pPr>
            <w:r>
              <w:rPr>
                <w:rFonts w:ascii="华文楷体" w:eastAsia="华文楷体" w:hAnsi="华文楷体" w:hint="eastAsia"/>
                <w:bCs/>
                <w:iCs/>
                <w:color w:val="000000"/>
                <w:sz w:val="24"/>
              </w:rPr>
              <w:t>吴三强</w:t>
            </w:r>
            <w:r w:rsidR="00E94BAA">
              <w:rPr>
                <w:rFonts w:ascii="华文楷体" w:eastAsia="华文楷体" w:hAnsi="华文楷体" w:hint="eastAsia"/>
                <w:bCs/>
                <w:iCs/>
                <w:color w:val="000000"/>
                <w:sz w:val="24"/>
              </w:rPr>
              <w:t>（</w:t>
            </w:r>
            <w:proofErr w:type="gramStart"/>
            <w:r>
              <w:rPr>
                <w:rFonts w:ascii="华文楷体" w:eastAsia="华文楷体" w:hAnsi="华文楷体" w:hint="eastAsia"/>
                <w:bCs/>
                <w:iCs/>
                <w:color w:val="000000"/>
                <w:sz w:val="24"/>
              </w:rPr>
              <w:t>董秘办</w:t>
            </w:r>
            <w:proofErr w:type="gramEnd"/>
            <w:r>
              <w:rPr>
                <w:rFonts w:ascii="华文楷体" w:eastAsia="华文楷体" w:hAnsi="华文楷体" w:hint="eastAsia"/>
                <w:bCs/>
                <w:iCs/>
                <w:color w:val="000000"/>
                <w:sz w:val="24"/>
              </w:rPr>
              <w:t>主任</w:t>
            </w:r>
            <w:r w:rsidR="00E94BAA">
              <w:rPr>
                <w:rFonts w:ascii="华文楷体" w:eastAsia="华文楷体" w:hAnsi="华文楷体" w:hint="eastAsia"/>
                <w:bCs/>
                <w:iCs/>
                <w:color w:val="000000"/>
                <w:sz w:val="24"/>
              </w:rPr>
              <w:t>）</w:t>
            </w:r>
            <w:r w:rsidR="005B43FC">
              <w:rPr>
                <w:rFonts w:ascii="华文楷体" w:eastAsia="华文楷体" w:hAnsi="华文楷体" w:hint="eastAsia"/>
                <w:bCs/>
                <w:iCs/>
                <w:color w:val="000000"/>
                <w:sz w:val="24"/>
              </w:rPr>
              <w:t xml:space="preserve"> 王心九（证券事务代表）</w:t>
            </w:r>
          </w:p>
        </w:tc>
      </w:tr>
      <w:tr w:rsidR="00E94BAA" w:rsidRPr="00D33505" w:rsidTr="002A0A09">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jc w:val="center"/>
              <w:rPr>
                <w:rFonts w:ascii="华文楷体" w:eastAsia="华文楷体" w:hAnsi="华文楷体"/>
                <w:bCs/>
                <w:iCs/>
                <w:color w:val="000000"/>
                <w:sz w:val="24"/>
              </w:rPr>
            </w:pPr>
            <w:r w:rsidRPr="00D33505">
              <w:rPr>
                <w:rFonts w:ascii="华文楷体" w:eastAsia="华文楷体" w:hAnsi="华文楷体" w:hint="eastAsia"/>
                <w:bCs/>
                <w:iCs/>
                <w:color w:val="000000"/>
                <w:sz w:val="24"/>
              </w:rPr>
              <w:t>投资者关系活动主要内容介绍</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spacing w:line="360" w:lineRule="auto"/>
              <w:ind w:firstLineChars="200" w:firstLine="480"/>
              <w:rPr>
                <w:rFonts w:ascii="华文楷体" w:eastAsia="华文楷体" w:hAnsi="华文楷体"/>
                <w:bCs/>
                <w:iCs/>
                <w:color w:val="000000"/>
                <w:sz w:val="24"/>
              </w:rPr>
            </w:pPr>
            <w:r w:rsidRPr="00D33505">
              <w:rPr>
                <w:rFonts w:ascii="华文楷体" w:eastAsia="华文楷体" w:hAnsi="华文楷体" w:hint="eastAsia"/>
                <w:bCs/>
                <w:iCs/>
                <w:color w:val="000000"/>
                <w:sz w:val="24"/>
              </w:rPr>
              <w:t>访谈主要内容包括：</w:t>
            </w:r>
          </w:p>
          <w:p w:rsidR="00C76B11" w:rsidRPr="00C76B11" w:rsidRDefault="00DB0757" w:rsidP="00C76B11">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1、</w:t>
            </w:r>
            <w:r w:rsidR="003E7709">
              <w:rPr>
                <w:rFonts w:ascii="华文楷体" w:eastAsia="华文楷体" w:hAnsi="华文楷体" w:hint="eastAsia"/>
                <w:bCs/>
                <w:iCs/>
                <w:color w:val="000000"/>
                <w:sz w:val="24"/>
              </w:rPr>
              <w:t>集装箱</w:t>
            </w:r>
            <w:r w:rsidR="006956EB">
              <w:rPr>
                <w:rFonts w:ascii="华文楷体" w:eastAsia="华文楷体" w:hAnsi="华文楷体" w:hint="eastAsia"/>
                <w:bCs/>
                <w:iCs/>
                <w:color w:val="000000"/>
                <w:sz w:val="24"/>
              </w:rPr>
              <w:t>业务近况以及可持续性</w:t>
            </w:r>
            <w:r w:rsidR="003E7709">
              <w:rPr>
                <w:rFonts w:ascii="华文楷体" w:eastAsia="华文楷体" w:hAnsi="华文楷体" w:hint="eastAsia"/>
                <w:bCs/>
                <w:iCs/>
                <w:color w:val="000000"/>
                <w:sz w:val="24"/>
              </w:rPr>
              <w:t>？</w:t>
            </w:r>
          </w:p>
          <w:p w:rsidR="006956EB" w:rsidRDefault="00C76B11" w:rsidP="006956EB">
            <w:pPr>
              <w:spacing w:line="360" w:lineRule="auto"/>
              <w:ind w:left="-65" w:firstLineChars="236" w:firstLine="566"/>
              <w:rPr>
                <w:rFonts w:ascii="华文楷体" w:eastAsia="华文楷体" w:hAnsi="华文楷体"/>
                <w:bCs/>
                <w:iCs/>
                <w:color w:val="000000"/>
                <w:sz w:val="24"/>
              </w:rPr>
            </w:pPr>
            <w:r w:rsidRPr="00C76B11">
              <w:rPr>
                <w:rFonts w:ascii="华文楷体" w:eastAsia="华文楷体" w:hAnsi="华文楷体" w:hint="eastAsia"/>
                <w:bCs/>
                <w:iCs/>
                <w:color w:val="000000"/>
                <w:sz w:val="24"/>
              </w:rPr>
              <w:t>答：</w:t>
            </w:r>
            <w:r w:rsidR="006956EB">
              <w:rPr>
                <w:rFonts w:ascii="华文楷体" w:eastAsia="华文楷体" w:hAnsi="华文楷体" w:hint="eastAsia"/>
                <w:bCs/>
                <w:iCs/>
                <w:color w:val="000000"/>
                <w:sz w:val="24"/>
              </w:rPr>
              <w:t>集装箱市场近期需求有明显增长，</w:t>
            </w:r>
            <w:r w:rsidR="006956EB" w:rsidRPr="006956EB">
              <w:rPr>
                <w:rFonts w:ascii="华文楷体" w:eastAsia="华文楷体" w:hAnsi="华文楷体" w:hint="eastAsia"/>
                <w:bCs/>
                <w:iCs/>
                <w:color w:val="000000"/>
                <w:sz w:val="24"/>
              </w:rPr>
              <w:t>主</w:t>
            </w:r>
            <w:r w:rsidR="006956EB">
              <w:rPr>
                <w:rFonts w:ascii="华文楷体" w:eastAsia="华文楷体" w:hAnsi="华文楷体" w:hint="eastAsia"/>
                <w:bCs/>
                <w:iCs/>
                <w:color w:val="000000"/>
                <w:sz w:val="24"/>
              </w:rPr>
              <w:t>要原因一</w:t>
            </w:r>
            <w:r w:rsidR="006956EB" w:rsidRPr="006956EB">
              <w:rPr>
                <w:rFonts w:ascii="华文楷体" w:eastAsia="华文楷体" w:hAnsi="华文楷体" w:hint="eastAsia"/>
                <w:bCs/>
                <w:iCs/>
                <w:color w:val="000000"/>
                <w:sz w:val="24"/>
              </w:rPr>
              <w:t>是受疫情影响，出口的集装箱散落在</w:t>
            </w:r>
            <w:r w:rsidR="007E405A">
              <w:rPr>
                <w:rFonts w:ascii="华文楷体" w:eastAsia="华文楷体" w:hAnsi="华文楷体" w:hint="eastAsia"/>
                <w:bCs/>
                <w:iCs/>
                <w:color w:val="000000"/>
                <w:sz w:val="24"/>
              </w:rPr>
              <w:t>全球</w:t>
            </w:r>
            <w:r w:rsidR="006956EB" w:rsidRPr="006956EB">
              <w:rPr>
                <w:rFonts w:ascii="华文楷体" w:eastAsia="华文楷体" w:hAnsi="华文楷体" w:hint="eastAsia"/>
                <w:bCs/>
                <w:iCs/>
                <w:color w:val="000000"/>
                <w:sz w:val="24"/>
              </w:rPr>
              <w:t>各地，回流不畅；</w:t>
            </w:r>
            <w:r w:rsidR="006956EB">
              <w:rPr>
                <w:rFonts w:ascii="华文楷体" w:eastAsia="华文楷体" w:hAnsi="华文楷体" w:hint="eastAsia"/>
                <w:bCs/>
                <w:iCs/>
                <w:color w:val="000000"/>
                <w:sz w:val="24"/>
              </w:rPr>
              <w:t>二是</w:t>
            </w:r>
            <w:r w:rsidR="006956EB" w:rsidRPr="006956EB">
              <w:rPr>
                <w:rFonts w:ascii="华文楷体" w:eastAsia="华文楷体" w:hAnsi="华文楷体" w:hint="eastAsia"/>
                <w:bCs/>
                <w:iCs/>
                <w:color w:val="000000"/>
                <w:sz w:val="24"/>
              </w:rPr>
              <w:t>国外政府出台疫情</w:t>
            </w:r>
            <w:proofErr w:type="gramStart"/>
            <w:r w:rsidR="006956EB" w:rsidRPr="006956EB">
              <w:rPr>
                <w:rFonts w:ascii="华文楷体" w:eastAsia="华文楷体" w:hAnsi="华文楷体" w:hint="eastAsia"/>
                <w:bCs/>
                <w:iCs/>
                <w:color w:val="000000"/>
                <w:sz w:val="24"/>
              </w:rPr>
              <w:t>纾困计划</w:t>
            </w:r>
            <w:proofErr w:type="gramEnd"/>
            <w:r w:rsidR="006956EB" w:rsidRPr="006956EB">
              <w:rPr>
                <w:rFonts w:ascii="华文楷体" w:eastAsia="华文楷体" w:hAnsi="华文楷体" w:hint="eastAsia"/>
                <w:bCs/>
                <w:iCs/>
                <w:color w:val="000000"/>
                <w:sz w:val="24"/>
              </w:rPr>
              <w:t>等财政刺激，导致</w:t>
            </w:r>
            <w:r w:rsidR="00BE3112">
              <w:rPr>
                <w:rFonts w:ascii="华文楷体" w:eastAsia="华文楷体" w:hAnsi="华文楷体" w:hint="eastAsia"/>
                <w:bCs/>
                <w:iCs/>
                <w:color w:val="000000"/>
                <w:sz w:val="24"/>
              </w:rPr>
              <w:t>短期内</w:t>
            </w:r>
            <w:r w:rsidR="006956EB" w:rsidRPr="006956EB">
              <w:rPr>
                <w:rFonts w:ascii="华文楷体" w:eastAsia="华文楷体" w:hAnsi="华文楷体" w:hint="eastAsia"/>
                <w:bCs/>
                <w:iCs/>
                <w:color w:val="000000"/>
                <w:sz w:val="24"/>
              </w:rPr>
              <w:t>需求端（例如生活和办公用品）超强表现 ，</w:t>
            </w:r>
            <w:proofErr w:type="gramStart"/>
            <w:r w:rsidR="006956EB" w:rsidRPr="006956EB">
              <w:rPr>
                <w:rFonts w:ascii="华文楷体" w:eastAsia="华文楷体" w:hAnsi="华文楷体" w:hint="eastAsia"/>
                <w:bCs/>
                <w:iCs/>
                <w:color w:val="000000"/>
                <w:sz w:val="24"/>
              </w:rPr>
              <w:t>宅经</w:t>
            </w:r>
            <w:proofErr w:type="gramEnd"/>
            <w:r w:rsidR="006956EB" w:rsidRPr="006956EB">
              <w:rPr>
                <w:rFonts w:ascii="华文楷体" w:eastAsia="华文楷体" w:hAnsi="华文楷体" w:hint="eastAsia"/>
                <w:bCs/>
                <w:iCs/>
                <w:color w:val="000000"/>
                <w:sz w:val="24"/>
              </w:rPr>
              <w:t>济火爆</w:t>
            </w:r>
            <w:r w:rsidR="006956EB">
              <w:rPr>
                <w:rFonts w:ascii="华文楷体" w:eastAsia="华文楷体" w:hAnsi="华文楷体"/>
                <w:bCs/>
                <w:iCs/>
                <w:color w:val="000000"/>
                <w:sz w:val="24"/>
              </w:rPr>
              <w:t xml:space="preserve"> </w:t>
            </w:r>
            <w:r w:rsidR="000F326F">
              <w:rPr>
                <w:rFonts w:ascii="华文楷体" w:eastAsia="华文楷体" w:hAnsi="华文楷体" w:hint="eastAsia"/>
                <w:bCs/>
                <w:iCs/>
                <w:color w:val="000000"/>
                <w:sz w:val="24"/>
              </w:rPr>
              <w:t>。</w:t>
            </w:r>
            <w:r w:rsidR="000F326F" w:rsidRPr="000F326F">
              <w:rPr>
                <w:rFonts w:ascii="华文楷体" w:eastAsia="华文楷体" w:hAnsi="华文楷体" w:hint="eastAsia"/>
                <w:bCs/>
                <w:iCs/>
                <w:color w:val="000000"/>
                <w:sz w:val="24"/>
              </w:rPr>
              <w:t>目前我司集装箱订单已经排至明年春</w:t>
            </w:r>
            <w:r w:rsidR="007E405A">
              <w:rPr>
                <w:rFonts w:ascii="华文楷体" w:eastAsia="华文楷体" w:hAnsi="华文楷体" w:hint="eastAsia"/>
                <w:bCs/>
                <w:iCs/>
                <w:color w:val="000000"/>
                <w:sz w:val="24"/>
              </w:rPr>
              <w:t>节前</w:t>
            </w:r>
            <w:r w:rsidR="007E405A">
              <w:rPr>
                <w:rFonts w:ascii="华文楷体" w:eastAsia="华文楷体" w:hAnsi="华文楷体" w:hint="eastAsia"/>
                <w:bCs/>
                <w:iCs/>
                <w:color w:val="000000"/>
                <w:sz w:val="24"/>
              </w:rPr>
              <w:lastRenderedPageBreak/>
              <w:t>后</w:t>
            </w:r>
            <w:r w:rsidR="000F326F" w:rsidRPr="000F326F">
              <w:rPr>
                <w:rFonts w:ascii="华文楷体" w:eastAsia="华文楷体" w:hAnsi="华文楷体" w:hint="eastAsia"/>
                <w:bCs/>
                <w:iCs/>
                <w:color w:val="000000"/>
                <w:sz w:val="24"/>
              </w:rPr>
              <w:t>。</w:t>
            </w:r>
          </w:p>
          <w:p w:rsidR="006956EB" w:rsidRDefault="006956EB" w:rsidP="000F326F">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对于后市判断：</w:t>
            </w:r>
            <w:r w:rsidR="00EA5635">
              <w:rPr>
                <w:rFonts w:ascii="华文楷体" w:eastAsia="华文楷体" w:hAnsi="华文楷体" w:hint="eastAsia"/>
                <w:bCs/>
                <w:iCs/>
                <w:color w:val="000000"/>
                <w:sz w:val="24"/>
              </w:rPr>
              <w:t>尽管目前</w:t>
            </w:r>
            <w:r>
              <w:rPr>
                <w:rFonts w:ascii="华文楷体" w:eastAsia="华文楷体" w:hAnsi="华文楷体" w:hint="eastAsia"/>
                <w:bCs/>
                <w:iCs/>
                <w:color w:val="000000"/>
                <w:sz w:val="24"/>
              </w:rPr>
              <w:t>集装箱</w:t>
            </w:r>
            <w:r w:rsidRPr="006956EB">
              <w:rPr>
                <w:rFonts w:ascii="华文楷体" w:eastAsia="华文楷体" w:hAnsi="华文楷体" w:hint="eastAsia"/>
                <w:bCs/>
                <w:iCs/>
                <w:color w:val="000000"/>
                <w:sz w:val="24"/>
              </w:rPr>
              <w:t>需求</w:t>
            </w:r>
            <w:proofErr w:type="gramStart"/>
            <w:r w:rsidRPr="006956EB">
              <w:rPr>
                <w:rFonts w:ascii="华文楷体" w:eastAsia="华文楷体" w:hAnsi="华文楷体" w:hint="eastAsia"/>
                <w:bCs/>
                <w:iCs/>
                <w:color w:val="000000"/>
                <w:sz w:val="24"/>
              </w:rPr>
              <w:t>端增长</w:t>
            </w:r>
            <w:proofErr w:type="gramEnd"/>
            <w:r w:rsidRPr="006956EB">
              <w:rPr>
                <w:rFonts w:ascii="华文楷体" w:eastAsia="华文楷体" w:hAnsi="华文楷体" w:hint="eastAsia"/>
                <w:bCs/>
                <w:iCs/>
                <w:color w:val="000000"/>
                <w:sz w:val="24"/>
              </w:rPr>
              <w:t>强劲，</w:t>
            </w:r>
            <w:r w:rsidR="00EA5635">
              <w:rPr>
                <w:rFonts w:ascii="华文楷体" w:eastAsia="华文楷体" w:hAnsi="华文楷体" w:hint="eastAsia"/>
                <w:bCs/>
                <w:iCs/>
                <w:color w:val="000000"/>
                <w:sz w:val="24"/>
              </w:rPr>
              <w:t>但后续仍</w:t>
            </w:r>
            <w:r>
              <w:rPr>
                <w:rFonts w:ascii="华文楷体" w:eastAsia="华文楷体" w:hAnsi="华文楷体" w:hint="eastAsia"/>
                <w:bCs/>
                <w:iCs/>
                <w:color w:val="000000"/>
                <w:sz w:val="24"/>
              </w:rPr>
              <w:t>需视</w:t>
            </w:r>
            <w:r w:rsidRPr="006956EB">
              <w:rPr>
                <w:rFonts w:ascii="华文楷体" w:eastAsia="华文楷体" w:hAnsi="华文楷体" w:hint="eastAsia"/>
                <w:bCs/>
                <w:iCs/>
                <w:color w:val="000000"/>
                <w:sz w:val="24"/>
              </w:rPr>
              <w:t>疫情影响和贸易回流情况</w:t>
            </w:r>
            <w:r>
              <w:rPr>
                <w:rFonts w:ascii="华文楷体" w:eastAsia="华文楷体" w:hAnsi="华文楷体" w:hint="eastAsia"/>
                <w:bCs/>
                <w:iCs/>
                <w:color w:val="000000"/>
                <w:sz w:val="24"/>
              </w:rPr>
              <w:t>而定</w:t>
            </w:r>
            <w:r w:rsidRPr="006956EB">
              <w:rPr>
                <w:rFonts w:ascii="华文楷体" w:eastAsia="华文楷体" w:hAnsi="华文楷体" w:hint="eastAsia"/>
                <w:bCs/>
                <w:iCs/>
                <w:color w:val="000000"/>
                <w:sz w:val="24"/>
              </w:rPr>
              <w:t>，</w:t>
            </w:r>
            <w:r w:rsidR="00EA5635">
              <w:rPr>
                <w:rFonts w:ascii="华文楷体" w:eastAsia="华文楷体" w:hAnsi="华文楷体" w:hint="eastAsia"/>
                <w:bCs/>
                <w:iCs/>
                <w:color w:val="000000"/>
                <w:sz w:val="24"/>
              </w:rPr>
              <w:t>同时结合</w:t>
            </w:r>
            <w:r w:rsidRPr="006956EB">
              <w:rPr>
                <w:rFonts w:ascii="华文楷体" w:eastAsia="华文楷体" w:hAnsi="华文楷体" w:hint="eastAsia"/>
                <w:bCs/>
                <w:iCs/>
                <w:color w:val="000000"/>
                <w:sz w:val="24"/>
              </w:rPr>
              <w:t>欧美财政刺激</w:t>
            </w:r>
            <w:r w:rsidR="00EA5635">
              <w:rPr>
                <w:rFonts w:ascii="华文楷体" w:eastAsia="华文楷体" w:hAnsi="华文楷体" w:hint="eastAsia"/>
                <w:bCs/>
                <w:iCs/>
                <w:color w:val="000000"/>
                <w:sz w:val="24"/>
              </w:rPr>
              <w:t>对</w:t>
            </w:r>
            <w:r w:rsidRPr="006956EB">
              <w:rPr>
                <w:rFonts w:ascii="华文楷体" w:eastAsia="华文楷体" w:hAnsi="华文楷体" w:hint="eastAsia"/>
                <w:bCs/>
                <w:iCs/>
                <w:color w:val="000000"/>
                <w:sz w:val="24"/>
              </w:rPr>
              <w:t>贸易需求</w:t>
            </w:r>
            <w:r w:rsidR="00EA5635">
              <w:rPr>
                <w:rFonts w:ascii="华文楷体" w:eastAsia="华文楷体" w:hAnsi="华文楷体" w:hint="eastAsia"/>
                <w:bCs/>
                <w:iCs/>
                <w:color w:val="000000"/>
                <w:sz w:val="24"/>
              </w:rPr>
              <w:t>拉动</w:t>
            </w:r>
            <w:r w:rsidR="00BE3112">
              <w:rPr>
                <w:rFonts w:ascii="华文楷体" w:eastAsia="华文楷体" w:hAnsi="华文楷体" w:hint="eastAsia"/>
                <w:bCs/>
                <w:iCs/>
                <w:color w:val="000000"/>
                <w:sz w:val="24"/>
              </w:rPr>
              <w:t>的程度</w:t>
            </w:r>
            <w:r w:rsidRPr="006956EB">
              <w:rPr>
                <w:rFonts w:ascii="华文楷体" w:eastAsia="华文楷体" w:hAnsi="华文楷体" w:hint="eastAsia"/>
                <w:bCs/>
                <w:iCs/>
                <w:color w:val="000000"/>
                <w:sz w:val="24"/>
              </w:rPr>
              <w:t>。</w:t>
            </w:r>
            <w:r w:rsidR="000F326F">
              <w:rPr>
                <w:rFonts w:ascii="华文楷体" w:eastAsia="华文楷体" w:hAnsi="华文楷体" w:hint="eastAsia"/>
                <w:bCs/>
                <w:iCs/>
                <w:color w:val="000000"/>
                <w:sz w:val="24"/>
              </w:rPr>
              <w:t>总</w:t>
            </w:r>
            <w:r w:rsidRPr="006956EB">
              <w:rPr>
                <w:rFonts w:ascii="华文楷体" w:eastAsia="华文楷体" w:hAnsi="华文楷体" w:hint="eastAsia"/>
                <w:bCs/>
                <w:iCs/>
                <w:color w:val="000000"/>
                <w:sz w:val="24"/>
              </w:rPr>
              <w:t>体</w:t>
            </w:r>
            <w:r w:rsidR="007E405A">
              <w:rPr>
                <w:rFonts w:ascii="华文楷体" w:eastAsia="华文楷体" w:hAnsi="华文楷体" w:hint="eastAsia"/>
                <w:bCs/>
                <w:iCs/>
                <w:color w:val="000000"/>
                <w:sz w:val="24"/>
              </w:rPr>
              <w:t>来看</w:t>
            </w:r>
            <w:r w:rsidRPr="006956EB">
              <w:rPr>
                <w:rFonts w:ascii="华文楷体" w:eastAsia="华文楷体" w:hAnsi="华文楷体" w:hint="eastAsia"/>
                <w:bCs/>
                <w:iCs/>
                <w:color w:val="000000"/>
                <w:sz w:val="24"/>
              </w:rPr>
              <w:t>，</w:t>
            </w:r>
            <w:r w:rsidR="00EA5635">
              <w:rPr>
                <w:rFonts w:ascii="华文楷体" w:eastAsia="华文楷体" w:hAnsi="华文楷体" w:hint="eastAsia"/>
                <w:bCs/>
                <w:iCs/>
                <w:color w:val="000000"/>
                <w:sz w:val="24"/>
              </w:rPr>
              <w:t>目前</w:t>
            </w:r>
            <w:r w:rsidR="00EA5635" w:rsidRPr="006956EB">
              <w:rPr>
                <w:rFonts w:ascii="华文楷体" w:eastAsia="华文楷体" w:hAnsi="华文楷体" w:hint="eastAsia"/>
                <w:bCs/>
                <w:iCs/>
                <w:color w:val="000000"/>
                <w:sz w:val="24"/>
              </w:rPr>
              <w:t>判断至少</w:t>
            </w:r>
            <w:r w:rsidR="00EA5635">
              <w:rPr>
                <w:rFonts w:ascii="华文楷体" w:eastAsia="华文楷体" w:hAnsi="华文楷体" w:hint="eastAsia"/>
                <w:bCs/>
                <w:iCs/>
                <w:color w:val="000000"/>
                <w:sz w:val="24"/>
              </w:rPr>
              <w:t>“缺箱”</w:t>
            </w:r>
            <w:r w:rsidR="00EA5635" w:rsidRPr="006956EB">
              <w:rPr>
                <w:rFonts w:ascii="华文楷体" w:eastAsia="华文楷体" w:hAnsi="华文楷体" w:hint="eastAsia"/>
                <w:bCs/>
                <w:iCs/>
                <w:color w:val="000000"/>
                <w:sz w:val="24"/>
              </w:rPr>
              <w:t>局面会持续</w:t>
            </w:r>
            <w:r w:rsidR="00EA5635">
              <w:rPr>
                <w:rFonts w:ascii="华文楷体" w:eastAsia="华文楷体" w:hAnsi="华文楷体" w:hint="eastAsia"/>
                <w:bCs/>
                <w:iCs/>
                <w:color w:val="000000"/>
                <w:sz w:val="24"/>
              </w:rPr>
              <w:t>一段时间</w:t>
            </w:r>
            <w:r w:rsidR="007E405A">
              <w:rPr>
                <w:rFonts w:ascii="华文楷体" w:eastAsia="华文楷体" w:hAnsi="华文楷体" w:hint="eastAsia"/>
                <w:bCs/>
                <w:iCs/>
                <w:color w:val="000000"/>
                <w:sz w:val="24"/>
              </w:rPr>
              <w:t>，</w:t>
            </w:r>
            <w:r w:rsidR="00BE3112">
              <w:rPr>
                <w:rFonts w:ascii="华文楷体" w:eastAsia="华文楷体" w:hAnsi="华文楷体" w:hint="eastAsia"/>
                <w:bCs/>
                <w:iCs/>
                <w:color w:val="000000"/>
                <w:sz w:val="24"/>
              </w:rPr>
              <w:t>但</w:t>
            </w:r>
            <w:r w:rsidR="00A73EF6">
              <w:rPr>
                <w:rFonts w:ascii="华文楷体" w:eastAsia="华文楷体" w:hAnsi="华文楷体" w:hint="eastAsia"/>
                <w:bCs/>
                <w:iCs/>
                <w:color w:val="000000"/>
                <w:sz w:val="24"/>
              </w:rPr>
              <w:t>明年</w:t>
            </w:r>
            <w:r w:rsidR="00BE3112">
              <w:rPr>
                <w:rFonts w:ascii="华文楷体" w:eastAsia="华文楷体" w:hAnsi="华文楷体" w:hint="eastAsia"/>
                <w:bCs/>
                <w:iCs/>
                <w:color w:val="000000"/>
                <w:sz w:val="24"/>
              </w:rPr>
              <w:t>全年</w:t>
            </w:r>
            <w:r w:rsidR="007E405A">
              <w:rPr>
                <w:rFonts w:ascii="华文楷体" w:eastAsia="华文楷体" w:hAnsi="华文楷体" w:hint="eastAsia"/>
                <w:bCs/>
                <w:iCs/>
                <w:color w:val="000000"/>
                <w:sz w:val="24"/>
              </w:rPr>
              <w:t>情况并不十分明朗</w:t>
            </w:r>
            <w:r w:rsidRPr="006956EB">
              <w:rPr>
                <w:rFonts w:ascii="华文楷体" w:eastAsia="华文楷体" w:hAnsi="华文楷体" w:hint="eastAsia"/>
                <w:bCs/>
                <w:iCs/>
                <w:color w:val="000000"/>
                <w:sz w:val="24"/>
              </w:rPr>
              <w:t>。</w:t>
            </w:r>
          </w:p>
          <w:p w:rsidR="00790A0F" w:rsidRDefault="001C260C" w:rsidP="004B22B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2</w:t>
            </w:r>
            <w:r w:rsidR="00B50C6A">
              <w:rPr>
                <w:rFonts w:ascii="华文楷体" w:eastAsia="华文楷体" w:hAnsi="华文楷体" w:hint="eastAsia"/>
                <w:bCs/>
                <w:iCs/>
                <w:color w:val="000000"/>
                <w:sz w:val="24"/>
              </w:rPr>
              <w:t>、</w:t>
            </w:r>
            <w:r w:rsidR="004B22BB">
              <w:rPr>
                <w:rFonts w:ascii="华文楷体" w:eastAsia="华文楷体" w:hAnsi="华文楷体" w:hint="eastAsia"/>
                <w:bCs/>
                <w:iCs/>
                <w:color w:val="000000"/>
                <w:sz w:val="24"/>
              </w:rPr>
              <w:t>公司认为集装箱业务短期内是否会转移到东南亚其他国家？</w:t>
            </w:r>
          </w:p>
          <w:p w:rsidR="004B22BB" w:rsidRDefault="004B22BB" w:rsidP="004B22B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w:t>
            </w:r>
            <w:r w:rsidR="007E405A" w:rsidRPr="007E405A">
              <w:rPr>
                <w:rFonts w:ascii="华文楷体" w:eastAsia="华文楷体" w:hAnsi="华文楷体" w:hint="eastAsia"/>
                <w:bCs/>
                <w:iCs/>
                <w:color w:val="000000"/>
                <w:sz w:val="24"/>
              </w:rPr>
              <w:t>本公司考虑过这个问题，也曾经对海外投资建厂进行过专题研究和论证</w:t>
            </w:r>
            <w:r>
              <w:rPr>
                <w:rFonts w:ascii="华文楷体" w:eastAsia="华文楷体" w:hAnsi="华文楷体" w:hint="eastAsia"/>
                <w:bCs/>
                <w:iCs/>
                <w:color w:val="000000"/>
                <w:sz w:val="24"/>
              </w:rPr>
              <w:t>，结论是</w:t>
            </w:r>
            <w:r w:rsidR="00EA5635">
              <w:rPr>
                <w:rFonts w:ascii="华文楷体" w:eastAsia="华文楷体" w:hAnsi="华文楷体" w:hint="eastAsia"/>
                <w:bCs/>
                <w:iCs/>
                <w:color w:val="000000"/>
                <w:sz w:val="24"/>
              </w:rPr>
              <w:t>目前</w:t>
            </w:r>
            <w:r>
              <w:rPr>
                <w:rFonts w:ascii="华文楷体" w:eastAsia="华文楷体" w:hAnsi="华文楷体" w:hint="eastAsia"/>
                <w:bCs/>
                <w:iCs/>
                <w:color w:val="000000"/>
                <w:sz w:val="24"/>
              </w:rPr>
              <w:t>来看</w:t>
            </w:r>
            <w:r w:rsidR="00D60B53">
              <w:rPr>
                <w:rFonts w:ascii="华文楷体" w:eastAsia="华文楷体" w:hAnsi="华文楷体" w:hint="eastAsia"/>
                <w:bCs/>
                <w:iCs/>
                <w:color w:val="000000"/>
                <w:sz w:val="24"/>
              </w:rPr>
              <w:t>集装箱产业转移的</w:t>
            </w:r>
            <w:r>
              <w:rPr>
                <w:rFonts w:ascii="华文楷体" w:eastAsia="华文楷体" w:hAnsi="华文楷体" w:hint="eastAsia"/>
                <w:bCs/>
                <w:iCs/>
                <w:color w:val="000000"/>
                <w:sz w:val="24"/>
              </w:rPr>
              <w:t>条件并不成熟，原因主要有</w:t>
            </w:r>
            <w:r w:rsidR="00A73EF6">
              <w:rPr>
                <w:rFonts w:ascii="华文楷体" w:eastAsia="华文楷体" w:hAnsi="华文楷体" w:hint="eastAsia"/>
                <w:bCs/>
                <w:iCs/>
                <w:color w:val="000000"/>
                <w:sz w:val="24"/>
              </w:rPr>
              <w:t>几</w:t>
            </w:r>
            <w:r>
              <w:rPr>
                <w:rFonts w:ascii="华文楷体" w:eastAsia="华文楷体" w:hAnsi="华文楷体" w:hint="eastAsia"/>
                <w:bCs/>
                <w:iCs/>
                <w:color w:val="000000"/>
                <w:sz w:val="24"/>
              </w:rPr>
              <w:t>点：第一，集装箱工厂需要沿海</w:t>
            </w:r>
            <w:r w:rsidR="00D60B53">
              <w:rPr>
                <w:rFonts w:ascii="华文楷体" w:eastAsia="华文楷体" w:hAnsi="华文楷体" w:hint="eastAsia"/>
                <w:bCs/>
                <w:iCs/>
                <w:color w:val="000000"/>
                <w:sz w:val="24"/>
              </w:rPr>
              <w:t>岸线</w:t>
            </w:r>
            <w:r>
              <w:rPr>
                <w:rFonts w:ascii="华文楷体" w:eastAsia="华文楷体" w:hAnsi="华文楷体" w:hint="eastAsia"/>
                <w:bCs/>
                <w:iCs/>
                <w:color w:val="000000"/>
                <w:sz w:val="24"/>
              </w:rPr>
              <w:t>布局，目前东南亚</w:t>
            </w:r>
            <w:r w:rsidR="00050744">
              <w:rPr>
                <w:rFonts w:ascii="华文楷体" w:eastAsia="华文楷体" w:hAnsi="华文楷体" w:hint="eastAsia"/>
                <w:bCs/>
                <w:iCs/>
                <w:color w:val="000000"/>
                <w:sz w:val="24"/>
              </w:rPr>
              <w:t>及</w:t>
            </w:r>
            <w:r>
              <w:rPr>
                <w:rFonts w:ascii="华文楷体" w:eastAsia="华文楷体" w:hAnsi="华文楷体" w:hint="eastAsia"/>
                <w:bCs/>
                <w:iCs/>
                <w:color w:val="000000"/>
                <w:sz w:val="24"/>
              </w:rPr>
              <w:t>其他国家的港口和码头条件不如中国；第二，集装箱生产的原材料，包括钢材、木地板、油漆等产业链目前还是中国配套比较齐全；第三，中国工人相对来说工作效率比较高</w:t>
            </w:r>
            <w:r w:rsidR="007E405A">
              <w:rPr>
                <w:rFonts w:ascii="华文楷体" w:eastAsia="华文楷体" w:hAnsi="华文楷体" w:hint="eastAsia"/>
                <w:bCs/>
                <w:iCs/>
                <w:color w:val="000000"/>
                <w:sz w:val="24"/>
              </w:rPr>
              <w:t>；</w:t>
            </w:r>
            <w:r w:rsidR="00EA5635">
              <w:rPr>
                <w:rFonts w:ascii="华文楷体" w:eastAsia="华文楷体" w:hAnsi="华文楷体" w:hint="eastAsia"/>
                <w:bCs/>
                <w:iCs/>
                <w:color w:val="000000"/>
                <w:sz w:val="24"/>
              </w:rPr>
              <w:t>第四，中国本身依然是进出口大国。</w:t>
            </w:r>
          </w:p>
          <w:p w:rsidR="0008772B" w:rsidRDefault="00827267" w:rsidP="00091184">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3、</w:t>
            </w:r>
            <w:r w:rsidR="007E405A" w:rsidRPr="007E405A">
              <w:rPr>
                <w:rFonts w:ascii="华文楷体" w:eastAsia="华文楷体" w:hAnsi="华文楷体" w:hint="eastAsia"/>
                <w:bCs/>
                <w:iCs/>
                <w:color w:val="000000"/>
                <w:sz w:val="24"/>
              </w:rPr>
              <w:t>深圳国资旗下资本运营集团入股中集，带来什么影响</w:t>
            </w:r>
            <w:r w:rsidR="0008772B">
              <w:rPr>
                <w:rFonts w:ascii="华文楷体" w:eastAsia="华文楷体" w:hAnsi="华文楷体" w:hint="eastAsia"/>
                <w:bCs/>
                <w:iCs/>
                <w:color w:val="000000"/>
                <w:sz w:val="24"/>
              </w:rPr>
              <w:t>？</w:t>
            </w:r>
          </w:p>
          <w:p w:rsidR="007E405A" w:rsidRDefault="0008772B" w:rsidP="00091184">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答：深圳国资入股</w:t>
            </w:r>
            <w:r w:rsidR="00EA5635">
              <w:rPr>
                <w:rFonts w:ascii="华文楷体" w:eastAsia="华文楷体" w:hAnsi="华文楷体" w:hint="eastAsia"/>
                <w:bCs/>
                <w:iCs/>
                <w:color w:val="000000"/>
                <w:sz w:val="24"/>
              </w:rPr>
              <w:t>理论上会</w:t>
            </w:r>
            <w:r w:rsidRPr="0008772B">
              <w:rPr>
                <w:rFonts w:ascii="华文楷体" w:eastAsia="华文楷体" w:hAnsi="华文楷体" w:hint="eastAsia"/>
                <w:bCs/>
                <w:iCs/>
                <w:color w:val="000000"/>
                <w:sz w:val="24"/>
              </w:rPr>
              <w:t>带来诸多正面因素：1）双循环背景下，中</w:t>
            </w:r>
            <w:proofErr w:type="gramStart"/>
            <w:r w:rsidRPr="0008772B">
              <w:rPr>
                <w:rFonts w:ascii="华文楷体" w:eastAsia="华文楷体" w:hAnsi="华文楷体" w:hint="eastAsia"/>
                <w:bCs/>
                <w:iCs/>
                <w:color w:val="000000"/>
                <w:sz w:val="24"/>
              </w:rPr>
              <w:t>集连续</w:t>
            </w:r>
            <w:proofErr w:type="gramEnd"/>
            <w:r w:rsidRPr="0008772B">
              <w:rPr>
                <w:rFonts w:ascii="华文楷体" w:eastAsia="华文楷体" w:hAnsi="华文楷体" w:hint="eastAsia"/>
                <w:bCs/>
                <w:iCs/>
                <w:color w:val="000000"/>
                <w:sz w:val="24"/>
              </w:rPr>
              <w:t>三年提升国内业务的占比，深国资进来</w:t>
            </w:r>
            <w:r w:rsidR="00BE3112">
              <w:rPr>
                <w:rFonts w:ascii="华文楷体" w:eastAsia="华文楷体" w:hAnsi="华文楷体" w:hint="eastAsia"/>
                <w:bCs/>
                <w:iCs/>
                <w:color w:val="000000"/>
                <w:sz w:val="24"/>
              </w:rPr>
              <w:t>理论上</w:t>
            </w:r>
            <w:r w:rsidRPr="0008772B">
              <w:rPr>
                <w:rFonts w:ascii="华文楷体" w:eastAsia="华文楷体" w:hAnsi="华文楷体" w:hint="eastAsia"/>
                <w:bCs/>
                <w:iCs/>
                <w:color w:val="000000"/>
                <w:sz w:val="24"/>
              </w:rPr>
              <w:t>会促进</w:t>
            </w:r>
            <w:r>
              <w:rPr>
                <w:rFonts w:ascii="华文楷体" w:eastAsia="华文楷体" w:hAnsi="华文楷体" w:hint="eastAsia"/>
                <w:bCs/>
                <w:iCs/>
                <w:color w:val="000000"/>
                <w:sz w:val="24"/>
              </w:rPr>
              <w:t>公司</w:t>
            </w:r>
            <w:r w:rsidRPr="0008772B">
              <w:rPr>
                <w:rFonts w:ascii="华文楷体" w:eastAsia="华文楷体" w:hAnsi="华文楷体" w:hint="eastAsia"/>
                <w:bCs/>
                <w:iCs/>
                <w:color w:val="000000"/>
                <w:sz w:val="24"/>
              </w:rPr>
              <w:t>和深圳城市</w:t>
            </w:r>
            <w:r w:rsidR="007E405A">
              <w:rPr>
                <w:rFonts w:ascii="华文楷体" w:eastAsia="华文楷体" w:hAnsi="华文楷体" w:hint="eastAsia"/>
                <w:bCs/>
                <w:iCs/>
                <w:color w:val="000000"/>
                <w:sz w:val="24"/>
              </w:rPr>
              <w:t>发展</w:t>
            </w:r>
            <w:r w:rsidRPr="0008772B">
              <w:rPr>
                <w:rFonts w:ascii="华文楷体" w:eastAsia="华文楷体" w:hAnsi="华文楷体" w:hint="eastAsia"/>
                <w:bCs/>
                <w:iCs/>
                <w:color w:val="000000"/>
                <w:sz w:val="24"/>
              </w:rPr>
              <w:t>业务的对接，如各种冷藏装备</w:t>
            </w:r>
            <w:r>
              <w:rPr>
                <w:rFonts w:ascii="华文楷体" w:eastAsia="华文楷体" w:hAnsi="华文楷体" w:hint="eastAsia"/>
                <w:bCs/>
                <w:iCs/>
                <w:color w:val="000000"/>
                <w:sz w:val="24"/>
              </w:rPr>
              <w:t>、</w:t>
            </w:r>
            <w:r w:rsidRPr="0008772B">
              <w:rPr>
                <w:rFonts w:ascii="华文楷体" w:eastAsia="华文楷体" w:hAnsi="华文楷体" w:hint="eastAsia"/>
                <w:bCs/>
                <w:iCs/>
                <w:color w:val="000000"/>
                <w:sz w:val="24"/>
              </w:rPr>
              <w:t>移动式模块化冷库</w:t>
            </w:r>
            <w:r>
              <w:rPr>
                <w:rFonts w:ascii="华文楷体" w:eastAsia="华文楷体" w:hAnsi="华文楷体" w:hint="eastAsia"/>
                <w:bCs/>
                <w:iCs/>
                <w:color w:val="000000"/>
                <w:sz w:val="24"/>
              </w:rPr>
              <w:t>，还有</w:t>
            </w:r>
            <w:r w:rsidRPr="0008772B">
              <w:rPr>
                <w:rFonts w:ascii="华文楷体" w:eastAsia="华文楷体" w:hAnsi="华文楷体" w:hint="eastAsia"/>
                <w:bCs/>
                <w:iCs/>
                <w:color w:val="000000"/>
                <w:sz w:val="24"/>
              </w:rPr>
              <w:t>建筑车辆、消防车、空港设备等都有</w:t>
            </w:r>
            <w:r w:rsidR="00EA5635">
              <w:rPr>
                <w:rFonts w:ascii="华文楷体" w:eastAsia="华文楷体" w:hAnsi="华文楷体" w:hint="eastAsia"/>
                <w:bCs/>
                <w:iCs/>
                <w:color w:val="000000"/>
                <w:sz w:val="24"/>
              </w:rPr>
              <w:t>机会</w:t>
            </w:r>
            <w:r w:rsidRPr="0008772B">
              <w:rPr>
                <w:rFonts w:ascii="华文楷体" w:eastAsia="华文楷体" w:hAnsi="华文楷体" w:hint="eastAsia"/>
                <w:bCs/>
                <w:iCs/>
                <w:color w:val="000000"/>
                <w:sz w:val="24"/>
              </w:rPr>
              <w:t>融合促进。2）海洋中心城市</w:t>
            </w:r>
            <w:r w:rsidR="00EA5635">
              <w:rPr>
                <w:rFonts w:ascii="华文楷体" w:eastAsia="华文楷体" w:hAnsi="华文楷体" w:hint="eastAsia"/>
                <w:bCs/>
                <w:iCs/>
                <w:color w:val="000000"/>
                <w:sz w:val="24"/>
              </w:rPr>
              <w:t>是深圳市的战略</w:t>
            </w:r>
            <w:r w:rsidRPr="0008772B">
              <w:rPr>
                <w:rFonts w:ascii="华文楷体" w:eastAsia="华文楷体" w:hAnsi="华文楷体" w:hint="eastAsia"/>
                <w:bCs/>
                <w:iCs/>
                <w:color w:val="000000"/>
                <w:sz w:val="24"/>
              </w:rPr>
              <w:t>，中集</w:t>
            </w:r>
            <w:proofErr w:type="gramStart"/>
            <w:r w:rsidR="00EA5635">
              <w:rPr>
                <w:rFonts w:ascii="华文楷体" w:eastAsia="华文楷体" w:hAnsi="华文楷体" w:hint="eastAsia"/>
                <w:bCs/>
                <w:iCs/>
                <w:color w:val="000000"/>
                <w:sz w:val="24"/>
              </w:rPr>
              <w:t>的海工业务</w:t>
            </w:r>
            <w:proofErr w:type="gramEnd"/>
            <w:r w:rsidR="00EA5635">
              <w:rPr>
                <w:rFonts w:ascii="华文楷体" w:eastAsia="华文楷体" w:hAnsi="华文楷体" w:hint="eastAsia"/>
                <w:bCs/>
                <w:iCs/>
                <w:color w:val="000000"/>
                <w:sz w:val="24"/>
              </w:rPr>
              <w:t>相信会对此战略有帮助</w:t>
            </w:r>
            <w:r w:rsidR="007E405A">
              <w:rPr>
                <w:rFonts w:ascii="华文楷体" w:eastAsia="华文楷体" w:hAnsi="华文楷体" w:hint="eastAsia"/>
                <w:bCs/>
                <w:iCs/>
                <w:color w:val="000000"/>
                <w:sz w:val="24"/>
              </w:rPr>
              <w:t>。</w:t>
            </w:r>
          </w:p>
          <w:p w:rsidR="0008772B" w:rsidRDefault="0008772B" w:rsidP="00091184">
            <w:pPr>
              <w:spacing w:line="360" w:lineRule="auto"/>
              <w:ind w:left="-65" w:firstLineChars="236" w:firstLine="566"/>
              <w:rPr>
                <w:rFonts w:ascii="华文楷体" w:eastAsia="华文楷体" w:hAnsi="华文楷体"/>
                <w:bCs/>
                <w:iCs/>
                <w:color w:val="000000"/>
                <w:sz w:val="24"/>
              </w:rPr>
            </w:pPr>
            <w:r w:rsidRPr="0008772B">
              <w:rPr>
                <w:rFonts w:ascii="华文楷体" w:eastAsia="华文楷体" w:hAnsi="华文楷体" w:hint="eastAsia"/>
                <w:bCs/>
                <w:iCs/>
                <w:color w:val="000000"/>
                <w:sz w:val="24"/>
              </w:rPr>
              <w:t>另外，股权变更不影响公司无实际控制人的状态。</w:t>
            </w:r>
          </w:p>
          <w:p w:rsidR="00827267" w:rsidRDefault="0008772B" w:rsidP="00091184">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4、</w:t>
            </w:r>
            <w:proofErr w:type="gramStart"/>
            <w:r w:rsidR="007F64CE">
              <w:rPr>
                <w:rFonts w:ascii="华文楷体" w:eastAsia="华文楷体" w:hAnsi="华文楷体" w:hint="eastAsia"/>
                <w:bCs/>
                <w:iCs/>
                <w:color w:val="000000"/>
                <w:sz w:val="24"/>
              </w:rPr>
              <w:t>海工平台</w:t>
            </w:r>
            <w:proofErr w:type="gramEnd"/>
            <w:r w:rsidR="007E405A">
              <w:rPr>
                <w:rFonts w:ascii="华文楷体" w:eastAsia="华文楷体" w:hAnsi="华文楷体" w:hint="eastAsia"/>
                <w:bCs/>
                <w:iCs/>
                <w:color w:val="000000"/>
                <w:sz w:val="24"/>
              </w:rPr>
              <w:t>的资产减值</w:t>
            </w:r>
            <w:r w:rsidR="007F64CE">
              <w:rPr>
                <w:rFonts w:ascii="华文楷体" w:eastAsia="华文楷体" w:hAnsi="华文楷体" w:hint="eastAsia"/>
                <w:bCs/>
                <w:iCs/>
                <w:color w:val="000000"/>
                <w:sz w:val="24"/>
              </w:rPr>
              <w:t>是否已经大致计提完成</w:t>
            </w:r>
            <w:r w:rsidR="00827267">
              <w:rPr>
                <w:rFonts w:ascii="华文楷体" w:eastAsia="华文楷体" w:hAnsi="华文楷体" w:hint="eastAsia"/>
                <w:bCs/>
                <w:iCs/>
                <w:color w:val="000000"/>
                <w:sz w:val="24"/>
              </w:rPr>
              <w:t>？</w:t>
            </w:r>
          </w:p>
          <w:p w:rsidR="007F64CE" w:rsidRDefault="00827267" w:rsidP="000F4A49">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w:t>
            </w:r>
            <w:r w:rsidR="00164826">
              <w:rPr>
                <w:rFonts w:ascii="华文楷体" w:eastAsia="华文楷体" w:hAnsi="华文楷体" w:hint="eastAsia"/>
                <w:bCs/>
                <w:iCs/>
                <w:color w:val="000000"/>
                <w:sz w:val="24"/>
              </w:rPr>
              <w:t>这个主要还是需要会计师根据行业情况进行判断，但目前来</w:t>
            </w:r>
            <w:r w:rsidR="00164826">
              <w:rPr>
                <w:rFonts w:ascii="华文楷体" w:eastAsia="华文楷体" w:hAnsi="华文楷体" w:hint="eastAsia"/>
                <w:bCs/>
                <w:iCs/>
                <w:color w:val="000000"/>
                <w:sz w:val="24"/>
              </w:rPr>
              <w:lastRenderedPageBreak/>
              <w:t>看，油价从</w:t>
            </w:r>
            <w:r w:rsidR="0008772B">
              <w:rPr>
                <w:rFonts w:ascii="华文楷体" w:eastAsia="华文楷体" w:hAnsi="华文楷体" w:hint="eastAsia"/>
                <w:bCs/>
                <w:iCs/>
                <w:color w:val="000000"/>
                <w:sz w:val="24"/>
              </w:rPr>
              <w:t>最低的</w:t>
            </w:r>
            <w:r w:rsidR="00164826">
              <w:rPr>
                <w:rFonts w:ascii="华文楷体" w:eastAsia="华文楷体" w:hAnsi="华文楷体" w:hint="eastAsia"/>
                <w:bCs/>
                <w:iCs/>
                <w:color w:val="000000"/>
                <w:sz w:val="24"/>
              </w:rPr>
              <w:t>负</w:t>
            </w:r>
            <w:r w:rsidR="007A4487">
              <w:rPr>
                <w:rFonts w:ascii="华文楷体" w:eastAsia="华文楷体" w:hAnsi="华文楷体" w:hint="eastAsia"/>
                <w:bCs/>
                <w:iCs/>
                <w:color w:val="000000"/>
                <w:sz w:val="24"/>
              </w:rPr>
              <w:t>值</w:t>
            </w:r>
            <w:r w:rsidR="00164826">
              <w:rPr>
                <w:rFonts w:ascii="华文楷体" w:eastAsia="华文楷体" w:hAnsi="华文楷体" w:hint="eastAsia"/>
                <w:bCs/>
                <w:iCs/>
                <w:color w:val="000000"/>
                <w:sz w:val="24"/>
              </w:rPr>
              <w:t>回到</w:t>
            </w:r>
            <w:r w:rsidR="007A4487">
              <w:rPr>
                <w:rFonts w:ascii="华文楷体" w:eastAsia="华文楷体" w:hAnsi="华文楷体" w:hint="eastAsia"/>
                <w:bCs/>
                <w:iCs/>
                <w:color w:val="000000"/>
                <w:sz w:val="24"/>
              </w:rPr>
              <w:t>三</w:t>
            </w:r>
            <w:r w:rsidR="00164826">
              <w:rPr>
                <w:rFonts w:ascii="华文楷体" w:eastAsia="华文楷体" w:hAnsi="华文楷体" w:hint="eastAsia"/>
                <w:bCs/>
                <w:iCs/>
                <w:color w:val="000000"/>
                <w:sz w:val="24"/>
              </w:rPr>
              <w:t>、</w:t>
            </w:r>
            <w:r w:rsidR="007A4487">
              <w:rPr>
                <w:rFonts w:ascii="华文楷体" w:eastAsia="华文楷体" w:hAnsi="华文楷体" w:hint="eastAsia"/>
                <w:bCs/>
                <w:iCs/>
                <w:color w:val="000000"/>
                <w:sz w:val="24"/>
              </w:rPr>
              <w:t>四十</w:t>
            </w:r>
            <w:r w:rsidR="00164826">
              <w:rPr>
                <w:rFonts w:ascii="华文楷体" w:eastAsia="华文楷体" w:hAnsi="华文楷体" w:hint="eastAsia"/>
                <w:bCs/>
                <w:iCs/>
                <w:color w:val="000000"/>
                <w:sz w:val="24"/>
              </w:rPr>
              <w:t>美元，而且过去两年已经陆续计提了</w:t>
            </w:r>
            <w:r w:rsidR="007A4487">
              <w:rPr>
                <w:rFonts w:ascii="华文楷体" w:eastAsia="华文楷体" w:hAnsi="华文楷体" w:hint="eastAsia"/>
                <w:bCs/>
                <w:iCs/>
                <w:color w:val="000000"/>
                <w:sz w:val="24"/>
              </w:rPr>
              <w:t>七十</w:t>
            </w:r>
            <w:r w:rsidR="00164826">
              <w:rPr>
                <w:rFonts w:ascii="华文楷体" w:eastAsia="华文楷体" w:hAnsi="华文楷体" w:hint="eastAsia"/>
                <w:bCs/>
                <w:iCs/>
                <w:color w:val="000000"/>
                <w:sz w:val="24"/>
              </w:rPr>
              <w:t>余亿元的减值，</w:t>
            </w:r>
            <w:r w:rsidR="007A4487">
              <w:rPr>
                <w:rFonts w:ascii="华文楷体" w:eastAsia="华文楷体" w:hAnsi="华文楷体" w:hint="eastAsia"/>
                <w:bCs/>
                <w:iCs/>
                <w:color w:val="000000"/>
                <w:sz w:val="24"/>
              </w:rPr>
              <w:t>初步看来</w:t>
            </w:r>
            <w:r w:rsidR="00164826">
              <w:rPr>
                <w:rFonts w:ascii="华文楷体" w:eastAsia="华文楷体" w:hAnsi="华文楷体" w:hint="eastAsia"/>
                <w:bCs/>
                <w:iCs/>
                <w:color w:val="000000"/>
                <w:sz w:val="24"/>
              </w:rPr>
              <w:t>继续计提的空间不大。</w:t>
            </w:r>
          </w:p>
          <w:p w:rsidR="00AE3F36" w:rsidRPr="00AE3F36" w:rsidRDefault="00AE3F36" w:rsidP="00AE3F36">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5</w:t>
            </w:r>
            <w:r w:rsidR="00790A0F">
              <w:rPr>
                <w:rFonts w:ascii="华文楷体" w:eastAsia="华文楷体" w:hAnsi="华文楷体" w:hint="eastAsia"/>
                <w:bCs/>
                <w:iCs/>
                <w:color w:val="000000"/>
                <w:sz w:val="24"/>
              </w:rPr>
              <w:t>、</w:t>
            </w:r>
            <w:r>
              <w:rPr>
                <w:rFonts w:ascii="华文楷体" w:eastAsia="华文楷体" w:hAnsi="华文楷体" w:hint="eastAsia"/>
                <w:bCs/>
                <w:iCs/>
                <w:color w:val="000000"/>
                <w:sz w:val="24"/>
              </w:rPr>
              <w:t>今年</w:t>
            </w:r>
            <w:r w:rsidRPr="00AE3F36">
              <w:rPr>
                <w:rFonts w:ascii="华文楷体" w:eastAsia="华文楷体" w:hAnsi="华文楷体" w:hint="eastAsia"/>
                <w:bCs/>
                <w:iCs/>
                <w:color w:val="000000"/>
                <w:sz w:val="24"/>
              </w:rPr>
              <w:t>冷藏车行业是两位数增长，</w:t>
            </w:r>
            <w:r>
              <w:rPr>
                <w:rFonts w:ascii="华文楷体" w:eastAsia="华文楷体" w:hAnsi="华文楷体" w:hint="eastAsia"/>
                <w:bCs/>
                <w:iCs/>
                <w:color w:val="000000"/>
                <w:sz w:val="24"/>
              </w:rPr>
              <w:t>请问中</w:t>
            </w:r>
            <w:proofErr w:type="gramStart"/>
            <w:r>
              <w:rPr>
                <w:rFonts w:ascii="华文楷体" w:eastAsia="华文楷体" w:hAnsi="华文楷体" w:hint="eastAsia"/>
                <w:bCs/>
                <w:iCs/>
                <w:color w:val="000000"/>
                <w:sz w:val="24"/>
              </w:rPr>
              <w:t>集车辆</w:t>
            </w:r>
            <w:proofErr w:type="gramEnd"/>
            <w:r>
              <w:rPr>
                <w:rFonts w:ascii="华文楷体" w:eastAsia="华文楷体" w:hAnsi="华文楷体" w:hint="eastAsia"/>
                <w:bCs/>
                <w:iCs/>
                <w:color w:val="000000"/>
                <w:sz w:val="24"/>
              </w:rPr>
              <w:t>这块的增长</w:t>
            </w:r>
            <w:r w:rsidRPr="00AE3F36">
              <w:rPr>
                <w:rFonts w:ascii="华文楷体" w:eastAsia="华文楷体" w:hAnsi="华文楷体" w:hint="eastAsia"/>
                <w:bCs/>
                <w:iCs/>
                <w:color w:val="000000"/>
                <w:sz w:val="24"/>
              </w:rPr>
              <w:t>慢于行业的原因？</w:t>
            </w:r>
          </w:p>
          <w:p w:rsidR="00BF6427" w:rsidRDefault="00AE3F36" w:rsidP="00B9095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w:t>
            </w:r>
            <w:r w:rsidR="00BF6427">
              <w:rPr>
                <w:rFonts w:ascii="华文楷体" w:eastAsia="华文楷体" w:hAnsi="华文楷体" w:hint="eastAsia"/>
                <w:bCs/>
                <w:iCs/>
                <w:color w:val="000000"/>
                <w:sz w:val="24"/>
              </w:rPr>
              <w:t>2</w:t>
            </w:r>
            <w:r w:rsidR="00BF6427">
              <w:rPr>
                <w:rFonts w:ascii="华文楷体" w:eastAsia="华文楷体" w:hAnsi="华文楷体"/>
                <w:bCs/>
                <w:iCs/>
                <w:color w:val="000000"/>
                <w:sz w:val="24"/>
              </w:rPr>
              <w:t>020</w:t>
            </w:r>
            <w:r w:rsidR="00BF6427">
              <w:rPr>
                <w:rFonts w:ascii="华文楷体" w:eastAsia="华文楷体" w:hAnsi="华文楷体" w:hint="eastAsia"/>
                <w:bCs/>
                <w:iCs/>
                <w:color w:val="000000"/>
                <w:sz w:val="24"/>
              </w:rPr>
              <w:t>年</w:t>
            </w:r>
            <w:r w:rsidR="00BF6427" w:rsidRPr="00BF6427">
              <w:rPr>
                <w:rFonts w:ascii="华文楷体" w:eastAsia="华文楷体" w:hAnsi="华文楷体" w:hint="eastAsia"/>
                <w:bCs/>
                <w:iCs/>
                <w:color w:val="000000"/>
                <w:sz w:val="24"/>
              </w:rPr>
              <w:t>上半年</w:t>
            </w:r>
            <w:r w:rsidR="00BF6427">
              <w:rPr>
                <w:rFonts w:ascii="华文楷体" w:eastAsia="华文楷体" w:hAnsi="华文楷体" w:hint="eastAsia"/>
                <w:bCs/>
                <w:iCs/>
                <w:color w:val="000000"/>
                <w:sz w:val="24"/>
              </w:rPr>
              <w:t>，本集团下属子公司中</w:t>
            </w:r>
            <w:proofErr w:type="gramStart"/>
            <w:r w:rsidR="00BF6427">
              <w:rPr>
                <w:rFonts w:ascii="华文楷体" w:eastAsia="华文楷体" w:hAnsi="华文楷体" w:hint="eastAsia"/>
                <w:bCs/>
                <w:iCs/>
                <w:color w:val="000000"/>
                <w:sz w:val="24"/>
              </w:rPr>
              <w:t>集车辆</w:t>
            </w:r>
            <w:proofErr w:type="gramEnd"/>
            <w:r w:rsidR="00BF6427" w:rsidRPr="00BF6427">
              <w:rPr>
                <w:rFonts w:ascii="华文楷体" w:eastAsia="华文楷体" w:hAnsi="华文楷体" w:hint="eastAsia"/>
                <w:bCs/>
                <w:iCs/>
                <w:color w:val="000000"/>
                <w:sz w:val="24"/>
              </w:rPr>
              <w:t>冷藏厢式车厢体销量有明显增长，涨幅为28.85%，限制涨幅的主要原因是市场需求大幅增长而本公司产能提升需要时间</w:t>
            </w:r>
            <w:r w:rsidR="00BF6427">
              <w:rPr>
                <w:rFonts w:ascii="华文楷体" w:eastAsia="华文楷体" w:hAnsi="华文楷体" w:hint="eastAsia"/>
                <w:bCs/>
                <w:iCs/>
                <w:color w:val="000000"/>
                <w:sz w:val="24"/>
              </w:rPr>
              <w:t>。中</w:t>
            </w:r>
            <w:proofErr w:type="gramStart"/>
            <w:r w:rsidR="00BF6427">
              <w:rPr>
                <w:rFonts w:ascii="华文楷体" w:eastAsia="华文楷体" w:hAnsi="华文楷体" w:hint="eastAsia"/>
                <w:bCs/>
                <w:iCs/>
                <w:color w:val="000000"/>
                <w:sz w:val="24"/>
              </w:rPr>
              <w:t>集车辆</w:t>
            </w:r>
            <w:proofErr w:type="gramEnd"/>
            <w:r w:rsidR="00BF6427" w:rsidRPr="00BF6427">
              <w:rPr>
                <w:rFonts w:ascii="华文楷体" w:eastAsia="华文楷体" w:hAnsi="华文楷体" w:hint="eastAsia"/>
                <w:bCs/>
                <w:iCs/>
                <w:color w:val="000000"/>
                <w:sz w:val="24"/>
              </w:rPr>
              <w:t>目前已经在中国建设了两家冷藏厢式车厢体灯塔工厂，未来计划在江门增加设立一家冷藏厢式车厢体灯塔工厂来满足快速增长的市场需求。</w:t>
            </w:r>
          </w:p>
          <w:p w:rsidR="00B9095B" w:rsidRPr="00B9095B" w:rsidRDefault="009E6AD8" w:rsidP="00B9095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6、</w:t>
            </w:r>
            <w:r w:rsidR="00B9095B">
              <w:rPr>
                <w:rFonts w:ascii="华文楷体" w:eastAsia="华文楷体" w:hAnsi="华文楷体" w:hint="eastAsia"/>
                <w:bCs/>
                <w:iCs/>
                <w:color w:val="000000"/>
                <w:sz w:val="24"/>
              </w:rPr>
              <w:t>请问公司未来</w:t>
            </w:r>
            <w:r w:rsidR="00B9095B" w:rsidRPr="00B9095B">
              <w:rPr>
                <w:rFonts w:ascii="华文楷体" w:eastAsia="华文楷体" w:hAnsi="华文楷体" w:hint="eastAsia"/>
                <w:bCs/>
                <w:iCs/>
                <w:color w:val="000000"/>
                <w:sz w:val="24"/>
              </w:rPr>
              <w:t>三</w:t>
            </w:r>
            <w:r w:rsidR="007E405A">
              <w:rPr>
                <w:rFonts w:ascii="华文楷体" w:eastAsia="华文楷体" w:hAnsi="华文楷体" w:hint="eastAsia"/>
                <w:bCs/>
                <w:iCs/>
                <w:color w:val="000000"/>
                <w:sz w:val="24"/>
              </w:rPr>
              <w:t>个</w:t>
            </w:r>
            <w:r w:rsidR="00B9095B">
              <w:rPr>
                <w:rFonts w:ascii="华文楷体" w:eastAsia="华文楷体" w:hAnsi="华文楷体" w:hint="eastAsia"/>
                <w:bCs/>
                <w:iCs/>
                <w:color w:val="000000"/>
                <w:sz w:val="24"/>
              </w:rPr>
              <w:t>主要</w:t>
            </w:r>
            <w:r w:rsidR="00B9095B" w:rsidRPr="00B9095B">
              <w:rPr>
                <w:rFonts w:ascii="华文楷体" w:eastAsia="华文楷体" w:hAnsi="华文楷体" w:hint="eastAsia"/>
                <w:bCs/>
                <w:iCs/>
                <w:color w:val="000000"/>
                <w:sz w:val="24"/>
              </w:rPr>
              <w:t>业务的定位</w:t>
            </w:r>
            <w:r w:rsidR="007E405A">
              <w:rPr>
                <w:rFonts w:ascii="华文楷体" w:eastAsia="华文楷体" w:hAnsi="华文楷体" w:hint="eastAsia"/>
                <w:bCs/>
                <w:iCs/>
                <w:color w:val="000000"/>
                <w:sz w:val="24"/>
              </w:rPr>
              <w:t>和发展规划</w:t>
            </w:r>
            <w:r w:rsidR="00B9095B" w:rsidRPr="00B9095B">
              <w:rPr>
                <w:rFonts w:ascii="华文楷体" w:eastAsia="华文楷体" w:hAnsi="华文楷体" w:hint="eastAsia"/>
                <w:bCs/>
                <w:iCs/>
                <w:color w:val="000000"/>
                <w:sz w:val="24"/>
              </w:rPr>
              <w:t>？</w:t>
            </w:r>
          </w:p>
          <w:p w:rsidR="00B9095B" w:rsidRPr="00B9095B" w:rsidRDefault="00B9095B" w:rsidP="00B9095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w:t>
            </w:r>
            <w:r w:rsidRPr="00B9095B">
              <w:rPr>
                <w:rFonts w:ascii="华文楷体" w:eastAsia="华文楷体" w:hAnsi="华文楷体" w:hint="eastAsia"/>
                <w:bCs/>
                <w:iCs/>
                <w:color w:val="000000"/>
                <w:sz w:val="24"/>
              </w:rPr>
              <w:t>1）集装箱：</w:t>
            </w:r>
            <w:r>
              <w:rPr>
                <w:rFonts w:ascii="华文楷体" w:eastAsia="华文楷体" w:hAnsi="华文楷体" w:hint="eastAsia"/>
                <w:bCs/>
                <w:iCs/>
                <w:color w:val="000000"/>
                <w:sz w:val="24"/>
              </w:rPr>
              <w:t>这块属于</w:t>
            </w:r>
            <w:r w:rsidRPr="00B9095B">
              <w:rPr>
                <w:rFonts w:ascii="华文楷体" w:eastAsia="华文楷体" w:hAnsi="华文楷体" w:hint="eastAsia"/>
                <w:bCs/>
                <w:iCs/>
                <w:color w:val="000000"/>
                <w:sz w:val="24"/>
              </w:rPr>
              <w:t>成熟市场，空间不会像车辆和能源那么大，</w:t>
            </w:r>
            <w:r w:rsidR="00EA5635">
              <w:rPr>
                <w:rFonts w:ascii="华文楷体" w:eastAsia="华文楷体" w:hAnsi="华文楷体" w:hint="eastAsia"/>
                <w:bCs/>
                <w:iCs/>
                <w:color w:val="000000"/>
                <w:sz w:val="24"/>
              </w:rPr>
              <w:t>但的确</w:t>
            </w:r>
            <w:r w:rsidRPr="00B9095B">
              <w:rPr>
                <w:rFonts w:ascii="华文楷体" w:eastAsia="华文楷体" w:hAnsi="华文楷体" w:hint="eastAsia"/>
                <w:bCs/>
                <w:iCs/>
                <w:color w:val="000000"/>
                <w:sz w:val="24"/>
              </w:rPr>
              <w:t>是稳定利润的来源，每年保持良好的盈利是可以预期的。未来</w:t>
            </w:r>
            <w:r w:rsidR="007E405A">
              <w:rPr>
                <w:rFonts w:ascii="华文楷体" w:eastAsia="华文楷体" w:hAnsi="华文楷体" w:hint="eastAsia"/>
                <w:bCs/>
                <w:iCs/>
                <w:color w:val="000000"/>
                <w:sz w:val="24"/>
              </w:rPr>
              <w:t>将</w:t>
            </w:r>
            <w:r w:rsidRPr="00B9095B">
              <w:rPr>
                <w:rFonts w:ascii="华文楷体" w:eastAsia="华文楷体" w:hAnsi="华文楷体" w:hint="eastAsia"/>
                <w:bCs/>
                <w:iCs/>
                <w:color w:val="000000"/>
                <w:sz w:val="24"/>
              </w:rPr>
              <w:t>思考怎么拓展箱在不同行业的应用，过去是标准的</w:t>
            </w:r>
            <w:r w:rsidR="00BE3112">
              <w:rPr>
                <w:rFonts w:ascii="华文楷体" w:eastAsia="华文楷体" w:hAnsi="华文楷体" w:hint="eastAsia"/>
                <w:bCs/>
                <w:iCs/>
                <w:color w:val="000000"/>
                <w:sz w:val="24"/>
              </w:rPr>
              <w:t>海运</w:t>
            </w:r>
            <w:r w:rsidRPr="00B9095B">
              <w:rPr>
                <w:rFonts w:ascii="华文楷体" w:eastAsia="华文楷体" w:hAnsi="华文楷体" w:hint="eastAsia"/>
                <w:bCs/>
                <w:iCs/>
                <w:color w:val="000000"/>
                <w:sz w:val="24"/>
              </w:rPr>
              <w:t>箱，现在有</w:t>
            </w:r>
            <w:r w:rsidR="00BE3112">
              <w:rPr>
                <w:rFonts w:ascii="华文楷体" w:eastAsia="华文楷体" w:hAnsi="华文楷体" w:hint="eastAsia"/>
                <w:bCs/>
                <w:iCs/>
                <w:color w:val="000000"/>
                <w:sz w:val="24"/>
              </w:rPr>
              <w:t>譬如</w:t>
            </w:r>
            <w:r w:rsidRPr="00B9095B">
              <w:rPr>
                <w:rFonts w:ascii="华文楷体" w:eastAsia="华文楷体" w:hAnsi="华文楷体" w:hint="eastAsia"/>
                <w:bCs/>
                <w:iCs/>
                <w:color w:val="000000"/>
                <w:sz w:val="24"/>
              </w:rPr>
              <w:t>移动冷库</w:t>
            </w:r>
            <w:r w:rsidR="00BE3112">
              <w:rPr>
                <w:rFonts w:ascii="华文楷体" w:eastAsia="华文楷体" w:hAnsi="华文楷体" w:hint="eastAsia"/>
                <w:bCs/>
                <w:iCs/>
                <w:color w:val="000000"/>
                <w:sz w:val="24"/>
              </w:rPr>
              <w:t>、模块化</w:t>
            </w:r>
            <w:r w:rsidRPr="00B9095B">
              <w:rPr>
                <w:rFonts w:ascii="华文楷体" w:eastAsia="华文楷体" w:hAnsi="华文楷体" w:hint="eastAsia"/>
                <w:bCs/>
                <w:iCs/>
                <w:color w:val="000000"/>
                <w:sz w:val="24"/>
              </w:rPr>
              <w:t>等</w:t>
            </w:r>
            <w:r w:rsidR="00BE3112">
              <w:rPr>
                <w:rFonts w:ascii="华文楷体" w:eastAsia="华文楷体" w:hAnsi="华文楷体" w:hint="eastAsia"/>
                <w:bCs/>
                <w:iCs/>
                <w:color w:val="000000"/>
                <w:sz w:val="24"/>
              </w:rPr>
              <w:t>适应内陆使用的</w:t>
            </w:r>
            <w:r w:rsidRPr="00B9095B">
              <w:rPr>
                <w:rFonts w:ascii="华文楷体" w:eastAsia="华文楷体" w:hAnsi="华文楷体" w:hint="eastAsia"/>
                <w:bCs/>
                <w:iCs/>
                <w:color w:val="000000"/>
                <w:sz w:val="24"/>
              </w:rPr>
              <w:t>很多场景，需要时间拓展。</w:t>
            </w:r>
          </w:p>
          <w:p w:rsidR="00B9095B" w:rsidRPr="00B9095B" w:rsidRDefault="00B9095B" w:rsidP="00B9095B">
            <w:pPr>
              <w:spacing w:line="360" w:lineRule="auto"/>
              <w:ind w:left="-65" w:firstLineChars="236" w:firstLine="566"/>
              <w:rPr>
                <w:rFonts w:ascii="华文楷体" w:eastAsia="华文楷体" w:hAnsi="华文楷体"/>
                <w:bCs/>
                <w:iCs/>
                <w:color w:val="000000"/>
                <w:sz w:val="24"/>
              </w:rPr>
            </w:pPr>
            <w:r w:rsidRPr="00B9095B">
              <w:rPr>
                <w:rFonts w:ascii="华文楷体" w:eastAsia="华文楷体" w:hAnsi="华文楷体" w:hint="eastAsia"/>
                <w:bCs/>
                <w:iCs/>
                <w:color w:val="000000"/>
                <w:sz w:val="24"/>
              </w:rPr>
              <w:t>2）车辆：前景非常广阔，</w:t>
            </w:r>
            <w:r w:rsidR="00BE3112">
              <w:rPr>
                <w:rFonts w:ascii="华文楷体" w:eastAsia="华文楷体" w:hAnsi="华文楷体" w:hint="eastAsia"/>
                <w:bCs/>
                <w:iCs/>
                <w:color w:val="000000"/>
                <w:sz w:val="24"/>
              </w:rPr>
              <w:t>如</w:t>
            </w:r>
            <w:r w:rsidRPr="00B9095B">
              <w:rPr>
                <w:rFonts w:ascii="华文楷体" w:eastAsia="华文楷体" w:hAnsi="华文楷体" w:hint="eastAsia"/>
                <w:bCs/>
                <w:iCs/>
                <w:color w:val="000000"/>
                <w:sz w:val="24"/>
              </w:rPr>
              <w:t>半挂车的市</w:t>
            </w:r>
            <w:proofErr w:type="gramStart"/>
            <w:r w:rsidRPr="00B9095B">
              <w:rPr>
                <w:rFonts w:ascii="华文楷体" w:eastAsia="华文楷体" w:hAnsi="华文楷体" w:hint="eastAsia"/>
                <w:bCs/>
                <w:iCs/>
                <w:color w:val="000000"/>
                <w:sz w:val="24"/>
              </w:rPr>
              <w:t>占率提升</w:t>
            </w:r>
            <w:proofErr w:type="gramEnd"/>
            <w:r w:rsidR="00BE3112">
              <w:rPr>
                <w:rFonts w:ascii="华文楷体" w:eastAsia="华文楷体" w:hAnsi="华文楷体" w:hint="eastAsia"/>
                <w:bCs/>
                <w:iCs/>
                <w:color w:val="000000"/>
                <w:sz w:val="24"/>
              </w:rPr>
              <w:t>等</w:t>
            </w:r>
            <w:r w:rsidRPr="00B9095B">
              <w:rPr>
                <w:rFonts w:ascii="华文楷体" w:eastAsia="华文楷体" w:hAnsi="华文楷体" w:hint="eastAsia"/>
                <w:bCs/>
                <w:iCs/>
                <w:color w:val="000000"/>
                <w:sz w:val="24"/>
              </w:rPr>
              <w:t>。公司是水泥车</w:t>
            </w:r>
            <w:r>
              <w:rPr>
                <w:rFonts w:ascii="华文楷体" w:eastAsia="华文楷体" w:hAnsi="华文楷体" w:hint="eastAsia"/>
                <w:bCs/>
                <w:iCs/>
                <w:color w:val="000000"/>
                <w:sz w:val="24"/>
              </w:rPr>
              <w:t>、</w:t>
            </w:r>
            <w:r w:rsidRPr="00B9095B">
              <w:rPr>
                <w:rFonts w:ascii="华文楷体" w:eastAsia="华文楷体" w:hAnsi="华文楷体" w:hint="eastAsia"/>
                <w:bCs/>
                <w:iCs/>
                <w:color w:val="000000"/>
                <w:sz w:val="24"/>
              </w:rPr>
              <w:t>搅拌车上装</w:t>
            </w:r>
            <w:r w:rsidR="00BE3112">
              <w:rPr>
                <w:rFonts w:ascii="华文楷体" w:eastAsia="华文楷体" w:hAnsi="华文楷体" w:hint="eastAsia"/>
                <w:bCs/>
                <w:iCs/>
                <w:color w:val="000000"/>
                <w:sz w:val="24"/>
              </w:rPr>
              <w:t>名列前茅的</w:t>
            </w:r>
            <w:r w:rsidRPr="00B9095B">
              <w:rPr>
                <w:rFonts w:ascii="华文楷体" w:eastAsia="华文楷体" w:hAnsi="华文楷体" w:hint="eastAsia"/>
                <w:bCs/>
                <w:iCs/>
                <w:color w:val="000000"/>
                <w:sz w:val="24"/>
              </w:rPr>
              <w:t>厂商，</w:t>
            </w:r>
            <w:r>
              <w:rPr>
                <w:rFonts w:ascii="华文楷体" w:eastAsia="华文楷体" w:hAnsi="华文楷体" w:hint="eastAsia"/>
                <w:bCs/>
                <w:iCs/>
                <w:color w:val="000000"/>
                <w:sz w:val="24"/>
              </w:rPr>
              <w:t>将</w:t>
            </w:r>
            <w:r w:rsidRPr="00B9095B">
              <w:rPr>
                <w:rFonts w:ascii="华文楷体" w:eastAsia="华文楷体" w:hAnsi="华文楷体" w:hint="eastAsia"/>
                <w:bCs/>
                <w:iCs/>
                <w:color w:val="000000"/>
                <w:sz w:val="24"/>
              </w:rPr>
              <w:t>受益于基建投资的持续。美国作为全球最大半挂车国家</w:t>
            </w:r>
            <w:r w:rsidR="00BE3112">
              <w:rPr>
                <w:rFonts w:ascii="华文楷体" w:eastAsia="华文楷体" w:hAnsi="华文楷体" w:hint="eastAsia"/>
                <w:bCs/>
                <w:iCs/>
                <w:color w:val="000000"/>
                <w:sz w:val="24"/>
              </w:rPr>
              <w:t>之一</w:t>
            </w:r>
            <w:r w:rsidRPr="00B9095B">
              <w:rPr>
                <w:rFonts w:ascii="华文楷体" w:eastAsia="华文楷体" w:hAnsi="华文楷体" w:hint="eastAsia"/>
                <w:bCs/>
                <w:iCs/>
                <w:color w:val="000000"/>
                <w:sz w:val="24"/>
              </w:rPr>
              <w:t>，公司有子公司和基地，也会有空间。</w:t>
            </w:r>
          </w:p>
          <w:p w:rsidR="00B9095B" w:rsidRDefault="00B9095B" w:rsidP="00B9095B">
            <w:pPr>
              <w:spacing w:line="360" w:lineRule="auto"/>
              <w:ind w:left="-65" w:firstLineChars="236" w:firstLine="566"/>
              <w:rPr>
                <w:rFonts w:ascii="华文楷体" w:eastAsia="华文楷体" w:hAnsi="华文楷体"/>
                <w:bCs/>
                <w:iCs/>
                <w:color w:val="000000"/>
                <w:sz w:val="24"/>
              </w:rPr>
            </w:pPr>
            <w:r w:rsidRPr="00B9095B">
              <w:rPr>
                <w:rFonts w:ascii="华文楷体" w:eastAsia="华文楷体" w:hAnsi="华文楷体" w:hint="eastAsia"/>
                <w:bCs/>
                <w:iCs/>
                <w:color w:val="000000"/>
                <w:sz w:val="24"/>
              </w:rPr>
              <w:t>3）能</w:t>
            </w:r>
            <w:r>
              <w:rPr>
                <w:rFonts w:ascii="华文楷体" w:eastAsia="华文楷体" w:hAnsi="华文楷体" w:hint="eastAsia"/>
                <w:bCs/>
                <w:iCs/>
                <w:color w:val="000000"/>
                <w:sz w:val="24"/>
              </w:rPr>
              <w:t>化</w:t>
            </w:r>
            <w:r w:rsidRPr="00B9095B">
              <w:rPr>
                <w:rFonts w:ascii="华文楷体" w:eastAsia="华文楷体" w:hAnsi="华文楷体" w:hint="eastAsia"/>
                <w:bCs/>
                <w:iCs/>
                <w:color w:val="000000"/>
                <w:sz w:val="24"/>
              </w:rPr>
              <w:t>：</w:t>
            </w:r>
            <w:r w:rsidR="00DD2F12" w:rsidRPr="00DD2F12">
              <w:rPr>
                <w:rFonts w:ascii="华文楷体" w:eastAsia="华文楷体" w:hAnsi="华文楷体" w:hint="eastAsia"/>
                <w:bCs/>
                <w:iCs/>
                <w:color w:val="000000"/>
                <w:sz w:val="24"/>
              </w:rPr>
              <w:t>核心包括清洁能源、</w:t>
            </w:r>
            <w:proofErr w:type="gramStart"/>
            <w:r w:rsidR="00DD2F12" w:rsidRPr="00DD2F12">
              <w:rPr>
                <w:rFonts w:ascii="华文楷体" w:eastAsia="华文楷体" w:hAnsi="华文楷体" w:hint="eastAsia"/>
                <w:bCs/>
                <w:iCs/>
                <w:color w:val="000000"/>
                <w:sz w:val="24"/>
              </w:rPr>
              <w:t>化工罐箱及</w:t>
            </w:r>
            <w:proofErr w:type="gramEnd"/>
            <w:r w:rsidR="00DD2F12" w:rsidRPr="00DD2F12">
              <w:rPr>
                <w:rFonts w:ascii="华文楷体" w:eastAsia="华文楷体" w:hAnsi="华文楷体" w:hint="eastAsia"/>
                <w:bCs/>
                <w:iCs/>
                <w:color w:val="000000"/>
                <w:sz w:val="24"/>
              </w:rPr>
              <w:t>食品装备等，其中清洁能源业务，除了传统业务静态储罐、LNG车、压力容器车，还有新业务南通SOE的液体货物运输船业务、LNG</w:t>
            </w:r>
            <w:proofErr w:type="gramStart"/>
            <w:r w:rsidR="00DD2F12" w:rsidRPr="00DD2F12">
              <w:rPr>
                <w:rFonts w:ascii="华文楷体" w:eastAsia="华文楷体" w:hAnsi="华文楷体" w:hint="eastAsia"/>
                <w:bCs/>
                <w:iCs/>
                <w:color w:val="000000"/>
                <w:sz w:val="24"/>
              </w:rPr>
              <w:t>罐箱等</w:t>
            </w:r>
            <w:proofErr w:type="gramEnd"/>
            <w:r w:rsidR="00DD2F12" w:rsidRPr="00DD2F12">
              <w:rPr>
                <w:rFonts w:ascii="华文楷体" w:eastAsia="华文楷体" w:hAnsi="华文楷体" w:hint="eastAsia"/>
                <w:bCs/>
                <w:iCs/>
                <w:color w:val="000000"/>
                <w:sz w:val="24"/>
              </w:rPr>
              <w:t>。随着法规配套和资本投入，LNG</w:t>
            </w:r>
            <w:proofErr w:type="gramStart"/>
            <w:r w:rsidR="00DD2F12" w:rsidRPr="00DD2F12">
              <w:rPr>
                <w:rFonts w:ascii="华文楷体" w:eastAsia="华文楷体" w:hAnsi="华文楷体" w:hint="eastAsia"/>
                <w:bCs/>
                <w:iCs/>
                <w:color w:val="000000"/>
                <w:sz w:val="24"/>
              </w:rPr>
              <w:t>罐箱也是</w:t>
            </w:r>
            <w:proofErr w:type="gramEnd"/>
            <w:r w:rsidR="00DD2F12" w:rsidRPr="00DD2F12">
              <w:rPr>
                <w:rFonts w:ascii="华文楷体" w:eastAsia="华文楷体" w:hAnsi="华文楷体" w:hint="eastAsia"/>
                <w:bCs/>
                <w:iCs/>
                <w:color w:val="000000"/>
                <w:sz w:val="24"/>
              </w:rPr>
              <w:t>很好的增长点。</w:t>
            </w:r>
            <w:bookmarkStart w:id="2" w:name="_GoBack"/>
            <w:bookmarkEnd w:id="2"/>
          </w:p>
          <w:p w:rsidR="0006472C" w:rsidRPr="009E6AD8" w:rsidRDefault="00B9095B" w:rsidP="0006472C">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lastRenderedPageBreak/>
              <w:t>7、</w:t>
            </w:r>
            <w:r w:rsidR="0006472C">
              <w:rPr>
                <w:rFonts w:ascii="华文楷体" w:eastAsia="华文楷体" w:hAnsi="华文楷体" w:hint="eastAsia"/>
                <w:bCs/>
                <w:iCs/>
                <w:color w:val="000000"/>
                <w:sz w:val="24"/>
              </w:rPr>
              <w:t>中集接下来在业务上面的整合目标是什么？哪些会进行收缩，哪些将大力发展？</w:t>
            </w:r>
          </w:p>
          <w:p w:rsidR="00937D50" w:rsidRDefault="0006472C" w:rsidP="001724A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答：公司目前在考虑或已经在着手</w:t>
            </w:r>
            <w:proofErr w:type="gramStart"/>
            <w:r>
              <w:rPr>
                <w:rFonts w:ascii="华文楷体" w:eastAsia="华文楷体" w:hAnsi="华文楷体" w:hint="eastAsia"/>
                <w:bCs/>
                <w:iCs/>
                <w:color w:val="000000"/>
                <w:sz w:val="24"/>
              </w:rPr>
              <w:t>进行</w:t>
            </w:r>
            <w:r w:rsidR="00BE3112">
              <w:rPr>
                <w:rFonts w:ascii="华文楷体" w:eastAsia="华文楷体" w:hAnsi="华文楷体" w:hint="eastAsia"/>
                <w:bCs/>
                <w:iCs/>
                <w:color w:val="000000"/>
                <w:sz w:val="24"/>
              </w:rPr>
              <w:t>引战</w:t>
            </w:r>
            <w:r w:rsidR="00937D50">
              <w:rPr>
                <w:rFonts w:ascii="华文楷体" w:eastAsia="华文楷体" w:hAnsi="华文楷体" w:hint="eastAsia"/>
                <w:bCs/>
                <w:iCs/>
                <w:color w:val="000000"/>
                <w:sz w:val="24"/>
              </w:rPr>
              <w:t>的</w:t>
            </w:r>
            <w:proofErr w:type="gramEnd"/>
            <w:r>
              <w:rPr>
                <w:rFonts w:ascii="华文楷体" w:eastAsia="华文楷体" w:hAnsi="华文楷体" w:hint="eastAsia"/>
                <w:bCs/>
                <w:iCs/>
                <w:color w:val="000000"/>
                <w:sz w:val="24"/>
              </w:rPr>
              <w:t>业务</w:t>
            </w:r>
            <w:r w:rsidRPr="0006472C">
              <w:rPr>
                <w:rFonts w:ascii="华文楷体" w:eastAsia="华文楷体" w:hAnsi="华文楷体" w:hint="eastAsia"/>
                <w:bCs/>
                <w:iCs/>
                <w:color w:val="000000"/>
                <w:sz w:val="24"/>
              </w:rPr>
              <w:t>包括</w:t>
            </w:r>
            <w:r w:rsidR="00BE3112">
              <w:rPr>
                <w:rFonts w:ascii="华文楷体" w:eastAsia="华文楷体" w:hAnsi="华文楷体" w:hint="eastAsia"/>
                <w:bCs/>
                <w:iCs/>
                <w:color w:val="000000"/>
                <w:sz w:val="24"/>
              </w:rPr>
              <w:t>智能、</w:t>
            </w:r>
            <w:r w:rsidRPr="0006472C">
              <w:rPr>
                <w:rFonts w:ascii="华文楷体" w:eastAsia="华文楷体" w:hAnsi="华文楷体" w:hint="eastAsia"/>
                <w:bCs/>
                <w:iCs/>
                <w:color w:val="000000"/>
                <w:sz w:val="24"/>
              </w:rPr>
              <w:t>地产、</w:t>
            </w:r>
            <w:proofErr w:type="gramStart"/>
            <w:r w:rsidRPr="0006472C">
              <w:rPr>
                <w:rFonts w:ascii="华文楷体" w:eastAsia="华文楷体" w:hAnsi="华文楷体" w:hint="eastAsia"/>
                <w:bCs/>
                <w:iCs/>
                <w:color w:val="000000"/>
                <w:sz w:val="24"/>
              </w:rPr>
              <w:t>海工</w:t>
            </w:r>
            <w:proofErr w:type="gramEnd"/>
            <w:r w:rsidR="00BE3112">
              <w:rPr>
                <w:rFonts w:ascii="华文楷体" w:eastAsia="华文楷体" w:hAnsi="华文楷体" w:hint="eastAsia"/>
                <w:bCs/>
                <w:iCs/>
                <w:color w:val="000000"/>
                <w:sz w:val="24"/>
              </w:rPr>
              <w:t>等</w:t>
            </w:r>
            <w:r>
              <w:rPr>
                <w:rFonts w:ascii="华文楷体" w:eastAsia="华文楷体" w:hAnsi="华文楷体" w:hint="eastAsia"/>
                <w:bCs/>
                <w:iCs/>
                <w:color w:val="000000"/>
                <w:sz w:val="24"/>
              </w:rPr>
              <w:t>；</w:t>
            </w:r>
            <w:r w:rsidRPr="0006472C">
              <w:rPr>
                <w:rFonts w:ascii="华文楷体" w:eastAsia="华文楷体" w:hAnsi="华文楷体" w:hint="eastAsia"/>
                <w:bCs/>
                <w:iCs/>
                <w:color w:val="000000"/>
                <w:sz w:val="24"/>
              </w:rPr>
              <w:t>未来重点发展的</w:t>
            </w:r>
            <w:r w:rsidR="00937D50">
              <w:rPr>
                <w:rFonts w:ascii="华文楷体" w:eastAsia="华文楷体" w:hAnsi="华文楷体" w:hint="eastAsia"/>
                <w:bCs/>
                <w:iCs/>
                <w:color w:val="000000"/>
                <w:sz w:val="24"/>
              </w:rPr>
              <w:t>业务</w:t>
            </w:r>
            <w:r>
              <w:rPr>
                <w:rFonts w:ascii="华文楷体" w:eastAsia="华文楷体" w:hAnsi="华文楷体" w:hint="eastAsia"/>
                <w:bCs/>
                <w:iCs/>
                <w:color w:val="000000"/>
                <w:sz w:val="24"/>
              </w:rPr>
              <w:t>，</w:t>
            </w:r>
            <w:r w:rsidRPr="0006472C">
              <w:rPr>
                <w:rFonts w:ascii="华文楷体" w:eastAsia="华文楷体" w:hAnsi="华文楷体" w:hint="eastAsia"/>
                <w:bCs/>
                <w:iCs/>
                <w:color w:val="000000"/>
                <w:sz w:val="24"/>
              </w:rPr>
              <w:t>主要是</w:t>
            </w:r>
            <w:r w:rsidR="00937D50">
              <w:rPr>
                <w:rFonts w:ascii="华文楷体" w:eastAsia="华文楷体" w:hAnsi="华文楷体" w:hint="eastAsia"/>
                <w:bCs/>
                <w:iCs/>
                <w:color w:val="000000"/>
                <w:sz w:val="24"/>
              </w:rPr>
              <w:t>与</w:t>
            </w:r>
            <w:r w:rsidR="00BE3112">
              <w:rPr>
                <w:rFonts w:ascii="华文楷体" w:eastAsia="华文楷体" w:hAnsi="华文楷体" w:hint="eastAsia"/>
                <w:bCs/>
                <w:iCs/>
                <w:color w:val="000000"/>
                <w:sz w:val="24"/>
              </w:rPr>
              <w:t>物流及</w:t>
            </w:r>
            <w:r w:rsidRPr="0006472C">
              <w:rPr>
                <w:rFonts w:ascii="华文楷体" w:eastAsia="华文楷体" w:hAnsi="华文楷体" w:hint="eastAsia"/>
                <w:bCs/>
                <w:iCs/>
                <w:color w:val="000000"/>
                <w:sz w:val="24"/>
              </w:rPr>
              <w:t>能源方面相关的</w:t>
            </w:r>
            <w:r w:rsidR="00937D50">
              <w:rPr>
                <w:rFonts w:ascii="华文楷体" w:eastAsia="华文楷体" w:hAnsi="华文楷体" w:hint="eastAsia"/>
                <w:bCs/>
                <w:iCs/>
                <w:color w:val="000000"/>
                <w:sz w:val="24"/>
              </w:rPr>
              <w:t>，</w:t>
            </w:r>
            <w:r>
              <w:rPr>
                <w:rFonts w:ascii="华文楷体" w:eastAsia="华文楷体" w:hAnsi="华文楷体" w:hint="eastAsia"/>
                <w:bCs/>
                <w:iCs/>
                <w:color w:val="000000"/>
                <w:sz w:val="24"/>
              </w:rPr>
              <w:t>包括</w:t>
            </w:r>
            <w:r w:rsidR="00BE3112">
              <w:rPr>
                <w:rFonts w:ascii="华文楷体" w:eastAsia="华文楷体" w:hAnsi="华文楷体" w:hint="eastAsia"/>
                <w:bCs/>
                <w:iCs/>
                <w:color w:val="000000"/>
                <w:sz w:val="24"/>
              </w:rPr>
              <w:t>LNG、</w:t>
            </w:r>
            <w:r w:rsidRPr="0006472C">
              <w:rPr>
                <w:rFonts w:ascii="华文楷体" w:eastAsia="华文楷体" w:hAnsi="华文楷体" w:hint="eastAsia"/>
                <w:bCs/>
                <w:iCs/>
                <w:color w:val="000000"/>
                <w:sz w:val="24"/>
              </w:rPr>
              <w:t>物流自动化、冷链、高端特色物流平台（</w:t>
            </w:r>
            <w:proofErr w:type="gramStart"/>
            <w:r>
              <w:rPr>
                <w:rFonts w:ascii="华文楷体" w:eastAsia="华文楷体" w:hAnsi="华文楷体" w:hint="eastAsia"/>
                <w:bCs/>
                <w:iCs/>
                <w:color w:val="000000"/>
                <w:sz w:val="24"/>
              </w:rPr>
              <w:t>如</w:t>
            </w:r>
            <w:r w:rsidRPr="0006472C">
              <w:rPr>
                <w:rFonts w:ascii="华文楷体" w:eastAsia="华文楷体" w:hAnsi="华文楷体" w:hint="eastAsia"/>
                <w:bCs/>
                <w:iCs/>
                <w:color w:val="000000"/>
                <w:sz w:val="24"/>
              </w:rPr>
              <w:t>载具</w:t>
            </w:r>
            <w:proofErr w:type="gramEnd"/>
            <w:r w:rsidRPr="0006472C">
              <w:rPr>
                <w:rFonts w:ascii="华文楷体" w:eastAsia="华文楷体" w:hAnsi="华文楷体" w:hint="eastAsia"/>
                <w:bCs/>
                <w:iCs/>
                <w:color w:val="000000"/>
                <w:sz w:val="24"/>
              </w:rPr>
              <w:t>、多式联运等）</w:t>
            </w:r>
            <w:r w:rsidR="00937D50">
              <w:rPr>
                <w:rFonts w:ascii="华文楷体" w:eastAsia="华文楷体" w:hAnsi="华文楷体" w:hint="eastAsia"/>
                <w:bCs/>
                <w:iCs/>
                <w:color w:val="000000"/>
                <w:sz w:val="24"/>
              </w:rPr>
              <w:t>。</w:t>
            </w:r>
          </w:p>
          <w:p w:rsidR="009E6AD8" w:rsidRDefault="00937D50" w:rsidP="001724AB">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总的来说，</w:t>
            </w:r>
            <w:r w:rsidRPr="00937D50">
              <w:rPr>
                <w:rFonts w:ascii="华文楷体" w:eastAsia="华文楷体" w:hAnsi="华文楷体" w:hint="eastAsia"/>
                <w:bCs/>
                <w:iCs/>
                <w:color w:val="000000"/>
                <w:sz w:val="24"/>
              </w:rPr>
              <w:t>未来本</w:t>
            </w:r>
            <w:r w:rsidR="007E405A">
              <w:rPr>
                <w:rFonts w:ascii="华文楷体" w:eastAsia="华文楷体" w:hAnsi="华文楷体" w:hint="eastAsia"/>
                <w:bCs/>
                <w:iCs/>
                <w:color w:val="000000"/>
                <w:sz w:val="24"/>
              </w:rPr>
              <w:t>集团</w:t>
            </w:r>
            <w:r w:rsidRPr="00937D50">
              <w:rPr>
                <w:rFonts w:ascii="华文楷体" w:eastAsia="华文楷体" w:hAnsi="华文楷体" w:hint="eastAsia"/>
                <w:bCs/>
                <w:iCs/>
                <w:color w:val="000000"/>
                <w:sz w:val="24"/>
              </w:rPr>
              <w:t>还是会立足于本业，在稳定业务总体规模的基础上，坚定</w:t>
            </w:r>
            <w:r w:rsidR="007E405A">
              <w:rPr>
                <w:rFonts w:ascii="华文楷体" w:eastAsia="华文楷体" w:hAnsi="华文楷体" w:hint="eastAsia"/>
                <w:bCs/>
                <w:iCs/>
                <w:color w:val="000000"/>
                <w:sz w:val="24"/>
              </w:rPr>
              <w:t>不移</w:t>
            </w:r>
            <w:r w:rsidRPr="00937D50">
              <w:rPr>
                <w:rFonts w:ascii="华文楷体" w:eastAsia="华文楷体" w:hAnsi="华文楷体" w:hint="eastAsia"/>
                <w:bCs/>
                <w:iCs/>
                <w:color w:val="000000"/>
                <w:sz w:val="24"/>
              </w:rPr>
              <w:t>地进行制造业转型升级，探索向高端服务业延伸，以保持集团的总体稳定和有质增长，提升效率和盈利能力，争取股东回报最大化。</w:t>
            </w:r>
          </w:p>
          <w:p w:rsidR="00227948" w:rsidRPr="00227948" w:rsidRDefault="00227948" w:rsidP="00227948">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8、</w:t>
            </w:r>
            <w:r w:rsidR="007E405A" w:rsidRPr="007E405A">
              <w:rPr>
                <w:rFonts w:ascii="华文楷体" w:eastAsia="华文楷体" w:hAnsi="华文楷体" w:hint="eastAsia"/>
                <w:bCs/>
                <w:iCs/>
                <w:color w:val="000000"/>
                <w:sz w:val="24"/>
              </w:rPr>
              <w:t>中</w:t>
            </w:r>
            <w:proofErr w:type="gramStart"/>
            <w:r w:rsidR="007E405A" w:rsidRPr="007E405A">
              <w:rPr>
                <w:rFonts w:ascii="华文楷体" w:eastAsia="华文楷体" w:hAnsi="华文楷体" w:hint="eastAsia"/>
                <w:bCs/>
                <w:iCs/>
                <w:color w:val="000000"/>
                <w:sz w:val="24"/>
              </w:rPr>
              <w:t>集产城增资</w:t>
            </w:r>
            <w:proofErr w:type="gramEnd"/>
            <w:r w:rsidR="007E405A" w:rsidRPr="007E405A">
              <w:rPr>
                <w:rFonts w:ascii="华文楷体" w:eastAsia="华文楷体" w:hAnsi="华文楷体" w:hint="eastAsia"/>
                <w:bCs/>
                <w:iCs/>
                <w:color w:val="000000"/>
                <w:sz w:val="24"/>
              </w:rPr>
              <w:t>的产生的46亿元投资收益对中集当期报表的影响？</w:t>
            </w:r>
          </w:p>
          <w:p w:rsidR="00227948" w:rsidRPr="009E6AD8" w:rsidRDefault="00227948" w:rsidP="00227948">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w:t>
            </w:r>
            <w:proofErr w:type="gramStart"/>
            <w:r w:rsidRPr="00227948">
              <w:rPr>
                <w:rFonts w:ascii="华文楷体" w:eastAsia="华文楷体" w:hAnsi="华文楷体" w:hint="eastAsia"/>
                <w:bCs/>
                <w:iCs/>
                <w:color w:val="000000"/>
                <w:sz w:val="24"/>
              </w:rPr>
              <w:t>产城引战</w:t>
            </w:r>
            <w:r w:rsidR="007E405A">
              <w:rPr>
                <w:rFonts w:ascii="华文楷体" w:eastAsia="华文楷体" w:hAnsi="华文楷体" w:hint="eastAsia"/>
                <w:bCs/>
                <w:iCs/>
                <w:color w:val="000000"/>
                <w:sz w:val="24"/>
              </w:rPr>
              <w:t>程序</w:t>
            </w:r>
            <w:proofErr w:type="gramEnd"/>
            <w:r w:rsidRPr="00227948">
              <w:rPr>
                <w:rFonts w:ascii="华文楷体" w:eastAsia="华文楷体" w:hAnsi="华文楷体" w:hint="eastAsia"/>
                <w:bCs/>
                <w:iCs/>
                <w:color w:val="000000"/>
                <w:sz w:val="24"/>
              </w:rPr>
              <w:t>若全部完成，</w:t>
            </w:r>
            <w:proofErr w:type="gramStart"/>
            <w:r w:rsidRPr="00227948">
              <w:rPr>
                <w:rFonts w:ascii="华文楷体" w:eastAsia="华文楷体" w:hAnsi="华文楷体" w:hint="eastAsia"/>
                <w:bCs/>
                <w:iCs/>
                <w:color w:val="000000"/>
                <w:sz w:val="24"/>
              </w:rPr>
              <w:t>产城</w:t>
            </w:r>
            <w:proofErr w:type="gramEnd"/>
            <w:r w:rsidRPr="00227948">
              <w:rPr>
                <w:rFonts w:ascii="华文楷体" w:eastAsia="华文楷体" w:hAnsi="华文楷体" w:hint="eastAsia"/>
                <w:bCs/>
                <w:iCs/>
                <w:color w:val="000000"/>
                <w:sz w:val="24"/>
              </w:rPr>
              <w:t>将由控股子公司变为联营公司，不再纳入集团合并范围，对集团大多数会计科目都会造成影响，根据之前</w:t>
            </w:r>
            <w:r w:rsidR="007E405A">
              <w:rPr>
                <w:rFonts w:ascii="华文楷体" w:eastAsia="华文楷体" w:hAnsi="华文楷体" w:hint="eastAsia"/>
                <w:bCs/>
                <w:iCs/>
                <w:color w:val="000000"/>
                <w:sz w:val="24"/>
              </w:rPr>
              <w:t>披露</w:t>
            </w:r>
            <w:proofErr w:type="gramStart"/>
            <w:r w:rsidR="007E405A">
              <w:rPr>
                <w:rFonts w:ascii="华文楷体" w:eastAsia="华文楷体" w:hAnsi="华文楷体" w:hint="eastAsia"/>
                <w:bCs/>
                <w:iCs/>
                <w:color w:val="000000"/>
                <w:sz w:val="24"/>
              </w:rPr>
              <w:t>的</w:t>
            </w:r>
            <w:r w:rsidRPr="00227948">
              <w:rPr>
                <w:rFonts w:ascii="华文楷体" w:eastAsia="华文楷体" w:hAnsi="华文楷体" w:hint="eastAsia"/>
                <w:bCs/>
                <w:iCs/>
                <w:color w:val="000000"/>
                <w:sz w:val="24"/>
              </w:rPr>
              <w:t>引战公</w:t>
            </w:r>
            <w:proofErr w:type="gramEnd"/>
            <w:r w:rsidRPr="00227948">
              <w:rPr>
                <w:rFonts w:ascii="华文楷体" w:eastAsia="华文楷体" w:hAnsi="华文楷体" w:hint="eastAsia"/>
                <w:bCs/>
                <w:iCs/>
                <w:color w:val="000000"/>
                <w:sz w:val="24"/>
              </w:rPr>
              <w:t>告，对集团</w:t>
            </w:r>
            <w:r w:rsidR="007E405A">
              <w:rPr>
                <w:rFonts w:ascii="华文楷体" w:eastAsia="华文楷体" w:hAnsi="华文楷体" w:hint="eastAsia"/>
                <w:bCs/>
                <w:iCs/>
                <w:color w:val="000000"/>
                <w:sz w:val="24"/>
              </w:rPr>
              <w:t>2</w:t>
            </w:r>
            <w:r w:rsidR="007E405A">
              <w:rPr>
                <w:rFonts w:ascii="华文楷体" w:eastAsia="华文楷体" w:hAnsi="华文楷体"/>
                <w:bCs/>
                <w:iCs/>
                <w:color w:val="000000"/>
                <w:sz w:val="24"/>
              </w:rPr>
              <w:t>020</w:t>
            </w:r>
            <w:r w:rsidR="007E405A">
              <w:rPr>
                <w:rFonts w:ascii="华文楷体" w:eastAsia="华文楷体" w:hAnsi="华文楷体" w:hint="eastAsia"/>
                <w:bCs/>
                <w:iCs/>
                <w:color w:val="000000"/>
                <w:sz w:val="24"/>
              </w:rPr>
              <w:t>年</w:t>
            </w:r>
            <w:r w:rsidRPr="00227948">
              <w:rPr>
                <w:rFonts w:ascii="华文楷体" w:eastAsia="华文楷体" w:hAnsi="华文楷体" w:hint="eastAsia"/>
                <w:bCs/>
                <w:iCs/>
                <w:color w:val="000000"/>
                <w:sz w:val="24"/>
              </w:rPr>
              <w:t>利润</w:t>
            </w:r>
            <w:proofErr w:type="gramStart"/>
            <w:r w:rsidRPr="00227948">
              <w:rPr>
                <w:rFonts w:ascii="华文楷体" w:eastAsia="华文楷体" w:hAnsi="华文楷体" w:hint="eastAsia"/>
                <w:bCs/>
                <w:iCs/>
                <w:color w:val="000000"/>
                <w:sz w:val="24"/>
              </w:rPr>
              <w:t>影响</w:t>
            </w:r>
            <w:proofErr w:type="gramEnd"/>
            <w:r w:rsidRPr="00227948">
              <w:rPr>
                <w:rFonts w:ascii="华文楷体" w:eastAsia="华文楷体" w:hAnsi="华文楷体" w:hint="eastAsia"/>
                <w:bCs/>
                <w:iCs/>
                <w:color w:val="000000"/>
                <w:sz w:val="24"/>
              </w:rPr>
              <w:t>约46亿，最终对损益影响还要以年度审计为准。</w:t>
            </w:r>
          </w:p>
        </w:tc>
      </w:tr>
      <w:tr w:rsidR="00E94BAA" w:rsidRPr="00D33505" w:rsidTr="002A0A09">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lastRenderedPageBreak/>
              <w:t>附件清单（如有）</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Pr>
                <w:rFonts w:ascii="华文楷体" w:eastAsia="华文楷体" w:hAnsi="华文楷体" w:hint="eastAsia"/>
                <w:bCs/>
                <w:iCs/>
                <w:color w:val="000000"/>
                <w:sz w:val="24"/>
              </w:rPr>
              <w:t>无</w:t>
            </w:r>
          </w:p>
        </w:tc>
      </w:tr>
      <w:tr w:rsidR="00E94BAA" w:rsidRPr="00D33505" w:rsidTr="002A0A09">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134AF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日期</w:t>
            </w:r>
          </w:p>
        </w:tc>
        <w:tc>
          <w:tcPr>
            <w:tcW w:w="7306" w:type="dxa"/>
            <w:tcBorders>
              <w:top w:val="single" w:sz="4" w:space="0" w:color="auto"/>
              <w:left w:val="single" w:sz="4" w:space="0" w:color="auto"/>
              <w:bottom w:val="single" w:sz="4" w:space="0" w:color="auto"/>
              <w:right w:val="single" w:sz="4" w:space="0" w:color="auto"/>
            </w:tcBorders>
            <w:vAlign w:val="center"/>
          </w:tcPr>
          <w:p w:rsidR="00E94BAA" w:rsidRPr="00D33505" w:rsidRDefault="00405A83" w:rsidP="001724AB">
            <w:pPr>
              <w:rPr>
                <w:rFonts w:ascii="华文楷体" w:eastAsia="华文楷体" w:hAnsi="华文楷体"/>
                <w:bCs/>
                <w:iCs/>
                <w:color w:val="000000"/>
                <w:sz w:val="24"/>
              </w:rPr>
            </w:pPr>
            <w:r>
              <w:rPr>
                <w:rFonts w:ascii="华文楷体" w:eastAsia="华文楷体" w:hAnsi="华文楷体" w:hint="eastAsia"/>
                <w:bCs/>
                <w:iCs/>
                <w:color w:val="000000"/>
                <w:sz w:val="24"/>
              </w:rPr>
              <w:t>20</w:t>
            </w:r>
            <w:r w:rsidR="00510FA7">
              <w:rPr>
                <w:rFonts w:ascii="华文楷体" w:eastAsia="华文楷体" w:hAnsi="华文楷体"/>
                <w:bCs/>
                <w:iCs/>
                <w:color w:val="000000"/>
                <w:sz w:val="24"/>
              </w:rPr>
              <w:t>20</w:t>
            </w:r>
            <w:r w:rsidR="00E94BAA" w:rsidRPr="00D33505">
              <w:rPr>
                <w:rFonts w:ascii="华文楷体" w:eastAsia="华文楷体" w:hAnsi="华文楷体" w:hint="eastAsia"/>
                <w:bCs/>
                <w:iCs/>
                <w:color w:val="000000"/>
                <w:sz w:val="24"/>
              </w:rPr>
              <w:t>年</w:t>
            </w:r>
            <w:r w:rsidR="00B9095B">
              <w:rPr>
                <w:rFonts w:ascii="华文楷体" w:eastAsia="华文楷体" w:hAnsi="华文楷体" w:hint="eastAsia"/>
                <w:bCs/>
                <w:iCs/>
                <w:color w:val="000000"/>
                <w:sz w:val="24"/>
              </w:rPr>
              <w:t>1</w:t>
            </w:r>
            <w:r w:rsidR="00B9095B">
              <w:rPr>
                <w:rFonts w:ascii="华文楷体" w:eastAsia="华文楷体" w:hAnsi="华文楷体"/>
                <w:bCs/>
                <w:iCs/>
                <w:color w:val="000000"/>
                <w:sz w:val="24"/>
              </w:rPr>
              <w:t>0</w:t>
            </w:r>
            <w:r w:rsidR="00E94BAA" w:rsidRPr="00D33505">
              <w:rPr>
                <w:rFonts w:ascii="华文楷体" w:eastAsia="华文楷体" w:hAnsi="华文楷体" w:hint="eastAsia"/>
                <w:bCs/>
                <w:iCs/>
                <w:color w:val="000000"/>
                <w:sz w:val="24"/>
              </w:rPr>
              <w:t>月</w:t>
            </w:r>
            <w:r w:rsidR="00B9095B">
              <w:rPr>
                <w:rFonts w:ascii="华文楷体" w:eastAsia="华文楷体" w:hAnsi="华文楷体" w:hint="eastAsia"/>
                <w:bCs/>
                <w:iCs/>
                <w:color w:val="000000"/>
                <w:sz w:val="24"/>
              </w:rPr>
              <w:t>3</w:t>
            </w:r>
            <w:r w:rsidR="00B9095B">
              <w:rPr>
                <w:rFonts w:ascii="华文楷体" w:eastAsia="华文楷体" w:hAnsi="华文楷体"/>
                <w:bCs/>
                <w:iCs/>
                <w:color w:val="000000"/>
                <w:sz w:val="24"/>
              </w:rPr>
              <w:t>0</w:t>
            </w:r>
            <w:r w:rsidR="00E94BAA" w:rsidRPr="00D33505">
              <w:rPr>
                <w:rFonts w:ascii="华文楷体" w:eastAsia="华文楷体" w:hAnsi="华文楷体" w:hint="eastAsia"/>
                <w:bCs/>
                <w:iCs/>
                <w:color w:val="000000"/>
                <w:sz w:val="24"/>
              </w:rPr>
              <w:t>日</w:t>
            </w:r>
          </w:p>
        </w:tc>
      </w:tr>
    </w:tbl>
    <w:p w:rsidR="00134AFB" w:rsidRDefault="00134AFB"/>
    <w:sectPr w:rsidR="00134AFB" w:rsidSect="00134A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B9" w:rsidRDefault="00DE3DB9">
      <w:r>
        <w:separator/>
      </w:r>
    </w:p>
  </w:endnote>
  <w:endnote w:type="continuationSeparator" w:id="0">
    <w:p w:rsidR="00DE3DB9" w:rsidRDefault="00DE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C STKaiti">
    <w:altName w:val="Arial Unicode MS"/>
    <w:panose1 w:val="00000000000000000000"/>
    <w:charset w:val="86"/>
    <w:family w:val="auto"/>
    <w:notTrueType/>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43" w:rsidRDefault="00322043" w:rsidP="00134AFB">
    <w:pPr>
      <w:pStyle w:val="a3"/>
      <w:jc w:val="center"/>
    </w:pPr>
    <w:r>
      <w:fldChar w:fldCharType="begin"/>
    </w:r>
    <w:r>
      <w:instrText>PAGE   \* MERGEFORMAT</w:instrText>
    </w:r>
    <w:r>
      <w:fldChar w:fldCharType="separate"/>
    </w:r>
    <w:r w:rsidR="001724AB" w:rsidRPr="001724A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B9" w:rsidRDefault="00DE3DB9">
      <w:r>
        <w:separator/>
      </w:r>
    </w:p>
  </w:footnote>
  <w:footnote w:type="continuationSeparator" w:id="0">
    <w:p w:rsidR="00DE3DB9" w:rsidRDefault="00DE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FC"/>
    <w:multiLevelType w:val="hybridMultilevel"/>
    <w:tmpl w:val="1F822660"/>
    <w:lvl w:ilvl="0" w:tplc="9CA4C6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AA"/>
    <w:rsid w:val="00000A06"/>
    <w:rsid w:val="0000556F"/>
    <w:rsid w:val="00014434"/>
    <w:rsid w:val="0001628E"/>
    <w:rsid w:val="00027962"/>
    <w:rsid w:val="000353BD"/>
    <w:rsid w:val="000360D0"/>
    <w:rsid w:val="00036C63"/>
    <w:rsid w:val="000460F6"/>
    <w:rsid w:val="00046E87"/>
    <w:rsid w:val="00050744"/>
    <w:rsid w:val="000548B6"/>
    <w:rsid w:val="000643D4"/>
    <w:rsid w:val="0006472C"/>
    <w:rsid w:val="0008772B"/>
    <w:rsid w:val="0009095D"/>
    <w:rsid w:val="00091184"/>
    <w:rsid w:val="00094054"/>
    <w:rsid w:val="00096EE1"/>
    <w:rsid w:val="000B4360"/>
    <w:rsid w:val="000B6460"/>
    <w:rsid w:val="000B7A76"/>
    <w:rsid w:val="000C439E"/>
    <w:rsid w:val="000C5A99"/>
    <w:rsid w:val="000D145D"/>
    <w:rsid w:val="000D3706"/>
    <w:rsid w:val="000D786B"/>
    <w:rsid w:val="000E1D36"/>
    <w:rsid w:val="000E1ED5"/>
    <w:rsid w:val="000E4ADE"/>
    <w:rsid w:val="000F326F"/>
    <w:rsid w:val="000F46DA"/>
    <w:rsid w:val="000F4A49"/>
    <w:rsid w:val="00110031"/>
    <w:rsid w:val="00120F65"/>
    <w:rsid w:val="00121784"/>
    <w:rsid w:val="00124080"/>
    <w:rsid w:val="00131628"/>
    <w:rsid w:val="001320A3"/>
    <w:rsid w:val="00134AFB"/>
    <w:rsid w:val="001413CA"/>
    <w:rsid w:val="00142AE0"/>
    <w:rsid w:val="00146C1C"/>
    <w:rsid w:val="00152376"/>
    <w:rsid w:val="0015533A"/>
    <w:rsid w:val="001607EF"/>
    <w:rsid w:val="00164826"/>
    <w:rsid w:val="00170B4A"/>
    <w:rsid w:val="001724AB"/>
    <w:rsid w:val="00173DE7"/>
    <w:rsid w:val="001834E1"/>
    <w:rsid w:val="00194186"/>
    <w:rsid w:val="00195D40"/>
    <w:rsid w:val="001A5BFC"/>
    <w:rsid w:val="001A6D43"/>
    <w:rsid w:val="001B1205"/>
    <w:rsid w:val="001B3830"/>
    <w:rsid w:val="001B677D"/>
    <w:rsid w:val="001B71BF"/>
    <w:rsid w:val="001C133F"/>
    <w:rsid w:val="001C260C"/>
    <w:rsid w:val="001E2CEB"/>
    <w:rsid w:val="001F4AAE"/>
    <w:rsid w:val="00202569"/>
    <w:rsid w:val="00210212"/>
    <w:rsid w:val="002116C0"/>
    <w:rsid w:val="00214E01"/>
    <w:rsid w:val="00221A26"/>
    <w:rsid w:val="00227373"/>
    <w:rsid w:val="00227948"/>
    <w:rsid w:val="00235FB8"/>
    <w:rsid w:val="0025616B"/>
    <w:rsid w:val="0027273D"/>
    <w:rsid w:val="0028603A"/>
    <w:rsid w:val="002864D9"/>
    <w:rsid w:val="002913A7"/>
    <w:rsid w:val="00293F78"/>
    <w:rsid w:val="002A0A09"/>
    <w:rsid w:val="002A13F7"/>
    <w:rsid w:val="002A4651"/>
    <w:rsid w:val="002A5BB4"/>
    <w:rsid w:val="002A67D1"/>
    <w:rsid w:val="002B6017"/>
    <w:rsid w:val="002B7937"/>
    <w:rsid w:val="002D1FA1"/>
    <w:rsid w:val="002E060C"/>
    <w:rsid w:val="002E0B98"/>
    <w:rsid w:val="002E5826"/>
    <w:rsid w:val="002E7237"/>
    <w:rsid w:val="002E7421"/>
    <w:rsid w:val="002E7AAA"/>
    <w:rsid w:val="002F3CBC"/>
    <w:rsid w:val="002F68CA"/>
    <w:rsid w:val="0030616A"/>
    <w:rsid w:val="0031185C"/>
    <w:rsid w:val="00322043"/>
    <w:rsid w:val="00324EE3"/>
    <w:rsid w:val="00330689"/>
    <w:rsid w:val="003316B1"/>
    <w:rsid w:val="003318C0"/>
    <w:rsid w:val="00331C99"/>
    <w:rsid w:val="00335A53"/>
    <w:rsid w:val="003411E6"/>
    <w:rsid w:val="00347A52"/>
    <w:rsid w:val="00364062"/>
    <w:rsid w:val="00367323"/>
    <w:rsid w:val="00373BEC"/>
    <w:rsid w:val="00377C25"/>
    <w:rsid w:val="0038032A"/>
    <w:rsid w:val="003809D2"/>
    <w:rsid w:val="00381C46"/>
    <w:rsid w:val="003829DD"/>
    <w:rsid w:val="00387708"/>
    <w:rsid w:val="0039045A"/>
    <w:rsid w:val="00397F71"/>
    <w:rsid w:val="003A1CB3"/>
    <w:rsid w:val="003A2D67"/>
    <w:rsid w:val="003A3E03"/>
    <w:rsid w:val="003A6A33"/>
    <w:rsid w:val="003B7C6B"/>
    <w:rsid w:val="003C4F96"/>
    <w:rsid w:val="003C77E4"/>
    <w:rsid w:val="003D1E9D"/>
    <w:rsid w:val="003D20E5"/>
    <w:rsid w:val="003D6321"/>
    <w:rsid w:val="003E7709"/>
    <w:rsid w:val="00403A5E"/>
    <w:rsid w:val="00405A83"/>
    <w:rsid w:val="00411C88"/>
    <w:rsid w:val="0042130D"/>
    <w:rsid w:val="004311F8"/>
    <w:rsid w:val="00434BFC"/>
    <w:rsid w:val="004423EE"/>
    <w:rsid w:val="004451BD"/>
    <w:rsid w:val="004509CB"/>
    <w:rsid w:val="00455FCF"/>
    <w:rsid w:val="0046713C"/>
    <w:rsid w:val="004717D1"/>
    <w:rsid w:val="00485C40"/>
    <w:rsid w:val="00490595"/>
    <w:rsid w:val="004A13EE"/>
    <w:rsid w:val="004A56A7"/>
    <w:rsid w:val="004A5720"/>
    <w:rsid w:val="004B16ED"/>
    <w:rsid w:val="004B22BB"/>
    <w:rsid w:val="004C6956"/>
    <w:rsid w:val="004E4E2E"/>
    <w:rsid w:val="004E701E"/>
    <w:rsid w:val="004F2390"/>
    <w:rsid w:val="00502ADB"/>
    <w:rsid w:val="00510FA7"/>
    <w:rsid w:val="00534C8B"/>
    <w:rsid w:val="00571969"/>
    <w:rsid w:val="00584EDD"/>
    <w:rsid w:val="005876AA"/>
    <w:rsid w:val="00591FA3"/>
    <w:rsid w:val="0059312A"/>
    <w:rsid w:val="00593812"/>
    <w:rsid w:val="005A689E"/>
    <w:rsid w:val="005B43FC"/>
    <w:rsid w:val="005C1F78"/>
    <w:rsid w:val="005C657F"/>
    <w:rsid w:val="005D1EC1"/>
    <w:rsid w:val="005E52C9"/>
    <w:rsid w:val="005F234A"/>
    <w:rsid w:val="005F437E"/>
    <w:rsid w:val="005F4401"/>
    <w:rsid w:val="00602B36"/>
    <w:rsid w:val="006106E1"/>
    <w:rsid w:val="00617CBA"/>
    <w:rsid w:val="00622A5E"/>
    <w:rsid w:val="00635469"/>
    <w:rsid w:val="006362DF"/>
    <w:rsid w:val="00652D41"/>
    <w:rsid w:val="0065622E"/>
    <w:rsid w:val="00665BA6"/>
    <w:rsid w:val="00666B47"/>
    <w:rsid w:val="006732EF"/>
    <w:rsid w:val="00673C52"/>
    <w:rsid w:val="00690356"/>
    <w:rsid w:val="006956EB"/>
    <w:rsid w:val="00696758"/>
    <w:rsid w:val="006A3FA1"/>
    <w:rsid w:val="006A787B"/>
    <w:rsid w:val="006B703D"/>
    <w:rsid w:val="006D0839"/>
    <w:rsid w:val="006D7FD2"/>
    <w:rsid w:val="006E27F6"/>
    <w:rsid w:val="006E77C2"/>
    <w:rsid w:val="006F16B2"/>
    <w:rsid w:val="006F34CE"/>
    <w:rsid w:val="006F7628"/>
    <w:rsid w:val="006F7673"/>
    <w:rsid w:val="00712ED4"/>
    <w:rsid w:val="00713FD7"/>
    <w:rsid w:val="00715572"/>
    <w:rsid w:val="00724767"/>
    <w:rsid w:val="00733608"/>
    <w:rsid w:val="0073421C"/>
    <w:rsid w:val="007356D7"/>
    <w:rsid w:val="007429FC"/>
    <w:rsid w:val="00746146"/>
    <w:rsid w:val="007536F2"/>
    <w:rsid w:val="00755DC7"/>
    <w:rsid w:val="007609D5"/>
    <w:rsid w:val="00761EAB"/>
    <w:rsid w:val="00762335"/>
    <w:rsid w:val="007730A0"/>
    <w:rsid w:val="007845DE"/>
    <w:rsid w:val="00790A0F"/>
    <w:rsid w:val="007922BB"/>
    <w:rsid w:val="00793252"/>
    <w:rsid w:val="007A356B"/>
    <w:rsid w:val="007A4487"/>
    <w:rsid w:val="007A70B0"/>
    <w:rsid w:val="007A7C06"/>
    <w:rsid w:val="007B0F45"/>
    <w:rsid w:val="007C1D5A"/>
    <w:rsid w:val="007C2F1F"/>
    <w:rsid w:val="007C7CDA"/>
    <w:rsid w:val="007E0A0E"/>
    <w:rsid w:val="007E405A"/>
    <w:rsid w:val="007E44E1"/>
    <w:rsid w:val="007E757D"/>
    <w:rsid w:val="007E762D"/>
    <w:rsid w:val="007F08D1"/>
    <w:rsid w:val="007F1465"/>
    <w:rsid w:val="007F64CE"/>
    <w:rsid w:val="008101A3"/>
    <w:rsid w:val="00816D93"/>
    <w:rsid w:val="00827267"/>
    <w:rsid w:val="00840AC7"/>
    <w:rsid w:val="00843674"/>
    <w:rsid w:val="00856CEE"/>
    <w:rsid w:val="0086610D"/>
    <w:rsid w:val="008A13AF"/>
    <w:rsid w:val="008A32D7"/>
    <w:rsid w:val="008A652C"/>
    <w:rsid w:val="008D4782"/>
    <w:rsid w:val="008E1878"/>
    <w:rsid w:val="008E7EAF"/>
    <w:rsid w:val="00910B03"/>
    <w:rsid w:val="00923092"/>
    <w:rsid w:val="00930586"/>
    <w:rsid w:val="00937D50"/>
    <w:rsid w:val="0094356A"/>
    <w:rsid w:val="00946B5C"/>
    <w:rsid w:val="009577D6"/>
    <w:rsid w:val="00960E04"/>
    <w:rsid w:val="009701F3"/>
    <w:rsid w:val="00974C72"/>
    <w:rsid w:val="009822E1"/>
    <w:rsid w:val="00984105"/>
    <w:rsid w:val="0099048C"/>
    <w:rsid w:val="00992F2C"/>
    <w:rsid w:val="00994483"/>
    <w:rsid w:val="009960F2"/>
    <w:rsid w:val="0099625D"/>
    <w:rsid w:val="00996A3F"/>
    <w:rsid w:val="009A44F2"/>
    <w:rsid w:val="009A7B5E"/>
    <w:rsid w:val="009A7CC2"/>
    <w:rsid w:val="009B64E8"/>
    <w:rsid w:val="009C00C5"/>
    <w:rsid w:val="009D0764"/>
    <w:rsid w:val="009E3808"/>
    <w:rsid w:val="009E6AD8"/>
    <w:rsid w:val="009F523F"/>
    <w:rsid w:val="009F672F"/>
    <w:rsid w:val="00A1727D"/>
    <w:rsid w:val="00A216EB"/>
    <w:rsid w:val="00A21BD8"/>
    <w:rsid w:val="00A21E63"/>
    <w:rsid w:val="00A240FF"/>
    <w:rsid w:val="00A2713C"/>
    <w:rsid w:val="00A276EE"/>
    <w:rsid w:val="00A3003B"/>
    <w:rsid w:val="00A32EF1"/>
    <w:rsid w:val="00A34BE7"/>
    <w:rsid w:val="00A54AB0"/>
    <w:rsid w:val="00A63C69"/>
    <w:rsid w:val="00A66C61"/>
    <w:rsid w:val="00A73EF6"/>
    <w:rsid w:val="00A73F61"/>
    <w:rsid w:val="00A87C93"/>
    <w:rsid w:val="00A910B0"/>
    <w:rsid w:val="00AA7AEB"/>
    <w:rsid w:val="00AB6D6C"/>
    <w:rsid w:val="00AC64C8"/>
    <w:rsid w:val="00AD19A8"/>
    <w:rsid w:val="00AD29F8"/>
    <w:rsid w:val="00AE3CE3"/>
    <w:rsid w:val="00AE3ECB"/>
    <w:rsid w:val="00AE3F36"/>
    <w:rsid w:val="00AE5C20"/>
    <w:rsid w:val="00AE7E7C"/>
    <w:rsid w:val="00AF1612"/>
    <w:rsid w:val="00B011BB"/>
    <w:rsid w:val="00B0325C"/>
    <w:rsid w:val="00B05122"/>
    <w:rsid w:val="00B06B10"/>
    <w:rsid w:val="00B12110"/>
    <w:rsid w:val="00B12FED"/>
    <w:rsid w:val="00B1562C"/>
    <w:rsid w:val="00B16B04"/>
    <w:rsid w:val="00B20A87"/>
    <w:rsid w:val="00B2330E"/>
    <w:rsid w:val="00B272FE"/>
    <w:rsid w:val="00B32DBF"/>
    <w:rsid w:val="00B4415C"/>
    <w:rsid w:val="00B50C6A"/>
    <w:rsid w:val="00B55CDD"/>
    <w:rsid w:val="00B64DAF"/>
    <w:rsid w:val="00B6791A"/>
    <w:rsid w:val="00B820EF"/>
    <w:rsid w:val="00B9095B"/>
    <w:rsid w:val="00BA1823"/>
    <w:rsid w:val="00BA50AB"/>
    <w:rsid w:val="00BA7D60"/>
    <w:rsid w:val="00BA7F79"/>
    <w:rsid w:val="00BB0245"/>
    <w:rsid w:val="00BC163C"/>
    <w:rsid w:val="00BC1AE8"/>
    <w:rsid w:val="00BC30CE"/>
    <w:rsid w:val="00BC5641"/>
    <w:rsid w:val="00BC70BB"/>
    <w:rsid w:val="00BD349E"/>
    <w:rsid w:val="00BD6CCF"/>
    <w:rsid w:val="00BE1919"/>
    <w:rsid w:val="00BE1D98"/>
    <w:rsid w:val="00BE2683"/>
    <w:rsid w:val="00BE3112"/>
    <w:rsid w:val="00BE5DC3"/>
    <w:rsid w:val="00BF3712"/>
    <w:rsid w:val="00BF396D"/>
    <w:rsid w:val="00BF6427"/>
    <w:rsid w:val="00C0276D"/>
    <w:rsid w:val="00C03267"/>
    <w:rsid w:val="00C142FE"/>
    <w:rsid w:val="00C21F16"/>
    <w:rsid w:val="00C32FC4"/>
    <w:rsid w:val="00C50A0C"/>
    <w:rsid w:val="00C76B11"/>
    <w:rsid w:val="00C91974"/>
    <w:rsid w:val="00C97AAB"/>
    <w:rsid w:val="00CA02AF"/>
    <w:rsid w:val="00CA5B93"/>
    <w:rsid w:val="00CD59BC"/>
    <w:rsid w:val="00CD76D7"/>
    <w:rsid w:val="00CE41B9"/>
    <w:rsid w:val="00CE58EA"/>
    <w:rsid w:val="00CF05B4"/>
    <w:rsid w:val="00CF0657"/>
    <w:rsid w:val="00D11496"/>
    <w:rsid w:val="00D16294"/>
    <w:rsid w:val="00D2329F"/>
    <w:rsid w:val="00D25C01"/>
    <w:rsid w:val="00D25CE9"/>
    <w:rsid w:val="00D55557"/>
    <w:rsid w:val="00D56379"/>
    <w:rsid w:val="00D60B53"/>
    <w:rsid w:val="00D7635F"/>
    <w:rsid w:val="00D84357"/>
    <w:rsid w:val="00DA3262"/>
    <w:rsid w:val="00DB0757"/>
    <w:rsid w:val="00DB7294"/>
    <w:rsid w:val="00DD2F12"/>
    <w:rsid w:val="00DD3EA9"/>
    <w:rsid w:val="00DD5768"/>
    <w:rsid w:val="00DD6477"/>
    <w:rsid w:val="00DE2E0A"/>
    <w:rsid w:val="00DE3DB9"/>
    <w:rsid w:val="00DE7B3D"/>
    <w:rsid w:val="00DF109B"/>
    <w:rsid w:val="00DF58DC"/>
    <w:rsid w:val="00DF6598"/>
    <w:rsid w:val="00DF68B1"/>
    <w:rsid w:val="00E12FC6"/>
    <w:rsid w:val="00E137D8"/>
    <w:rsid w:val="00E25A1E"/>
    <w:rsid w:val="00E349F1"/>
    <w:rsid w:val="00E44521"/>
    <w:rsid w:val="00E55ED2"/>
    <w:rsid w:val="00E63789"/>
    <w:rsid w:val="00E71B75"/>
    <w:rsid w:val="00E7454B"/>
    <w:rsid w:val="00E76385"/>
    <w:rsid w:val="00E94BAA"/>
    <w:rsid w:val="00E95BA1"/>
    <w:rsid w:val="00E96600"/>
    <w:rsid w:val="00EA3781"/>
    <w:rsid w:val="00EA5635"/>
    <w:rsid w:val="00EA77C8"/>
    <w:rsid w:val="00EB3D2F"/>
    <w:rsid w:val="00EB4B28"/>
    <w:rsid w:val="00EC4F8F"/>
    <w:rsid w:val="00ED30C2"/>
    <w:rsid w:val="00EE4591"/>
    <w:rsid w:val="00EE4D44"/>
    <w:rsid w:val="00EF3398"/>
    <w:rsid w:val="00EF38DB"/>
    <w:rsid w:val="00EF558A"/>
    <w:rsid w:val="00EF628B"/>
    <w:rsid w:val="00EF77DA"/>
    <w:rsid w:val="00F0494F"/>
    <w:rsid w:val="00F143FA"/>
    <w:rsid w:val="00F22B1A"/>
    <w:rsid w:val="00F3592D"/>
    <w:rsid w:val="00F359BA"/>
    <w:rsid w:val="00F45D19"/>
    <w:rsid w:val="00F63D8C"/>
    <w:rsid w:val="00F74B29"/>
    <w:rsid w:val="00F75CA7"/>
    <w:rsid w:val="00F81BE9"/>
    <w:rsid w:val="00F84880"/>
    <w:rsid w:val="00FA6178"/>
    <w:rsid w:val="00FB4630"/>
    <w:rsid w:val="00FB7705"/>
    <w:rsid w:val="00FC1D76"/>
    <w:rsid w:val="00FC5839"/>
    <w:rsid w:val="00FD56C0"/>
    <w:rsid w:val="00FE16B0"/>
    <w:rsid w:val="00FE3038"/>
    <w:rsid w:val="00FE6AAC"/>
    <w:rsid w:val="00FE6FF1"/>
    <w:rsid w:val="00FF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3971"/>
  <w15:docId w15:val="{15618F6C-F723-4E05-B52C-7404E6E2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B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4BAA"/>
    <w:pPr>
      <w:tabs>
        <w:tab w:val="center" w:pos="4153"/>
        <w:tab w:val="right" w:pos="8306"/>
      </w:tabs>
      <w:snapToGrid w:val="0"/>
      <w:jc w:val="left"/>
    </w:pPr>
    <w:rPr>
      <w:kern w:val="0"/>
      <w:sz w:val="18"/>
      <w:szCs w:val="18"/>
      <w:lang w:val="x-none" w:eastAsia="x-none"/>
    </w:rPr>
  </w:style>
  <w:style w:type="character" w:customStyle="1" w:styleId="a4">
    <w:name w:val="页脚 字符"/>
    <w:basedOn w:val="a0"/>
    <w:link w:val="a3"/>
    <w:uiPriority w:val="99"/>
    <w:rsid w:val="00E94BAA"/>
    <w:rPr>
      <w:rFonts w:ascii="Times New Roman" w:eastAsia="宋体" w:hAnsi="Times New Roman" w:cs="Times New Roman"/>
      <w:kern w:val="0"/>
      <w:sz w:val="18"/>
      <w:szCs w:val="18"/>
      <w:lang w:val="x-none" w:eastAsia="x-none"/>
    </w:rPr>
  </w:style>
  <w:style w:type="paragraph" w:styleId="a5">
    <w:name w:val="header"/>
    <w:basedOn w:val="a"/>
    <w:link w:val="a6"/>
    <w:uiPriority w:val="99"/>
    <w:unhideWhenUsed/>
    <w:rsid w:val="00170B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70B4A"/>
    <w:rPr>
      <w:rFonts w:ascii="Times New Roman" w:eastAsia="宋体" w:hAnsi="Times New Roman" w:cs="Times New Roman"/>
      <w:sz w:val="18"/>
      <w:szCs w:val="18"/>
    </w:rPr>
  </w:style>
  <w:style w:type="paragraph" w:customStyle="1" w:styleId="Default">
    <w:name w:val="Default"/>
    <w:rsid w:val="00FE16B0"/>
    <w:pPr>
      <w:autoSpaceDE w:val="0"/>
      <w:autoSpaceDN w:val="0"/>
      <w:adjustRightInd w:val="0"/>
    </w:pPr>
    <w:rPr>
      <w:rFonts w:ascii="SC STKaiti" w:eastAsia="SC STKaiti" w:hAnsi="Times New Roman" w:cs="SC STKaiti"/>
      <w:color w:val="000000"/>
      <w:kern w:val="0"/>
      <w:sz w:val="24"/>
      <w:szCs w:val="24"/>
    </w:rPr>
  </w:style>
  <w:style w:type="character" w:styleId="a7">
    <w:name w:val="annotation reference"/>
    <w:basedOn w:val="a0"/>
    <w:uiPriority w:val="99"/>
    <w:semiHidden/>
    <w:unhideWhenUsed/>
    <w:rsid w:val="00A2713C"/>
    <w:rPr>
      <w:sz w:val="21"/>
      <w:szCs w:val="21"/>
    </w:rPr>
  </w:style>
  <w:style w:type="paragraph" w:styleId="a8">
    <w:name w:val="annotation text"/>
    <w:basedOn w:val="a"/>
    <w:link w:val="a9"/>
    <w:uiPriority w:val="99"/>
    <w:semiHidden/>
    <w:unhideWhenUsed/>
    <w:rsid w:val="00A2713C"/>
    <w:pPr>
      <w:jc w:val="left"/>
    </w:pPr>
  </w:style>
  <w:style w:type="character" w:customStyle="1" w:styleId="a9">
    <w:name w:val="批注文字 字符"/>
    <w:basedOn w:val="a0"/>
    <w:link w:val="a8"/>
    <w:uiPriority w:val="99"/>
    <w:semiHidden/>
    <w:rsid w:val="00A2713C"/>
    <w:rPr>
      <w:rFonts w:ascii="Times New Roman" w:eastAsia="宋体" w:hAnsi="Times New Roman" w:cs="Times New Roman"/>
      <w:szCs w:val="24"/>
    </w:rPr>
  </w:style>
  <w:style w:type="paragraph" w:styleId="aa">
    <w:name w:val="annotation subject"/>
    <w:basedOn w:val="a8"/>
    <w:next w:val="a8"/>
    <w:link w:val="ab"/>
    <w:uiPriority w:val="99"/>
    <w:semiHidden/>
    <w:unhideWhenUsed/>
    <w:rsid w:val="00A2713C"/>
    <w:rPr>
      <w:b/>
      <w:bCs/>
    </w:rPr>
  </w:style>
  <w:style w:type="character" w:customStyle="1" w:styleId="ab">
    <w:name w:val="批注主题 字符"/>
    <w:basedOn w:val="a9"/>
    <w:link w:val="aa"/>
    <w:uiPriority w:val="99"/>
    <w:semiHidden/>
    <w:rsid w:val="00A2713C"/>
    <w:rPr>
      <w:rFonts w:ascii="Times New Roman" w:eastAsia="宋体" w:hAnsi="Times New Roman" w:cs="Times New Roman"/>
      <w:b/>
      <w:bCs/>
      <w:szCs w:val="24"/>
    </w:rPr>
  </w:style>
  <w:style w:type="paragraph" w:styleId="ac">
    <w:name w:val="Balloon Text"/>
    <w:basedOn w:val="a"/>
    <w:link w:val="ad"/>
    <w:uiPriority w:val="99"/>
    <w:semiHidden/>
    <w:unhideWhenUsed/>
    <w:rsid w:val="00A2713C"/>
    <w:rPr>
      <w:sz w:val="18"/>
      <w:szCs w:val="18"/>
    </w:rPr>
  </w:style>
  <w:style w:type="character" w:customStyle="1" w:styleId="ad">
    <w:name w:val="批注框文本 字符"/>
    <w:basedOn w:val="a0"/>
    <w:link w:val="ac"/>
    <w:uiPriority w:val="99"/>
    <w:semiHidden/>
    <w:rsid w:val="00A271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宾蓓/Irene</dc:creator>
  <cp:lastModifiedBy>宾蓓/Irene</cp:lastModifiedBy>
  <cp:revision>8</cp:revision>
  <dcterms:created xsi:type="dcterms:W3CDTF">2020-10-30T09:24:00Z</dcterms:created>
  <dcterms:modified xsi:type="dcterms:W3CDTF">2020-10-30T09:32:00Z</dcterms:modified>
</cp:coreProperties>
</file>