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hint="eastAsia" w:cs="宋体" w:asciiTheme="minorEastAsia" w:hAnsiTheme="minorEastAsia" w:eastAsiaTheme="minorEastAsia"/>
          <w:b/>
          <w:bCs w:val="0"/>
          <w:iCs/>
          <w:sz w:val="24"/>
          <w:lang w:eastAsia="zh-CN"/>
        </w:rPr>
      </w:pPr>
      <w:r>
        <w:rPr>
          <w:rFonts w:hint="eastAsia" w:cs="宋体" w:asciiTheme="minorEastAsia" w:hAnsiTheme="minorEastAsia" w:eastAsiaTheme="minorEastAsia"/>
          <w:b/>
          <w:bCs w:val="0"/>
          <w:iCs/>
          <w:sz w:val="24"/>
        </w:rPr>
        <w:t>证券代码：</w:t>
      </w:r>
      <w:r>
        <w:rPr>
          <w:rFonts w:hint="eastAsia" w:cs="宋体" w:asciiTheme="minorEastAsia" w:hAnsiTheme="minorEastAsia"/>
          <w:b/>
          <w:bCs w:val="0"/>
          <w:iCs/>
          <w:sz w:val="24"/>
          <w:lang w:val="en-US" w:eastAsia="zh-CN"/>
        </w:rPr>
        <w:t>000860</w:t>
      </w:r>
      <w:r>
        <w:rPr>
          <w:rFonts w:hint="eastAsia" w:cs="宋体" w:asciiTheme="minorEastAsia" w:hAnsiTheme="minorEastAsia" w:eastAsiaTheme="minorEastAsia"/>
          <w:b/>
          <w:bCs w:val="0"/>
          <w:iCs/>
          <w:sz w:val="24"/>
        </w:rPr>
        <w:t xml:space="preserve">                                   证券简称：</w:t>
      </w:r>
      <w:r>
        <w:rPr>
          <w:rFonts w:hint="eastAsia" w:cs="宋体" w:asciiTheme="minorEastAsia" w:hAnsiTheme="minorEastAsia"/>
          <w:b/>
          <w:bCs w:val="0"/>
          <w:iCs/>
          <w:sz w:val="24"/>
          <w:lang w:val="en-US" w:eastAsia="zh-CN"/>
        </w:rPr>
        <w:t>顺鑫农业</w:t>
      </w:r>
    </w:p>
    <w:p>
      <w:pPr>
        <w:spacing w:before="156" w:beforeLines="50" w:after="156" w:afterLines="50" w:line="400" w:lineRule="exact"/>
        <w:jc w:val="center"/>
        <w:rPr>
          <w:rFonts w:cs="宋体" w:asciiTheme="minorEastAsia" w:hAnsiTheme="minorEastAsia" w:eastAsiaTheme="minorEastAsia"/>
          <w:b/>
          <w:bCs/>
          <w:iCs/>
          <w:sz w:val="32"/>
          <w:szCs w:val="32"/>
        </w:rPr>
      </w:pPr>
    </w:p>
    <w:p>
      <w:pPr>
        <w:spacing w:before="156" w:beforeLines="50" w:after="156" w:afterLines="50" w:line="400" w:lineRule="exact"/>
        <w:jc w:val="center"/>
        <w:rPr>
          <w:rFonts w:cs="宋体" w:asciiTheme="minorEastAsia" w:hAnsiTheme="minorEastAsia" w:eastAsiaTheme="minorEastAsia"/>
          <w:b/>
          <w:bCs/>
          <w:iCs/>
          <w:sz w:val="32"/>
          <w:szCs w:val="32"/>
        </w:rPr>
      </w:pPr>
      <w:r>
        <w:rPr>
          <w:rFonts w:hint="eastAsia" w:cs="宋体" w:asciiTheme="minorEastAsia" w:hAnsiTheme="minorEastAsia" w:eastAsiaTheme="minorEastAsia"/>
          <w:b/>
          <w:bCs/>
          <w:iCs/>
          <w:sz w:val="32"/>
          <w:szCs w:val="32"/>
        </w:rPr>
        <w:t>北京</w:t>
      </w:r>
      <w:r>
        <w:rPr>
          <w:rFonts w:hint="eastAsia" w:cs="宋体" w:asciiTheme="minorEastAsia" w:hAnsiTheme="minorEastAsia"/>
          <w:b/>
          <w:bCs/>
          <w:iCs/>
          <w:sz w:val="32"/>
          <w:szCs w:val="32"/>
          <w:lang w:val="en-US" w:eastAsia="zh-CN"/>
        </w:rPr>
        <w:t>顺鑫农业</w:t>
      </w:r>
      <w:r>
        <w:rPr>
          <w:rFonts w:hint="eastAsia" w:cs="宋体" w:asciiTheme="minorEastAsia" w:hAnsiTheme="minorEastAsia" w:eastAsiaTheme="minorEastAsia"/>
          <w:b/>
          <w:bCs/>
          <w:iCs/>
          <w:sz w:val="32"/>
          <w:szCs w:val="32"/>
        </w:rPr>
        <w:t>股份有限公司</w:t>
      </w:r>
    </w:p>
    <w:p>
      <w:pPr>
        <w:spacing w:before="156" w:beforeLines="50" w:after="156" w:afterLines="50" w:line="400" w:lineRule="exact"/>
        <w:jc w:val="center"/>
        <w:rPr>
          <w:rFonts w:cs="宋体" w:asciiTheme="minorEastAsia" w:hAnsiTheme="minorEastAsia" w:eastAsiaTheme="minorEastAsia"/>
          <w:b/>
          <w:bCs/>
          <w:iCs/>
          <w:sz w:val="32"/>
          <w:szCs w:val="32"/>
        </w:rPr>
      </w:pPr>
      <w:r>
        <w:rPr>
          <w:rFonts w:hint="eastAsia" w:cs="宋体" w:asciiTheme="minorEastAsia" w:hAnsiTheme="minorEastAsia" w:eastAsiaTheme="minorEastAsia"/>
          <w:b/>
          <w:bCs/>
          <w:iCs/>
          <w:sz w:val="32"/>
          <w:szCs w:val="32"/>
        </w:rPr>
        <w:t>投资者关系活动记录表</w:t>
      </w:r>
    </w:p>
    <w:p>
      <w:pPr>
        <w:spacing w:line="188" w:lineRule="exact"/>
        <w:rPr>
          <w:rFonts w:ascii="Times New Roman" w:hAnsi="Times New Roman" w:eastAsia="Times New Roman"/>
        </w:rPr>
      </w:pPr>
    </w:p>
    <w:p>
      <w:pPr>
        <w:spacing w:line="320" w:lineRule="exact"/>
        <w:jc w:val="right"/>
        <w:rPr>
          <w:rFonts w:hint="default" w:ascii="宋体" w:hAnsi="宋体" w:eastAsia="宋体"/>
          <w:sz w:val="28"/>
          <w:lang w:val="en-US" w:eastAsia="zh-CN"/>
        </w:rPr>
      </w:pPr>
      <w:r>
        <w:rPr>
          <w:rFonts w:ascii="宋体" w:hAnsi="宋体" w:eastAsia="宋体"/>
          <w:sz w:val="28"/>
        </w:rPr>
        <w:t>编号：</w:t>
      </w:r>
      <w:r>
        <w:rPr>
          <w:rFonts w:hint="eastAsia" w:ascii="宋体" w:hAnsi="宋体" w:eastAsia="宋体"/>
          <w:sz w:val="28"/>
          <w:lang w:val="en-US" w:eastAsia="zh-CN"/>
        </w:rPr>
        <w:t>2020-001</w:t>
      </w:r>
    </w:p>
    <w:p>
      <w:pPr>
        <w:spacing w:line="52" w:lineRule="exact"/>
        <w:rPr>
          <w:rFonts w:ascii="Times New Roman" w:hAnsi="Times New Roman" w:eastAsia="Times New Roman"/>
        </w:rPr>
      </w:pPr>
    </w:p>
    <w:tbl>
      <w:tblPr>
        <w:tblStyle w:val="5"/>
        <w:tblW w:w="8560" w:type="dxa"/>
        <w:tblInd w:w="250" w:type="dxa"/>
        <w:tblLayout w:type="fixed"/>
        <w:tblCellMar>
          <w:top w:w="0" w:type="dxa"/>
          <w:left w:w="0" w:type="dxa"/>
          <w:bottom w:w="0" w:type="dxa"/>
          <w:right w:w="0" w:type="dxa"/>
        </w:tblCellMar>
      </w:tblPr>
      <w:tblGrid>
        <w:gridCol w:w="2400"/>
        <w:gridCol w:w="6160"/>
      </w:tblGrid>
      <w:tr>
        <w:tblPrEx>
          <w:tblLayout w:type="fixed"/>
          <w:tblCellMar>
            <w:top w:w="0" w:type="dxa"/>
            <w:left w:w="0" w:type="dxa"/>
            <w:bottom w:w="0" w:type="dxa"/>
            <w:right w:w="0" w:type="dxa"/>
          </w:tblCellMar>
        </w:tblPrEx>
        <w:trPr>
          <w:trHeight w:val="2497" w:hRule="atLeast"/>
        </w:trPr>
        <w:tc>
          <w:tcPr>
            <w:tcW w:w="2400" w:type="dxa"/>
            <w:tcBorders>
              <w:top w:val="single" w:color="auto" w:sz="4" w:space="0"/>
              <w:left w:val="single" w:color="auto" w:sz="4" w:space="0"/>
              <w:right w:val="single" w:color="auto" w:sz="8" w:space="0"/>
            </w:tcBorders>
            <w:shd w:val="clear" w:color="auto" w:fill="auto"/>
            <w:vAlign w:val="center"/>
          </w:tcPr>
          <w:p>
            <w:pPr>
              <w:spacing w:line="360" w:lineRule="auto"/>
              <w:jc w:val="center"/>
              <w:rPr>
                <w:rFonts w:cs="宋体" w:asciiTheme="minorEastAsia" w:hAnsiTheme="minorEastAsia" w:eastAsiaTheme="minorEastAsia"/>
                <w:b/>
                <w:bCs/>
                <w:iCs/>
                <w:sz w:val="24"/>
              </w:rPr>
            </w:pPr>
            <w:r>
              <w:rPr>
                <w:rFonts w:hint="eastAsia" w:cs="宋体" w:asciiTheme="minorEastAsia" w:hAnsiTheme="minorEastAsia" w:eastAsiaTheme="minorEastAsia"/>
                <w:b/>
                <w:bCs/>
                <w:iCs/>
                <w:sz w:val="24"/>
              </w:rPr>
              <w:t>投资者关系</w:t>
            </w:r>
          </w:p>
          <w:p>
            <w:pPr>
              <w:keepNext w:val="0"/>
              <w:keepLines w:val="0"/>
              <w:pageBreakBefore w:val="0"/>
              <w:widowControl/>
              <w:kinsoku/>
              <w:wordWrap/>
              <w:overflowPunct/>
              <w:topLinePunct w:val="0"/>
              <w:autoSpaceDE/>
              <w:autoSpaceDN/>
              <w:bidi w:val="0"/>
              <w:adjustRightInd/>
              <w:snapToGrid/>
              <w:spacing w:line="360" w:lineRule="auto"/>
              <w:ind w:left="119"/>
              <w:jc w:val="center"/>
              <w:textAlignment w:val="auto"/>
              <w:outlineLvl w:val="9"/>
              <w:rPr>
                <w:rFonts w:ascii="宋体" w:hAnsi="宋体" w:eastAsia="宋体"/>
                <w:sz w:val="21"/>
              </w:rPr>
            </w:pPr>
            <w:r>
              <w:rPr>
                <w:rFonts w:hint="eastAsia" w:cs="宋体" w:asciiTheme="minorEastAsia" w:hAnsiTheme="minorEastAsia" w:eastAsiaTheme="minorEastAsia"/>
                <w:b/>
                <w:bCs/>
                <w:iCs/>
                <w:sz w:val="24"/>
              </w:rPr>
              <w:t>活动类别</w:t>
            </w:r>
          </w:p>
        </w:tc>
        <w:tc>
          <w:tcPr>
            <w:tcW w:w="6160" w:type="dxa"/>
            <w:tcBorders>
              <w:top w:val="single" w:color="auto" w:sz="4" w:space="0"/>
              <w:bottom w:val="single" w:color="auto" w:sz="4" w:space="0"/>
              <w:right w:val="single" w:color="auto" w:sz="4" w:space="0"/>
            </w:tcBorders>
            <w:shd w:val="clear" w:color="auto" w:fill="auto"/>
            <w:vAlign w:val="center"/>
          </w:tcPr>
          <w:p>
            <w:pPr>
              <w:spacing w:line="360" w:lineRule="auto"/>
              <w:jc w:val="both"/>
              <w:rPr>
                <w:rFonts w:cs="宋体" w:asciiTheme="minorEastAsia" w:hAnsiTheme="minorEastAsia" w:eastAsiaTheme="minorEastAsia"/>
                <w:bCs/>
                <w:iCs/>
                <w:sz w:val="24"/>
                <w:szCs w:val="24"/>
              </w:rPr>
            </w:pPr>
            <w:r>
              <w:rPr>
                <w:rFonts w:hint="eastAsia" w:cs="宋体" w:asciiTheme="minorEastAsia" w:hAnsiTheme="minorEastAsia" w:eastAsiaTheme="minorEastAsia"/>
                <w:bCs/>
                <w:iCs/>
                <w:sz w:val="24"/>
                <w:szCs w:val="24"/>
              </w:rPr>
              <w:t>□</w:t>
            </w:r>
            <w:r>
              <w:rPr>
                <w:rFonts w:hint="eastAsia" w:cs="宋体" w:asciiTheme="minorEastAsia" w:hAnsiTheme="minorEastAsia" w:eastAsiaTheme="minorEastAsia"/>
                <w:sz w:val="24"/>
                <w:szCs w:val="24"/>
              </w:rPr>
              <w:t xml:space="preserve">特定对象调研          </w:t>
            </w:r>
            <w:r>
              <w:rPr>
                <w:rFonts w:hint="eastAsia" w:cs="宋体" w:asciiTheme="minorEastAsia" w:hAnsiTheme="minorEastAsia" w:eastAsiaTheme="minorEastAsia"/>
                <w:bCs/>
                <w:iCs/>
                <w:sz w:val="24"/>
                <w:szCs w:val="24"/>
              </w:rPr>
              <w:t>□</w:t>
            </w:r>
            <w:r>
              <w:rPr>
                <w:rFonts w:hint="eastAsia" w:cs="宋体" w:asciiTheme="minorEastAsia" w:hAnsiTheme="minorEastAsia" w:eastAsiaTheme="minorEastAsia"/>
                <w:sz w:val="24"/>
                <w:szCs w:val="24"/>
              </w:rPr>
              <w:t>分析师会议</w:t>
            </w:r>
          </w:p>
          <w:p>
            <w:pPr>
              <w:spacing w:line="360" w:lineRule="auto"/>
              <w:jc w:val="both"/>
              <w:rPr>
                <w:rFonts w:cs="宋体" w:asciiTheme="minorEastAsia" w:hAnsiTheme="minorEastAsia" w:eastAsiaTheme="minorEastAsia"/>
                <w:bCs/>
                <w:iCs/>
                <w:sz w:val="24"/>
                <w:szCs w:val="24"/>
              </w:rPr>
            </w:pPr>
            <w:r>
              <w:rPr>
                <w:rFonts w:hint="eastAsia" w:cs="宋体" w:asciiTheme="minorEastAsia" w:hAnsiTheme="minorEastAsia" w:eastAsiaTheme="minorEastAsia"/>
                <w:bCs/>
                <w:iCs/>
                <w:sz w:val="24"/>
                <w:szCs w:val="24"/>
              </w:rPr>
              <w:t>□</w:t>
            </w:r>
            <w:r>
              <w:rPr>
                <w:rFonts w:hint="eastAsia" w:cs="宋体" w:asciiTheme="minorEastAsia" w:hAnsiTheme="minorEastAsia" w:eastAsiaTheme="minorEastAsia"/>
                <w:sz w:val="24"/>
                <w:szCs w:val="24"/>
              </w:rPr>
              <w:t xml:space="preserve">媒体采访              </w:t>
            </w:r>
            <w:r>
              <w:rPr>
                <w:rFonts w:hint="eastAsia" w:cs="宋体" w:asciiTheme="minorEastAsia" w:hAnsiTheme="minorEastAsia" w:eastAsiaTheme="minorEastAsia"/>
                <w:bCs/>
                <w:iCs/>
                <w:sz w:val="24"/>
              </w:rPr>
              <w:t>■</w:t>
            </w:r>
            <w:r>
              <w:rPr>
                <w:rFonts w:hint="eastAsia" w:cs="宋体" w:asciiTheme="minorEastAsia" w:hAnsiTheme="minorEastAsia" w:eastAsiaTheme="minorEastAsia"/>
                <w:sz w:val="24"/>
                <w:szCs w:val="24"/>
              </w:rPr>
              <w:t>业绩说明会</w:t>
            </w:r>
          </w:p>
          <w:p>
            <w:pPr>
              <w:spacing w:line="360" w:lineRule="auto"/>
              <w:jc w:val="both"/>
              <w:rPr>
                <w:rFonts w:cs="宋体" w:asciiTheme="minorEastAsia" w:hAnsiTheme="minorEastAsia" w:eastAsiaTheme="minorEastAsia"/>
                <w:bCs/>
                <w:iCs/>
                <w:sz w:val="24"/>
                <w:szCs w:val="24"/>
              </w:rPr>
            </w:pPr>
            <w:r>
              <w:rPr>
                <w:rFonts w:hint="eastAsia" w:cs="宋体" w:asciiTheme="minorEastAsia" w:hAnsiTheme="minorEastAsia" w:eastAsiaTheme="minorEastAsia"/>
                <w:bCs/>
                <w:iCs/>
                <w:sz w:val="24"/>
                <w:szCs w:val="24"/>
              </w:rPr>
              <w:t>□</w:t>
            </w:r>
            <w:r>
              <w:rPr>
                <w:rFonts w:hint="eastAsia" w:cs="宋体" w:asciiTheme="minorEastAsia" w:hAnsiTheme="minorEastAsia" w:eastAsiaTheme="minorEastAsia"/>
                <w:sz w:val="24"/>
                <w:szCs w:val="24"/>
              </w:rPr>
              <w:t xml:space="preserve">新闻发布会            </w:t>
            </w:r>
            <w:r>
              <w:rPr>
                <w:rFonts w:hint="eastAsia" w:cs="宋体" w:asciiTheme="minorEastAsia" w:hAnsiTheme="minorEastAsia" w:eastAsiaTheme="minorEastAsia"/>
                <w:bCs/>
                <w:iCs/>
                <w:sz w:val="24"/>
                <w:szCs w:val="24"/>
              </w:rPr>
              <w:t>□</w:t>
            </w:r>
            <w:r>
              <w:rPr>
                <w:rFonts w:hint="eastAsia" w:cs="宋体" w:asciiTheme="minorEastAsia" w:hAnsiTheme="minorEastAsia" w:eastAsiaTheme="minorEastAsia"/>
                <w:sz w:val="24"/>
                <w:szCs w:val="24"/>
              </w:rPr>
              <w:t>路演活动</w:t>
            </w:r>
          </w:p>
          <w:p>
            <w:pPr>
              <w:tabs>
                <w:tab w:val="left" w:pos="3045"/>
                <w:tab w:val="center" w:pos="3199"/>
              </w:tabs>
              <w:spacing w:line="360" w:lineRule="auto"/>
              <w:jc w:val="both"/>
              <w:rPr>
                <w:rFonts w:hint="eastAsia" w:cs="宋体" w:asciiTheme="minorEastAsia" w:hAnsiTheme="minorEastAsia" w:eastAsiaTheme="minorEastAsia"/>
                <w:sz w:val="24"/>
                <w:szCs w:val="24"/>
              </w:rPr>
            </w:pPr>
            <w:r>
              <w:rPr>
                <w:rFonts w:hint="eastAsia" w:cs="宋体" w:asciiTheme="minorEastAsia" w:hAnsiTheme="minorEastAsia" w:eastAsiaTheme="minorEastAsia"/>
                <w:bCs/>
                <w:iCs/>
                <w:sz w:val="24"/>
                <w:szCs w:val="24"/>
              </w:rPr>
              <w:t>□</w:t>
            </w:r>
            <w:r>
              <w:rPr>
                <w:rFonts w:hint="eastAsia" w:cs="宋体" w:asciiTheme="minorEastAsia" w:hAnsiTheme="minorEastAsia" w:eastAsiaTheme="minorEastAsia"/>
                <w:sz w:val="24"/>
                <w:szCs w:val="24"/>
              </w:rPr>
              <w:t>现场参观</w:t>
            </w:r>
          </w:p>
          <w:p>
            <w:pPr>
              <w:spacing w:line="360" w:lineRule="auto"/>
              <w:jc w:val="both"/>
              <w:rPr>
                <w:rFonts w:ascii="宋体" w:hAnsi="宋体" w:eastAsia="宋体"/>
                <w:sz w:val="28"/>
                <w:szCs w:val="28"/>
              </w:rPr>
            </w:pPr>
            <w:r>
              <w:rPr>
                <w:rFonts w:hint="eastAsia" w:cs="宋体" w:asciiTheme="minorEastAsia" w:hAnsiTheme="minorEastAsia" w:eastAsiaTheme="minorEastAsia"/>
                <w:bCs/>
                <w:iCs/>
                <w:sz w:val="24"/>
                <w:szCs w:val="24"/>
              </w:rPr>
              <w:t>□</w:t>
            </w:r>
            <w:r>
              <w:rPr>
                <w:rFonts w:hint="eastAsia" w:cs="宋体" w:asciiTheme="minorEastAsia" w:hAnsiTheme="minorEastAsia" w:eastAsiaTheme="minorEastAsia"/>
                <w:sz w:val="24"/>
                <w:szCs w:val="24"/>
              </w:rPr>
              <w:t>其他 （）</w:t>
            </w:r>
          </w:p>
        </w:tc>
      </w:tr>
      <w:tr>
        <w:tblPrEx>
          <w:tblLayout w:type="fixed"/>
          <w:tblCellMar>
            <w:top w:w="0" w:type="dxa"/>
            <w:left w:w="0" w:type="dxa"/>
            <w:bottom w:w="0" w:type="dxa"/>
            <w:right w:w="0" w:type="dxa"/>
          </w:tblCellMar>
        </w:tblPrEx>
        <w:trPr>
          <w:trHeight w:val="764" w:hRule="atLeast"/>
        </w:trPr>
        <w:tc>
          <w:tcPr>
            <w:tcW w:w="2400" w:type="dxa"/>
            <w:tcBorders>
              <w:top w:val="single" w:color="auto" w:sz="4" w:space="0"/>
              <w:left w:val="single" w:color="auto" w:sz="8" w:space="0"/>
              <w:right w:val="single" w:color="auto" w:sz="8" w:space="0"/>
            </w:tcBorders>
            <w:shd w:val="clear" w:color="auto" w:fill="auto"/>
            <w:vAlign w:val="center"/>
          </w:tcPr>
          <w:p>
            <w:pPr>
              <w:spacing w:line="480" w:lineRule="atLeast"/>
              <w:jc w:val="center"/>
              <w:rPr>
                <w:rFonts w:hint="eastAsia" w:cs="宋体" w:asciiTheme="minorEastAsia" w:hAnsiTheme="minorEastAsia" w:eastAsiaTheme="minorEastAsia"/>
                <w:b/>
                <w:bCs/>
                <w:iCs/>
                <w:sz w:val="24"/>
              </w:rPr>
            </w:pPr>
            <w:r>
              <w:rPr>
                <w:rFonts w:hint="eastAsia" w:cs="宋体" w:asciiTheme="minorEastAsia" w:hAnsiTheme="minorEastAsia" w:eastAsiaTheme="minorEastAsia"/>
                <w:b/>
                <w:bCs/>
                <w:iCs/>
                <w:sz w:val="24"/>
              </w:rPr>
              <w:t>参与单位</w:t>
            </w:r>
          </w:p>
          <w:p>
            <w:pPr>
              <w:spacing w:line="480" w:lineRule="atLeast"/>
              <w:jc w:val="center"/>
              <w:rPr>
                <w:rFonts w:ascii="宋体" w:hAnsi="宋体" w:eastAsia="宋体" w:cs="Arial"/>
                <w:sz w:val="28"/>
                <w:szCs w:val="28"/>
              </w:rPr>
            </w:pPr>
            <w:r>
              <w:rPr>
                <w:rFonts w:hint="eastAsia" w:cs="宋体" w:asciiTheme="minorEastAsia" w:hAnsiTheme="minorEastAsia" w:eastAsiaTheme="minorEastAsia"/>
                <w:b/>
                <w:bCs/>
                <w:iCs/>
                <w:sz w:val="24"/>
              </w:rPr>
              <w:t>名称及人员姓名</w:t>
            </w:r>
          </w:p>
        </w:tc>
        <w:tc>
          <w:tcPr>
            <w:tcW w:w="6160" w:type="dxa"/>
            <w:tcBorders>
              <w:top w:val="single" w:color="auto" w:sz="4" w:space="0"/>
              <w:bottom w:val="single" w:color="auto" w:sz="4" w:space="0"/>
              <w:right w:val="single" w:color="auto" w:sz="8" w:space="0"/>
            </w:tcBorders>
            <w:shd w:val="clear" w:color="auto" w:fill="auto"/>
            <w:vAlign w:val="center"/>
          </w:tcPr>
          <w:p>
            <w:pPr>
              <w:spacing w:line="0" w:lineRule="atLeast"/>
              <w:jc w:val="both"/>
              <w:rPr>
                <w:rFonts w:hint="default" w:ascii="Times New Roman" w:hAnsi="Times New Roman" w:eastAsia="宋体"/>
                <w:sz w:val="24"/>
                <w:lang w:val="en-US" w:eastAsia="zh-CN"/>
              </w:rPr>
            </w:pPr>
            <w:r>
              <w:rPr>
                <w:rFonts w:hint="eastAsia" w:ascii="Times New Roman" w:hAnsi="Times New Roman" w:eastAsia="Times New Roman"/>
                <w:sz w:val="24"/>
              </w:rPr>
              <w:t>兴业基金</w:t>
            </w:r>
            <w:r>
              <w:rPr>
                <w:rFonts w:hint="eastAsia" w:ascii="Times New Roman" w:hAnsi="Times New Roman" w:eastAsia="宋体"/>
                <w:sz w:val="24"/>
                <w:lang w:val="en-US" w:eastAsia="zh-CN"/>
              </w:rPr>
              <w:t xml:space="preserve"> 张诗悦；诺德基金 朱红；长信基金 王祺；泰达宏利 冀楠；富安达基金 王凯；中海基金 郝杰；广发自营 石颖；中欧基金 成雨轩；交银施罗德 张程；万家基金 王琴；太平洋证券 程志峰、李鑫鑫、申文雯、黄付生；招商基金上海 付斌、王景、孙恒业；长城基金 余欢、艾抒皓；易方达上海 吴科春；天弘基金 张婧；融通基金 吴书；广发基金 谢譞璇；国投瑞银 吴默村、周宏成；博时基金 王增财、宋星琦；国寿养老 徐昊；国寿资产 王礼彬；浙商基金 景徽；中银国际资管 刘航；中信保诚基金 管嘉琪；银华基金 韩天鸿、王斌、苏静然、周书；宝盈基金 肖肖；中银基金 陈哲；汐泰投资 程浩然；安邦投研 陈静；大成基金 刘旭；国联安基金 王剑；华安基金 王旭冉；新华基金 付伟、王永明；中邮基金 綦征；银河基金 陈伯祯；易方达 王元春；民生加银 李德宝；国泰基金 饶玉涵、胡运昶；浙商基金 贾腾；南方基金 林朝雄；建信基金 王麟锴；中欧基金 金媛媛</w:t>
            </w:r>
          </w:p>
        </w:tc>
      </w:tr>
      <w:tr>
        <w:tblPrEx>
          <w:tblLayout w:type="fixed"/>
          <w:tblCellMar>
            <w:top w:w="0" w:type="dxa"/>
            <w:left w:w="0" w:type="dxa"/>
            <w:bottom w:w="0" w:type="dxa"/>
            <w:right w:w="0" w:type="dxa"/>
          </w:tblCellMar>
        </w:tblPrEx>
        <w:trPr>
          <w:trHeight w:val="624" w:hRule="atLeast"/>
        </w:trPr>
        <w:tc>
          <w:tcPr>
            <w:tcW w:w="240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9"/>
              <w:jc w:val="center"/>
              <w:textAlignment w:val="auto"/>
              <w:outlineLvl w:val="9"/>
              <w:rPr>
                <w:rFonts w:ascii="宋体" w:hAnsi="宋体" w:eastAsia="宋体" w:cs="Arial"/>
                <w:sz w:val="28"/>
                <w:szCs w:val="28"/>
              </w:rPr>
            </w:pPr>
            <w:r>
              <w:rPr>
                <w:rFonts w:hint="eastAsia" w:cs="宋体" w:asciiTheme="minorEastAsia" w:hAnsiTheme="minorEastAsia" w:eastAsiaTheme="minorEastAsia"/>
                <w:b/>
                <w:bCs/>
                <w:iCs/>
                <w:sz w:val="24"/>
              </w:rPr>
              <w:t>时  间</w:t>
            </w:r>
          </w:p>
        </w:tc>
        <w:tc>
          <w:tcPr>
            <w:tcW w:w="6160" w:type="dxa"/>
            <w:tcBorders>
              <w:top w:val="single" w:color="auto" w:sz="4" w:space="0"/>
              <w:bottom w:val="single" w:color="auto" w:sz="4" w:space="0"/>
              <w:right w:val="single" w:color="auto" w:sz="4" w:space="0"/>
            </w:tcBorders>
            <w:shd w:val="clear" w:color="auto" w:fill="auto"/>
            <w:vAlign w:val="center"/>
          </w:tcPr>
          <w:p>
            <w:pPr>
              <w:spacing w:line="0" w:lineRule="atLeast"/>
              <w:jc w:val="both"/>
              <w:rPr>
                <w:rFonts w:hint="default" w:ascii="Times New Roman" w:hAnsi="Times New Roman" w:eastAsia="Times New Roman"/>
                <w:sz w:val="24"/>
                <w:lang w:val="en-US"/>
              </w:rPr>
            </w:pPr>
            <w:r>
              <w:rPr>
                <w:rFonts w:hint="eastAsia" w:ascii="Times New Roman" w:hAnsi="Times New Roman" w:eastAsia="宋体"/>
                <w:sz w:val="24"/>
                <w:lang w:val="en-US" w:eastAsia="zh-CN"/>
              </w:rPr>
              <w:t>2020年10月30日下午16:00-17:00</w:t>
            </w:r>
          </w:p>
        </w:tc>
      </w:tr>
      <w:tr>
        <w:tblPrEx>
          <w:tblLayout w:type="fixed"/>
          <w:tblCellMar>
            <w:top w:w="0" w:type="dxa"/>
            <w:left w:w="0" w:type="dxa"/>
            <w:bottom w:w="0" w:type="dxa"/>
            <w:right w:w="0" w:type="dxa"/>
          </w:tblCellMar>
        </w:tblPrEx>
        <w:trPr>
          <w:trHeight w:val="604" w:hRule="atLeast"/>
        </w:trPr>
        <w:tc>
          <w:tcPr>
            <w:tcW w:w="2400"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119"/>
              <w:jc w:val="center"/>
              <w:textAlignment w:val="auto"/>
              <w:outlineLvl w:val="9"/>
              <w:rPr>
                <w:rFonts w:ascii="宋体" w:hAnsi="宋体" w:eastAsia="宋体" w:cs="Arial"/>
                <w:sz w:val="28"/>
                <w:szCs w:val="28"/>
              </w:rPr>
            </w:pPr>
            <w:r>
              <w:rPr>
                <w:rFonts w:hint="eastAsia" w:cs="宋体" w:asciiTheme="minorEastAsia" w:hAnsiTheme="minorEastAsia" w:eastAsiaTheme="minorEastAsia"/>
                <w:b/>
                <w:bCs/>
                <w:iCs/>
                <w:sz w:val="24"/>
              </w:rPr>
              <w:t>地  点</w:t>
            </w:r>
          </w:p>
        </w:tc>
        <w:tc>
          <w:tcPr>
            <w:tcW w:w="6160" w:type="dxa"/>
            <w:tcBorders>
              <w:top w:val="single" w:color="auto" w:sz="4" w:space="0"/>
              <w:bottom w:val="single" w:color="auto" w:sz="4" w:space="0"/>
              <w:right w:val="single" w:color="auto" w:sz="4" w:space="0"/>
            </w:tcBorders>
            <w:shd w:val="clear" w:color="auto" w:fill="auto"/>
            <w:vAlign w:val="center"/>
          </w:tcPr>
          <w:p>
            <w:pPr>
              <w:spacing w:line="0" w:lineRule="atLeast"/>
              <w:jc w:val="both"/>
              <w:rPr>
                <w:rFonts w:hint="default" w:ascii="Times New Roman" w:hAnsi="Times New Roman" w:eastAsia="宋体"/>
                <w:sz w:val="24"/>
                <w:lang w:val="en-US" w:eastAsia="zh-CN"/>
              </w:rPr>
            </w:pPr>
            <w:r>
              <w:rPr>
                <w:rFonts w:hint="eastAsia" w:ascii="Times New Roman" w:hAnsi="Times New Roman" w:eastAsia="宋体"/>
                <w:sz w:val="24"/>
                <w:lang w:val="en-US" w:eastAsia="zh-CN"/>
              </w:rPr>
              <w:t>顺鑫国际商务中心14层会议室</w:t>
            </w:r>
          </w:p>
        </w:tc>
      </w:tr>
      <w:tr>
        <w:tblPrEx>
          <w:tblLayout w:type="fixed"/>
          <w:tblCellMar>
            <w:top w:w="0" w:type="dxa"/>
            <w:left w:w="0" w:type="dxa"/>
            <w:bottom w:w="0" w:type="dxa"/>
            <w:right w:w="0" w:type="dxa"/>
          </w:tblCellMar>
        </w:tblPrEx>
        <w:trPr>
          <w:trHeight w:val="1227" w:hRule="atLeast"/>
        </w:trPr>
        <w:tc>
          <w:tcPr>
            <w:tcW w:w="2400"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480" w:lineRule="atLeast"/>
              <w:jc w:val="center"/>
              <w:rPr>
                <w:rFonts w:hint="eastAsia" w:cs="宋体" w:asciiTheme="minorEastAsia" w:hAnsiTheme="minorEastAsia" w:eastAsiaTheme="minorEastAsia"/>
                <w:b/>
                <w:bCs/>
                <w:iCs/>
                <w:sz w:val="24"/>
              </w:rPr>
            </w:pPr>
            <w:r>
              <w:rPr>
                <w:rFonts w:hint="eastAsia" w:cs="宋体" w:asciiTheme="minorEastAsia" w:hAnsiTheme="minorEastAsia" w:eastAsiaTheme="minorEastAsia"/>
                <w:b/>
                <w:bCs/>
                <w:iCs/>
                <w:sz w:val="24"/>
              </w:rPr>
              <w:t>上市公司</w:t>
            </w:r>
          </w:p>
          <w:p>
            <w:pPr>
              <w:spacing w:line="480" w:lineRule="atLeast"/>
              <w:jc w:val="center"/>
              <w:rPr>
                <w:rFonts w:ascii="宋体" w:hAnsi="宋体" w:eastAsia="宋体"/>
                <w:sz w:val="21"/>
              </w:rPr>
            </w:pPr>
            <w:r>
              <w:rPr>
                <w:rFonts w:hint="eastAsia" w:cs="宋体" w:asciiTheme="minorEastAsia" w:hAnsiTheme="minorEastAsia" w:eastAsiaTheme="minorEastAsia"/>
                <w:b/>
                <w:bCs/>
                <w:iCs/>
                <w:sz w:val="24"/>
              </w:rPr>
              <w:t>接待人员姓名</w:t>
            </w:r>
          </w:p>
        </w:tc>
        <w:tc>
          <w:tcPr>
            <w:tcW w:w="6160" w:type="dxa"/>
            <w:tcBorders>
              <w:top w:val="single" w:color="auto" w:sz="4" w:space="0"/>
              <w:bottom w:val="single" w:color="auto" w:sz="4" w:space="0"/>
              <w:right w:val="single" w:color="auto" w:sz="4" w:space="0"/>
            </w:tcBorders>
            <w:shd w:val="clear" w:color="auto" w:fill="auto"/>
            <w:vAlign w:val="center"/>
          </w:tcPr>
          <w:p>
            <w:pPr>
              <w:spacing w:line="0" w:lineRule="atLeast"/>
              <w:jc w:val="both"/>
              <w:rPr>
                <w:rFonts w:hint="default" w:ascii="Times New Roman" w:hAnsi="Times New Roman" w:eastAsia="Times New Roman"/>
                <w:sz w:val="24"/>
                <w:lang w:val="en-US"/>
              </w:rPr>
            </w:pPr>
            <w:r>
              <w:rPr>
                <w:rFonts w:hint="eastAsia" w:ascii="Times New Roman" w:hAnsi="Times New Roman" w:eastAsia="宋体" w:cs="Arial"/>
                <w:sz w:val="24"/>
                <w:lang w:val="en-US" w:eastAsia="zh-CN"/>
              </w:rPr>
              <w:t>总经理、董事会秘书 安元芝；证券事务代表 张骁勇；财务部经理 卢珊；</w:t>
            </w:r>
          </w:p>
        </w:tc>
      </w:tr>
      <w:tr>
        <w:tblPrEx>
          <w:tblLayout w:type="fixed"/>
          <w:tblCellMar>
            <w:top w:w="0" w:type="dxa"/>
            <w:left w:w="0" w:type="dxa"/>
            <w:bottom w:w="0" w:type="dxa"/>
            <w:right w:w="0" w:type="dxa"/>
          </w:tblCellMar>
        </w:tblPrEx>
        <w:trPr>
          <w:trHeight w:val="1735" w:hRule="atLeast"/>
        </w:trPr>
        <w:tc>
          <w:tcPr>
            <w:tcW w:w="2400"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360" w:lineRule="auto"/>
              <w:ind w:left="120"/>
              <w:jc w:val="center"/>
              <w:rPr>
                <w:rFonts w:ascii="宋体" w:hAnsi="宋体" w:eastAsia="宋体"/>
                <w:sz w:val="21"/>
              </w:rPr>
            </w:pPr>
            <w:r>
              <w:rPr>
                <w:rFonts w:hint="eastAsia" w:cs="宋体" w:asciiTheme="minorEastAsia" w:hAnsiTheme="minorEastAsia" w:eastAsiaTheme="minorEastAsia"/>
                <w:b/>
                <w:bCs/>
                <w:iCs/>
                <w:sz w:val="24"/>
              </w:rPr>
              <w:t>投资者关系活动主要内容介绍</w:t>
            </w:r>
          </w:p>
        </w:tc>
        <w:tc>
          <w:tcPr>
            <w:tcW w:w="6160" w:type="dxa"/>
            <w:tcBorders>
              <w:top w:val="single" w:color="auto" w:sz="4" w:space="0"/>
              <w:bottom w:val="single" w:color="auto" w:sz="4" w:space="0"/>
              <w:right w:val="single" w:color="auto" w:sz="4" w:space="0"/>
            </w:tcBorders>
            <w:shd w:val="clear" w:color="auto" w:fill="auto"/>
            <w:vAlign w:val="bottom"/>
          </w:tcPr>
          <w:p>
            <w:pPr>
              <w:spacing w:line="0" w:lineRule="atLeast"/>
              <w:ind w:firstLine="480" w:firstLineChars="200"/>
              <w:jc w:val="both"/>
              <w:rPr>
                <w:rFonts w:hint="eastAsia" w:ascii="Times New Roman" w:hAnsi="Times New Roman" w:eastAsia="宋体" w:cs="Arial"/>
                <w:sz w:val="24"/>
                <w:lang w:val="en-US" w:eastAsia="zh-CN"/>
              </w:rPr>
            </w:pPr>
            <w:r>
              <w:rPr>
                <w:rFonts w:hint="eastAsia" w:ascii="Times New Roman" w:hAnsi="Times New Roman" w:eastAsia="宋体" w:cs="Arial"/>
                <w:sz w:val="24"/>
                <w:lang w:val="en-US" w:eastAsia="zh-CN"/>
              </w:rPr>
              <w:t>会议开始先对公司三季度整体经营情况做了介绍：</w:t>
            </w:r>
          </w:p>
          <w:p>
            <w:pPr>
              <w:spacing w:line="0" w:lineRule="atLeast"/>
              <w:ind w:firstLine="480" w:firstLineChars="200"/>
              <w:jc w:val="both"/>
              <w:rPr>
                <w:rFonts w:hint="eastAsia" w:ascii="Times New Roman" w:hAnsi="Times New Roman" w:eastAsia="宋体" w:cs="Arial"/>
                <w:sz w:val="24"/>
                <w:lang w:val="en-US" w:eastAsia="zh-CN"/>
              </w:rPr>
            </w:pPr>
            <w:r>
              <w:rPr>
                <w:rFonts w:hint="eastAsia" w:ascii="Times New Roman" w:hAnsi="Times New Roman" w:eastAsia="宋体" w:cs="Arial"/>
                <w:sz w:val="24"/>
                <w:lang w:val="en-US" w:eastAsia="zh-CN"/>
              </w:rPr>
              <w:t>截止2020年9月30日，公司实现销售收入124.19亿，同比增长13.57亿元，增幅12.27%；实现净利润4.4亿元，同比减少2.2亿元，降幅33.8%。利润的下降，一方面是因为地产业务增亏，另一方面是受疫情影响，白酒业绩有所下滑以及三季度确认的销售费用较多导致。</w:t>
            </w:r>
          </w:p>
          <w:p>
            <w:pPr>
              <w:spacing w:line="0" w:lineRule="atLeast"/>
              <w:jc w:val="both"/>
              <w:rPr>
                <w:rFonts w:hint="eastAsia" w:ascii="Times New Roman" w:hAnsi="Times New Roman" w:eastAsia="宋体" w:cs="Arial"/>
                <w:sz w:val="24"/>
                <w:lang w:val="en-US" w:eastAsia="zh-CN"/>
              </w:rPr>
            </w:pPr>
            <w:r>
              <w:rPr>
                <w:rFonts w:hint="eastAsia" w:ascii="Times New Roman" w:hAnsi="Times New Roman" w:eastAsia="宋体" w:cs="Arial"/>
                <w:sz w:val="24"/>
                <w:lang w:val="en-US" w:eastAsia="zh-CN"/>
              </w:rPr>
              <w:t>分业务看：</w:t>
            </w:r>
          </w:p>
          <w:p>
            <w:pPr>
              <w:spacing w:line="0" w:lineRule="atLeast"/>
              <w:ind w:firstLine="480" w:firstLineChars="200"/>
              <w:jc w:val="both"/>
              <w:rPr>
                <w:rFonts w:hint="eastAsia" w:ascii="Times New Roman" w:hAnsi="Times New Roman" w:eastAsia="宋体" w:cs="Arial"/>
                <w:sz w:val="24"/>
                <w:lang w:val="en-US" w:eastAsia="zh-CN"/>
              </w:rPr>
            </w:pPr>
            <w:r>
              <w:rPr>
                <w:rFonts w:hint="eastAsia" w:ascii="Times New Roman" w:hAnsi="Times New Roman" w:eastAsia="宋体" w:cs="Arial"/>
                <w:sz w:val="24"/>
                <w:lang w:val="en-US" w:eastAsia="zh-CN"/>
              </w:rPr>
              <w:t>白酒业务第三季度营收同比和毛利率环比都略有改善，呈现向好的发展态势。肉食品业务，受益于猪价的高企，1-9月份收入同比增长50%多，相比半年报增速有所收窄，但全年看在行业景气背景下，肉食品业务收入利润业绩可期。地产业务前三季度由于不能利息资本化，亏损同比有所扩大。</w:t>
            </w:r>
          </w:p>
          <w:p>
            <w:pPr>
              <w:spacing w:line="0" w:lineRule="atLeast"/>
              <w:ind w:firstLine="480" w:firstLineChars="200"/>
              <w:jc w:val="both"/>
              <w:rPr>
                <w:rFonts w:hint="eastAsia" w:ascii="Times New Roman" w:hAnsi="Times New Roman" w:eastAsia="宋体" w:cs="Arial"/>
                <w:sz w:val="24"/>
                <w:lang w:val="en-US" w:eastAsia="zh-CN"/>
              </w:rPr>
            </w:pPr>
            <w:r>
              <w:rPr>
                <w:rFonts w:hint="eastAsia" w:ascii="Times New Roman" w:hAnsi="Times New Roman" w:eastAsia="宋体" w:cs="Arial"/>
                <w:sz w:val="24"/>
                <w:lang w:val="en-US" w:eastAsia="zh-CN"/>
              </w:rPr>
              <w:t>交流环节的主要问题有：</w:t>
            </w:r>
            <w:bookmarkStart w:id="0" w:name="_GoBack"/>
            <w:bookmarkEnd w:id="0"/>
          </w:p>
          <w:p>
            <w:pPr>
              <w:spacing w:line="0" w:lineRule="atLeast"/>
              <w:ind w:firstLine="480" w:firstLineChars="200"/>
              <w:jc w:val="both"/>
              <w:rPr>
                <w:rFonts w:hint="eastAsia" w:ascii="Times New Roman" w:hAnsi="Times New Roman" w:eastAsia="宋体" w:cs="Arial"/>
                <w:sz w:val="24"/>
                <w:lang w:val="en-US" w:eastAsia="zh-CN"/>
              </w:rPr>
            </w:pPr>
          </w:p>
          <w:p>
            <w:pPr>
              <w:spacing w:line="0" w:lineRule="atLeast"/>
              <w:ind w:firstLine="482" w:firstLineChars="200"/>
              <w:jc w:val="both"/>
              <w:rPr>
                <w:rFonts w:hint="eastAsia" w:ascii="宋体" w:hAnsi="宋体" w:cs="宋体"/>
                <w:b/>
                <w:bCs/>
                <w:kern w:val="0"/>
                <w:sz w:val="24"/>
                <w:szCs w:val="24"/>
                <w:shd w:val="clear" w:color="auto" w:fill="FFFFFF"/>
                <w:lang w:val="en-US" w:eastAsia="zh-CN"/>
              </w:rPr>
            </w:pPr>
            <w:r>
              <w:rPr>
                <w:rFonts w:hint="eastAsia" w:ascii="宋体" w:hAnsi="宋体" w:cs="宋体"/>
                <w:b/>
                <w:bCs/>
                <w:kern w:val="0"/>
                <w:sz w:val="24"/>
                <w:szCs w:val="24"/>
                <w:shd w:val="clear" w:color="auto" w:fill="FFFFFF"/>
              </w:rPr>
              <w:t>问：</w:t>
            </w:r>
            <w:r>
              <w:rPr>
                <w:rFonts w:hint="eastAsia" w:ascii="宋体" w:hAnsi="宋体" w:cs="宋体"/>
                <w:b/>
                <w:bCs/>
                <w:kern w:val="0"/>
                <w:sz w:val="24"/>
                <w:szCs w:val="24"/>
                <w:shd w:val="clear" w:color="auto" w:fill="FFFFFF"/>
                <w:lang w:val="en-US" w:eastAsia="zh-CN"/>
              </w:rPr>
              <w:t>三季度的销售费用增幅较大的原因？</w:t>
            </w:r>
          </w:p>
          <w:p>
            <w:pPr>
              <w:spacing w:line="0" w:lineRule="atLeast"/>
              <w:ind w:firstLine="480" w:firstLineChars="200"/>
              <w:jc w:val="both"/>
              <w:rPr>
                <w:rFonts w:hint="default" w:ascii="Times New Roman" w:hAnsi="Times New Roman" w:eastAsia="宋体" w:cs="Arial"/>
                <w:sz w:val="24"/>
                <w:lang w:val="en-US" w:eastAsia="zh-CN"/>
              </w:rPr>
            </w:pPr>
            <w:r>
              <w:rPr>
                <w:rFonts w:ascii="宋体" w:hAnsi="宋体" w:cs="宋体"/>
                <w:bCs/>
                <w:kern w:val="0"/>
                <w:sz w:val="24"/>
                <w:szCs w:val="24"/>
                <w:shd w:val="clear" w:color="auto" w:fill="FFFFFF"/>
              </w:rPr>
              <w:t>答</w:t>
            </w:r>
            <w:r>
              <w:rPr>
                <w:rFonts w:hint="eastAsia" w:ascii="宋体" w:hAnsi="宋体" w:cs="宋体"/>
                <w:bCs/>
                <w:kern w:val="0"/>
                <w:sz w:val="24"/>
                <w:szCs w:val="24"/>
                <w:shd w:val="clear" w:color="auto" w:fill="FFFFFF"/>
              </w:rPr>
              <w:t>：</w:t>
            </w:r>
            <w:r>
              <w:rPr>
                <w:rFonts w:hint="eastAsia" w:ascii="宋体" w:hAnsi="宋体" w:cs="宋体"/>
                <w:bCs/>
                <w:kern w:val="0"/>
                <w:sz w:val="24"/>
                <w:szCs w:val="24"/>
                <w:shd w:val="clear" w:color="auto" w:fill="FFFFFF"/>
                <w:lang w:eastAsia="zh-CN"/>
              </w:rPr>
              <w:t>上半年受疫情影响，</w:t>
            </w:r>
            <w:r>
              <w:rPr>
                <w:rFonts w:hint="eastAsia" w:ascii="宋体" w:hAnsi="宋体" w:cs="宋体"/>
                <w:bCs/>
                <w:kern w:val="0"/>
                <w:sz w:val="24"/>
                <w:szCs w:val="24"/>
                <w:shd w:val="clear" w:color="auto" w:fill="FFFFFF"/>
                <w:lang w:val="en-US" w:eastAsia="zh-CN"/>
              </w:rPr>
              <w:t>7月份疫情好转后，</w:t>
            </w:r>
            <w:r>
              <w:rPr>
                <w:rFonts w:hint="eastAsia" w:ascii="Times New Roman" w:hAnsi="Times New Roman" w:eastAsia="宋体" w:cs="Arial"/>
                <w:sz w:val="24"/>
                <w:lang w:val="en-US" w:eastAsia="zh-CN"/>
              </w:rPr>
              <w:t>集中投放或确认了销售费用，但1-9月份销售费用同比是基本持平的。</w:t>
            </w:r>
          </w:p>
          <w:p>
            <w:pPr>
              <w:spacing w:line="0" w:lineRule="atLeast"/>
              <w:ind w:firstLine="480" w:firstLineChars="200"/>
              <w:jc w:val="both"/>
              <w:rPr>
                <w:rFonts w:hint="eastAsia" w:ascii="Times New Roman" w:hAnsi="Times New Roman" w:eastAsia="宋体" w:cs="Arial"/>
                <w:sz w:val="24"/>
                <w:lang w:val="en-US" w:eastAsia="zh-CN"/>
              </w:rPr>
            </w:pPr>
          </w:p>
          <w:p>
            <w:pPr>
              <w:spacing w:line="0" w:lineRule="atLeast"/>
              <w:jc w:val="both"/>
              <w:rPr>
                <w:rFonts w:hint="eastAsia" w:ascii="Times New Roman" w:hAnsi="Times New Roman" w:eastAsia="宋体" w:cs="Arial"/>
                <w:sz w:val="24"/>
                <w:lang w:val="en-US" w:eastAsia="zh-CN"/>
              </w:rPr>
            </w:pPr>
          </w:p>
          <w:p>
            <w:pPr>
              <w:spacing w:line="0" w:lineRule="atLeast"/>
              <w:ind w:firstLine="482" w:firstLineChars="200"/>
              <w:jc w:val="both"/>
              <w:rPr>
                <w:rFonts w:hint="eastAsia" w:ascii="Times New Roman" w:hAnsi="Times New Roman" w:eastAsia="宋体" w:cs="Arial"/>
                <w:b/>
                <w:bCs/>
                <w:sz w:val="24"/>
                <w:lang w:val="en-US" w:eastAsia="zh-CN"/>
              </w:rPr>
            </w:pPr>
            <w:r>
              <w:rPr>
                <w:rFonts w:hint="eastAsia" w:ascii="宋体" w:hAnsi="宋体" w:cs="宋体"/>
                <w:b/>
                <w:bCs/>
                <w:kern w:val="0"/>
                <w:sz w:val="24"/>
                <w:szCs w:val="24"/>
                <w:shd w:val="clear" w:color="auto" w:fill="FFFFFF"/>
              </w:rPr>
              <w:t>问：</w:t>
            </w:r>
            <w:r>
              <w:rPr>
                <w:rFonts w:hint="eastAsia" w:ascii="Times New Roman" w:hAnsi="Times New Roman" w:eastAsia="宋体" w:cs="Arial"/>
                <w:b/>
                <w:bCs/>
                <w:sz w:val="24"/>
                <w:lang w:val="en-US" w:eastAsia="zh-CN"/>
              </w:rPr>
              <w:t>疫情是否对行业的格局有影响，是否有小企业生存困难逐步退出，牛栏山作为光瓶酒龙头，怎么去进一步拓展市场？</w:t>
            </w:r>
          </w:p>
          <w:p>
            <w:pPr>
              <w:spacing w:line="0" w:lineRule="atLeast"/>
              <w:ind w:firstLine="480" w:firstLineChars="200"/>
              <w:jc w:val="both"/>
              <w:rPr>
                <w:rFonts w:hint="eastAsia" w:ascii="Times New Roman" w:hAnsi="Times New Roman" w:eastAsia="宋体" w:cs="Arial"/>
                <w:sz w:val="24"/>
                <w:lang w:val="en-US" w:eastAsia="zh-CN"/>
              </w:rPr>
            </w:pPr>
            <w:r>
              <w:rPr>
                <w:rFonts w:hint="eastAsia" w:ascii="Times New Roman" w:hAnsi="Times New Roman" w:eastAsia="宋体" w:cs="Arial"/>
                <w:sz w:val="24"/>
                <w:lang w:val="en-US" w:eastAsia="zh-CN"/>
              </w:rPr>
              <w:t>答：白酒行业发展的趋势一定是强者恒强，行业集中程度不断加强的，有品牌力，有过硬产品的厂家才能做成百年企业，竞争过程中一定会有不断有淘汰和兼并，这次疫情只是加速了这个过程，经过疫情后，马太效应会愈加显现。打铁还需自身硬，作为民酒的牛栏山，继续关注如何最大程度的满足最广大消费群体多元化、多层次的消费需求，酿造品质优良、品牌温暖、消费者普遍认同的好酒，强化终端建设</w:t>
            </w:r>
          </w:p>
          <w:p>
            <w:pPr>
              <w:spacing w:line="0" w:lineRule="atLeast"/>
              <w:jc w:val="both"/>
              <w:rPr>
                <w:rFonts w:hint="eastAsia" w:ascii="Times New Roman" w:hAnsi="Times New Roman" w:eastAsia="宋体" w:cs="Arial"/>
                <w:sz w:val="24"/>
                <w:lang w:val="en-US" w:eastAsia="zh-CN"/>
              </w:rPr>
            </w:pPr>
            <w:r>
              <w:rPr>
                <w:rFonts w:hint="eastAsia" w:ascii="Times New Roman" w:hAnsi="Times New Roman" w:eastAsia="宋体" w:cs="Arial"/>
                <w:sz w:val="24"/>
                <w:lang w:val="en-US" w:eastAsia="zh-CN"/>
              </w:rPr>
              <w:t>管理，进一步深化全国化市场布局，力争做民酒中的名酒。</w:t>
            </w:r>
          </w:p>
          <w:p>
            <w:pPr>
              <w:spacing w:line="0" w:lineRule="atLeast"/>
              <w:ind w:firstLine="480" w:firstLineChars="200"/>
              <w:jc w:val="both"/>
              <w:rPr>
                <w:rFonts w:hint="eastAsia" w:ascii="Times New Roman" w:hAnsi="Times New Roman" w:eastAsia="宋体" w:cs="Arial"/>
                <w:sz w:val="24"/>
                <w:lang w:val="en-US" w:eastAsia="zh-CN"/>
              </w:rPr>
            </w:pPr>
          </w:p>
          <w:p>
            <w:pPr>
              <w:spacing w:line="0" w:lineRule="atLeast"/>
              <w:ind w:firstLine="482" w:firstLineChars="200"/>
              <w:jc w:val="both"/>
              <w:rPr>
                <w:rFonts w:hint="eastAsia" w:ascii="Times New Roman" w:hAnsi="Times New Roman" w:eastAsia="宋体" w:cs="Arial"/>
                <w:b/>
                <w:bCs/>
                <w:sz w:val="24"/>
                <w:lang w:val="en-US" w:eastAsia="zh-CN"/>
              </w:rPr>
            </w:pPr>
            <w:r>
              <w:rPr>
                <w:rFonts w:hint="eastAsia" w:ascii="宋体" w:hAnsi="宋体" w:cs="宋体"/>
                <w:b/>
                <w:bCs/>
                <w:kern w:val="0"/>
                <w:sz w:val="24"/>
                <w:szCs w:val="24"/>
                <w:shd w:val="clear" w:color="auto" w:fill="FFFFFF"/>
              </w:rPr>
              <w:t>问：</w:t>
            </w:r>
            <w:r>
              <w:rPr>
                <w:rFonts w:hint="eastAsia" w:ascii="Times New Roman" w:hAnsi="Times New Roman" w:eastAsia="宋体" w:cs="Arial"/>
                <w:b/>
                <w:bCs/>
                <w:sz w:val="24"/>
                <w:lang w:val="en-US" w:eastAsia="zh-CN"/>
              </w:rPr>
              <w:t>白酒业务下一步的展望？</w:t>
            </w:r>
          </w:p>
          <w:p>
            <w:pPr>
              <w:spacing w:line="0" w:lineRule="atLeast"/>
              <w:ind w:firstLine="480" w:firstLineChars="200"/>
              <w:jc w:val="both"/>
              <w:rPr>
                <w:rFonts w:hint="eastAsia" w:ascii="Times New Roman" w:hAnsi="Times New Roman" w:eastAsia="宋体" w:cs="Arial"/>
                <w:sz w:val="24"/>
                <w:lang w:val="en-US" w:eastAsia="zh-CN"/>
              </w:rPr>
            </w:pPr>
            <w:r>
              <w:rPr>
                <w:rFonts w:hint="eastAsia" w:ascii="Times New Roman" w:hAnsi="Times New Roman" w:eastAsia="宋体" w:cs="Arial"/>
                <w:sz w:val="24"/>
                <w:lang w:val="en-US" w:eastAsia="zh-CN"/>
              </w:rPr>
              <w:t>公司白酒业务从打造三大战略区、培育“1+4+N”样板市场、探索数字化营销三个方面入手，推进牛酒高质量发展。一是打造京津冀、长三角、珠三角三大战略区；二是重点培育以北京为中心，以初具样板模式的南京、长春、东莞、苏州为多核，以未来多个外埠样板市场为多点的“一心多核多点”的标准化、规范化的样板市场；三是线上线下多措并举，将线上数字化营销与线下体验式营销有机结合，满足消费者对于感知和体验的情感诉求，给数字化增添温度，沉淀品牌粉丝基数。</w:t>
            </w:r>
          </w:p>
          <w:p>
            <w:pPr>
              <w:spacing w:line="0" w:lineRule="atLeast"/>
              <w:ind w:firstLine="480" w:firstLineChars="200"/>
              <w:jc w:val="both"/>
              <w:rPr>
                <w:rFonts w:hint="eastAsia" w:ascii="Times New Roman" w:hAnsi="Times New Roman" w:eastAsia="宋体" w:cs="Arial"/>
                <w:sz w:val="24"/>
                <w:lang w:val="en-US" w:eastAsia="zh-CN"/>
              </w:rPr>
            </w:pPr>
          </w:p>
          <w:p>
            <w:pPr>
              <w:spacing w:line="0" w:lineRule="atLeast"/>
              <w:ind w:firstLine="482" w:firstLineChars="200"/>
              <w:jc w:val="both"/>
              <w:rPr>
                <w:rFonts w:hint="eastAsia" w:ascii="Times New Roman" w:hAnsi="Times New Roman" w:eastAsia="宋体" w:cs="Arial"/>
                <w:b/>
                <w:bCs/>
                <w:sz w:val="24"/>
                <w:lang w:val="en-US" w:eastAsia="zh-CN"/>
              </w:rPr>
            </w:pPr>
            <w:r>
              <w:rPr>
                <w:rFonts w:hint="eastAsia" w:ascii="宋体" w:hAnsi="宋体" w:cs="宋体"/>
                <w:b/>
                <w:bCs/>
                <w:kern w:val="0"/>
                <w:sz w:val="24"/>
                <w:szCs w:val="24"/>
                <w:shd w:val="clear" w:color="auto" w:fill="FFFFFF"/>
              </w:rPr>
              <w:t>问：</w:t>
            </w:r>
            <w:r>
              <w:rPr>
                <w:rFonts w:hint="eastAsia" w:ascii="Times New Roman" w:hAnsi="Times New Roman" w:eastAsia="宋体" w:cs="Arial"/>
                <w:b/>
                <w:bCs/>
                <w:sz w:val="24"/>
                <w:lang w:val="en-US" w:eastAsia="zh-CN"/>
              </w:rPr>
              <w:t>今年肉食品业务整体经营情况？</w:t>
            </w:r>
          </w:p>
          <w:p>
            <w:pPr>
              <w:spacing w:line="0" w:lineRule="atLeast"/>
              <w:ind w:firstLine="480" w:firstLineChars="200"/>
              <w:jc w:val="both"/>
              <w:rPr>
                <w:rFonts w:hint="eastAsia" w:ascii="Times New Roman" w:hAnsi="Times New Roman" w:eastAsia="宋体" w:cs="Arial"/>
                <w:sz w:val="24"/>
                <w:lang w:val="en-US" w:eastAsia="zh-CN"/>
              </w:rPr>
            </w:pPr>
            <w:r>
              <w:rPr>
                <w:rFonts w:hint="eastAsia" w:ascii="Times New Roman" w:hAnsi="Times New Roman" w:eastAsia="宋体" w:cs="Arial"/>
                <w:sz w:val="24"/>
                <w:lang w:val="en-US" w:eastAsia="zh-CN"/>
              </w:rPr>
              <w:t>答：目前生猪价格虽然出现一定下滑，但是依旧在高位，养殖板块经过去年9月和10月的补栏，今年生猪出栏量有望增多，会促进养殖板块利润的提升，而屠宰和生鲜业务，受毛猪价格高企影响，短时间内还处于亏损状态。整体来看，公司作为全产业链布局的企业，收益行业景气影响，收入利润会好于去年同期水平。</w:t>
            </w:r>
          </w:p>
          <w:p>
            <w:pPr>
              <w:spacing w:line="0" w:lineRule="atLeast"/>
              <w:jc w:val="both"/>
              <w:rPr>
                <w:rFonts w:hint="eastAsia" w:ascii="Times New Roman" w:hAnsi="Times New Roman" w:eastAsia="宋体" w:cs="Arial"/>
                <w:sz w:val="24"/>
                <w:lang w:val="en-US" w:eastAsia="zh-CN"/>
              </w:rPr>
            </w:pPr>
          </w:p>
          <w:p>
            <w:pPr>
              <w:spacing w:line="0" w:lineRule="atLeast"/>
              <w:ind w:firstLine="482" w:firstLineChars="200"/>
              <w:jc w:val="both"/>
              <w:rPr>
                <w:rFonts w:hint="eastAsia" w:ascii="Times New Roman" w:hAnsi="Times New Roman" w:eastAsia="宋体" w:cs="Arial"/>
                <w:sz w:val="24"/>
                <w:lang w:val="en-US" w:eastAsia="zh-CN"/>
              </w:rPr>
            </w:pPr>
            <w:r>
              <w:rPr>
                <w:rFonts w:hint="eastAsia" w:ascii="宋体" w:hAnsi="宋体" w:cs="宋体"/>
                <w:b/>
                <w:bCs/>
                <w:kern w:val="0"/>
                <w:sz w:val="24"/>
                <w:szCs w:val="24"/>
                <w:shd w:val="clear" w:color="auto" w:fill="FFFFFF"/>
              </w:rPr>
              <w:t>问：</w:t>
            </w:r>
            <w:r>
              <w:rPr>
                <w:rFonts w:hint="eastAsia" w:ascii="宋体" w:hAnsi="宋体" w:cs="宋体"/>
                <w:b/>
                <w:bCs/>
                <w:kern w:val="0"/>
                <w:sz w:val="24"/>
                <w:szCs w:val="24"/>
                <w:shd w:val="clear" w:color="auto" w:fill="FFFFFF"/>
                <w:lang w:val="en-US" w:eastAsia="zh-CN"/>
              </w:rPr>
              <w:t>公司地产业务经营情况及后续规划是怎样的？</w:t>
            </w:r>
          </w:p>
          <w:p>
            <w:pPr>
              <w:spacing w:line="0" w:lineRule="atLeast"/>
              <w:ind w:firstLine="480" w:firstLineChars="200"/>
              <w:jc w:val="both"/>
              <w:rPr>
                <w:rFonts w:hint="eastAsia" w:ascii="Times New Roman" w:hAnsi="Times New Roman" w:eastAsia="宋体" w:cs="Arial"/>
                <w:sz w:val="24"/>
                <w:lang w:val="en-US" w:eastAsia="zh-CN"/>
              </w:rPr>
            </w:pPr>
            <w:r>
              <w:rPr>
                <w:rFonts w:ascii="宋体" w:hAnsi="宋体" w:cs="宋体"/>
                <w:bCs/>
                <w:kern w:val="0"/>
                <w:sz w:val="24"/>
                <w:szCs w:val="24"/>
                <w:shd w:val="clear" w:color="auto" w:fill="FFFFFF"/>
              </w:rPr>
              <w:t>答</w:t>
            </w:r>
            <w:r>
              <w:rPr>
                <w:rFonts w:hint="eastAsia" w:ascii="宋体" w:hAnsi="宋体" w:cs="宋体"/>
                <w:bCs/>
                <w:kern w:val="0"/>
                <w:sz w:val="24"/>
                <w:szCs w:val="24"/>
                <w:shd w:val="clear" w:color="auto" w:fill="FFFFFF"/>
              </w:rPr>
              <w:t>：</w:t>
            </w:r>
            <w:r>
              <w:rPr>
                <w:rFonts w:hint="eastAsia" w:ascii="Times New Roman" w:hAnsi="Times New Roman" w:eastAsia="宋体" w:cs="Arial"/>
                <w:sz w:val="24"/>
                <w:lang w:val="en-US" w:eastAsia="zh-CN"/>
              </w:rPr>
              <w:t>公司的地产业务还是坚持寻求整体剥离和积极去化双管齐下，今年以来加大了去化的力度，海南项目基本清盘，山东的土地也在积极进行出售洽谈，北京和包头项目相比去年，签约房屋套数增幅也很大。总得来讲，地产收缩和退出的力度会进一步加大。</w:t>
            </w:r>
          </w:p>
          <w:p>
            <w:pPr>
              <w:spacing w:line="0" w:lineRule="atLeast"/>
              <w:jc w:val="both"/>
              <w:rPr>
                <w:rFonts w:hint="eastAsia" w:ascii="宋体" w:hAnsi="宋体" w:cs="宋体"/>
                <w:b/>
                <w:bCs/>
                <w:kern w:val="0"/>
                <w:sz w:val="24"/>
                <w:szCs w:val="24"/>
                <w:shd w:val="clear" w:color="auto" w:fill="FFFFFF"/>
                <w:lang w:val="en-US" w:eastAsia="zh-CN"/>
              </w:rPr>
            </w:pPr>
          </w:p>
          <w:p>
            <w:pPr>
              <w:spacing w:line="0" w:lineRule="atLeast"/>
              <w:ind w:firstLine="480" w:firstLineChars="200"/>
              <w:jc w:val="both"/>
              <w:rPr>
                <w:rFonts w:hint="eastAsia" w:ascii="Times New Roman" w:hAnsi="Times New Roman" w:eastAsia="宋体" w:cs="Arial"/>
                <w:sz w:val="24"/>
                <w:lang w:val="en-US" w:eastAsia="zh-CN"/>
              </w:rPr>
            </w:pPr>
          </w:p>
        </w:tc>
      </w:tr>
      <w:tr>
        <w:tblPrEx>
          <w:tblLayout w:type="fixed"/>
          <w:tblCellMar>
            <w:top w:w="0" w:type="dxa"/>
            <w:left w:w="0" w:type="dxa"/>
            <w:bottom w:w="0" w:type="dxa"/>
            <w:right w:w="0" w:type="dxa"/>
          </w:tblCellMar>
        </w:tblPrEx>
        <w:trPr>
          <w:trHeight w:val="531" w:hRule="atLeast"/>
        </w:trPr>
        <w:tc>
          <w:tcPr>
            <w:tcW w:w="2400"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360" w:lineRule="auto"/>
              <w:jc w:val="center"/>
              <w:rPr>
                <w:rFonts w:hint="eastAsia" w:cs="宋体" w:asciiTheme="minorEastAsia" w:hAnsiTheme="minorEastAsia" w:eastAsiaTheme="minorEastAsia"/>
                <w:b/>
                <w:bCs/>
                <w:iCs/>
                <w:sz w:val="24"/>
              </w:rPr>
            </w:pPr>
            <w:r>
              <w:rPr>
                <w:rFonts w:hint="eastAsia" w:cs="宋体" w:asciiTheme="minorEastAsia" w:hAnsiTheme="minorEastAsia" w:eastAsiaTheme="minorEastAsia"/>
                <w:b/>
                <w:bCs/>
                <w:iCs/>
                <w:sz w:val="24"/>
              </w:rPr>
              <w:t>附件清单</w:t>
            </w:r>
          </w:p>
          <w:p>
            <w:pPr>
              <w:spacing w:line="360" w:lineRule="auto"/>
              <w:jc w:val="center"/>
              <w:rPr>
                <w:rFonts w:ascii="宋体" w:hAnsi="宋体" w:eastAsia="宋体"/>
                <w:sz w:val="21"/>
              </w:rPr>
            </w:pPr>
            <w:r>
              <w:rPr>
                <w:rFonts w:hint="eastAsia" w:cs="宋体" w:asciiTheme="minorEastAsia" w:hAnsiTheme="minorEastAsia" w:eastAsiaTheme="minorEastAsia"/>
                <w:b/>
                <w:bCs/>
                <w:iCs/>
                <w:sz w:val="24"/>
              </w:rPr>
              <w:t>（如有）</w:t>
            </w:r>
          </w:p>
        </w:tc>
        <w:tc>
          <w:tcPr>
            <w:tcW w:w="6160" w:type="dxa"/>
            <w:tcBorders>
              <w:top w:val="single" w:color="auto" w:sz="4" w:space="0"/>
              <w:bottom w:val="single" w:color="auto" w:sz="4" w:space="0"/>
              <w:right w:val="single" w:color="auto" w:sz="4" w:space="0"/>
            </w:tcBorders>
            <w:shd w:val="clear" w:color="auto" w:fill="auto"/>
            <w:vAlign w:val="center"/>
          </w:tcPr>
          <w:p>
            <w:pPr>
              <w:spacing w:line="0" w:lineRule="atLeast"/>
              <w:jc w:val="both"/>
              <w:rPr>
                <w:rFonts w:hint="eastAsia" w:ascii="Times New Roman" w:hAnsi="Times New Roman" w:eastAsia="宋体"/>
                <w:sz w:val="24"/>
                <w:lang w:val="en-US" w:eastAsia="zh-CN"/>
              </w:rPr>
            </w:pPr>
            <w:r>
              <w:rPr>
                <w:rFonts w:hint="eastAsia" w:ascii="Times New Roman" w:hAnsi="Times New Roman" w:eastAsia="宋体"/>
                <w:sz w:val="24"/>
                <w:lang w:val="en-US" w:eastAsia="zh-CN"/>
              </w:rPr>
              <w:t>无</w:t>
            </w:r>
          </w:p>
        </w:tc>
      </w:tr>
      <w:tr>
        <w:tblPrEx>
          <w:tblLayout w:type="fixed"/>
          <w:tblCellMar>
            <w:top w:w="0" w:type="dxa"/>
            <w:left w:w="0" w:type="dxa"/>
            <w:bottom w:w="0" w:type="dxa"/>
            <w:right w:w="0" w:type="dxa"/>
          </w:tblCellMar>
        </w:tblPrEx>
        <w:trPr>
          <w:trHeight w:val="568" w:hRule="atLeast"/>
        </w:trPr>
        <w:tc>
          <w:tcPr>
            <w:tcW w:w="2400"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40" w:lineRule="exact"/>
              <w:ind w:left="120"/>
              <w:jc w:val="center"/>
              <w:rPr>
                <w:rFonts w:ascii="宋体" w:hAnsi="宋体" w:eastAsia="宋体"/>
                <w:sz w:val="21"/>
              </w:rPr>
            </w:pPr>
            <w:r>
              <w:rPr>
                <w:rFonts w:hint="eastAsia" w:cs="宋体" w:asciiTheme="minorEastAsia" w:hAnsiTheme="minorEastAsia" w:eastAsiaTheme="minorEastAsia"/>
                <w:b/>
                <w:bCs/>
                <w:iCs/>
                <w:sz w:val="24"/>
              </w:rPr>
              <w:t>日  期</w:t>
            </w:r>
          </w:p>
        </w:tc>
        <w:tc>
          <w:tcPr>
            <w:tcW w:w="6160" w:type="dxa"/>
            <w:tcBorders>
              <w:top w:val="single" w:color="auto" w:sz="4" w:space="0"/>
              <w:bottom w:val="single" w:color="auto" w:sz="4" w:space="0"/>
              <w:right w:val="single" w:color="auto" w:sz="4" w:space="0"/>
            </w:tcBorders>
            <w:shd w:val="clear" w:color="auto" w:fill="auto"/>
            <w:vAlign w:val="center"/>
          </w:tcPr>
          <w:p>
            <w:pPr>
              <w:spacing w:line="0" w:lineRule="atLeast"/>
              <w:jc w:val="both"/>
              <w:rPr>
                <w:rFonts w:ascii="Times New Roman" w:hAnsi="Times New Roman" w:eastAsia="Times New Roman"/>
                <w:sz w:val="24"/>
              </w:rPr>
            </w:pPr>
            <w:r>
              <w:rPr>
                <w:rFonts w:hint="eastAsia" w:cs="宋体" w:asciiTheme="minorEastAsia" w:hAnsiTheme="minorEastAsia" w:eastAsiaTheme="minorEastAsia"/>
                <w:bCs/>
                <w:iCs/>
                <w:sz w:val="24"/>
              </w:rPr>
              <w:t>20</w:t>
            </w:r>
            <w:r>
              <w:rPr>
                <w:rFonts w:cs="宋体" w:asciiTheme="minorEastAsia" w:hAnsiTheme="minorEastAsia" w:eastAsiaTheme="minorEastAsia"/>
                <w:bCs/>
                <w:iCs/>
                <w:sz w:val="24"/>
              </w:rPr>
              <w:t>20</w:t>
            </w:r>
            <w:r>
              <w:rPr>
                <w:rFonts w:hint="eastAsia" w:cs="宋体" w:asciiTheme="minorEastAsia" w:hAnsiTheme="minorEastAsia" w:eastAsiaTheme="minorEastAsia"/>
                <w:bCs/>
                <w:iCs/>
                <w:sz w:val="24"/>
              </w:rPr>
              <w:t>年</w:t>
            </w:r>
            <w:r>
              <w:rPr>
                <w:rFonts w:cs="宋体" w:asciiTheme="minorEastAsia" w:hAnsiTheme="minorEastAsia" w:eastAsiaTheme="minorEastAsia"/>
                <w:bCs/>
                <w:iCs/>
                <w:sz w:val="24"/>
              </w:rPr>
              <w:t>10月</w:t>
            </w:r>
            <w:r>
              <w:rPr>
                <w:rFonts w:hint="eastAsia" w:cs="宋体" w:asciiTheme="minorEastAsia" w:hAnsiTheme="minorEastAsia"/>
                <w:bCs/>
                <w:iCs/>
                <w:sz w:val="24"/>
                <w:lang w:val="en-US" w:eastAsia="zh-CN"/>
              </w:rPr>
              <w:t>30</w:t>
            </w:r>
            <w:r>
              <w:rPr>
                <w:rFonts w:cs="宋体" w:asciiTheme="minorEastAsia" w:hAnsiTheme="minorEastAsia" w:eastAsiaTheme="minorEastAsia"/>
                <w:bCs/>
                <w:iCs/>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E0"/>
    <w:rsid w:val="000D6016"/>
    <w:rsid w:val="002901D8"/>
    <w:rsid w:val="003563E0"/>
    <w:rsid w:val="0048761C"/>
    <w:rsid w:val="7154037C"/>
    <w:rsid w:val="7BB402EF"/>
    <w:rsid w:val="7BE31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Arial" w:eastAsiaTheme="minorEastAsia"/>
      <w:kern w:val="0"/>
      <w:sz w:val="20"/>
      <w:szCs w:val="20"/>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Words>
  <Characters>240</Characters>
  <Lines>2</Lines>
  <Paragraphs>1</Paragraphs>
  <TotalTime>2</TotalTime>
  <ScaleCrop>false</ScaleCrop>
  <LinksUpToDate>false</LinksUpToDate>
  <CharactersWithSpaces>281</CharactersWithSpaces>
  <Application>WPS Office_10.8.2.7080_F1E327BC-269C-435d-A152-05C5408002CA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2020-06-22T03:49:00Z</dcterms:created>
  <dc:creator>thinkpad</dc:creator>
  <cp:lastModifiedBy>刘派</cp:lastModifiedBy>
  <dcterms:modified xsi:type="dcterms:W3CDTF">2020-10-30T11:53:29Z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2052-10.8.2.7080</vt:lpwstr>
  </property>
</Properties>
</file>