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416" w:lineRule="auto"/>
        <w:jc w:val="center"/>
        <w:outlineLvl w:val="1"/>
        <w:rPr>
          <w:rFonts w:ascii="Cambria" w:hAnsi="Cambria" w:eastAsia="宋体" w:cs="Times New Roman"/>
          <w:b/>
          <w:bCs/>
          <w:sz w:val="32"/>
          <w:szCs w:val="32"/>
        </w:rPr>
      </w:pPr>
      <w:r>
        <w:rPr>
          <w:rFonts w:hint="eastAsia" w:ascii="Cambria" w:hAnsi="Cambria" w:eastAsia="宋体" w:cs="Times New Roman"/>
          <w:b/>
          <w:bCs/>
          <w:sz w:val="32"/>
          <w:szCs w:val="32"/>
        </w:rPr>
        <w:t>道道全粮油股份有限公司</w:t>
      </w:r>
    </w:p>
    <w:p>
      <w:pPr>
        <w:keepNext/>
        <w:keepLines/>
        <w:spacing w:before="260" w:after="260" w:line="416" w:lineRule="auto"/>
        <w:jc w:val="center"/>
        <w:outlineLvl w:val="1"/>
        <w:rPr>
          <w:rFonts w:ascii="Cambria" w:hAnsi="Cambria" w:eastAsia="宋体" w:cs="Times New Roman"/>
          <w:b/>
          <w:bCs/>
          <w:sz w:val="32"/>
          <w:szCs w:val="32"/>
        </w:rPr>
      </w:pPr>
      <w:r>
        <w:rPr>
          <w:rFonts w:hint="eastAsia" w:ascii="Cambria" w:hAnsi="Cambria" w:eastAsia="宋体" w:cs="Times New Roman"/>
          <w:b/>
          <w:bCs/>
          <w:sz w:val="32"/>
          <w:szCs w:val="32"/>
        </w:rPr>
        <w:t>投资者关系活动记录表</w:t>
      </w:r>
    </w:p>
    <w:p>
      <w:pPr>
        <w:spacing w:beforeLines="50" w:afterLines="50" w:line="400" w:lineRule="exact"/>
        <w:ind w:firstLine="720" w:firstLineChars="300"/>
        <w:rPr>
          <w:rFonts w:ascii="宋体" w:hAnsi="宋体" w:eastAsia="宋体" w:cs="Times New Roman"/>
          <w:bCs/>
          <w:iCs/>
          <w:sz w:val="24"/>
          <w:szCs w:val="20"/>
        </w:rPr>
      </w:pPr>
      <w:r>
        <w:rPr>
          <w:rFonts w:hint="eastAsia" w:ascii="宋体" w:hAnsi="宋体" w:eastAsia="宋体" w:cs="Times New Roman"/>
          <w:bCs/>
          <w:iCs/>
          <w:sz w:val="24"/>
          <w:szCs w:val="20"/>
        </w:rPr>
        <w:t>证券代码：002852                    证券简称：道道全</w:t>
      </w:r>
    </w:p>
    <w:p>
      <w:pPr>
        <w:spacing w:line="400" w:lineRule="exact"/>
        <w:rPr>
          <w:rFonts w:hint="eastAsia" w:ascii="宋体" w:hAnsi="宋体" w:eastAsia="宋体" w:cs="Times New Roman"/>
          <w:bCs/>
          <w:i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iCs/>
          <w:sz w:val="24"/>
          <w:szCs w:val="24"/>
        </w:rPr>
        <w:t xml:space="preserve">                                                      编号：2020-00</w:t>
      </w:r>
      <w:r>
        <w:rPr>
          <w:rFonts w:hint="eastAsia" w:ascii="宋体" w:hAnsi="宋体" w:eastAsia="宋体" w:cs="Times New Roman"/>
          <w:bCs/>
          <w:iCs/>
          <w:sz w:val="24"/>
          <w:szCs w:val="24"/>
          <w:lang w:val="en-US" w:eastAsia="zh-CN"/>
        </w:rPr>
        <w:t>5</w:t>
      </w:r>
    </w:p>
    <w:tbl>
      <w:tblPr>
        <w:tblStyle w:val="4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6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1861" w:type="dxa"/>
            <w:shd w:val="clear" w:color="auto" w:fill="auto"/>
          </w:tcPr>
          <w:p>
            <w:pPr>
              <w:spacing w:line="480" w:lineRule="atLeast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71" w:type="dxa"/>
            <w:shd w:val="clear" w:color="auto" w:fill="auto"/>
          </w:tcPr>
          <w:p>
            <w:pPr>
              <w:spacing w:line="480" w:lineRule="atLeast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现场参观</w:t>
            </w:r>
            <w:r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 w:eastAsia="宋体" w:cs="Times New Roman"/>
                <w:bCs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shd w:val="clear" w:color="auto" w:fill="auto"/>
          </w:tcPr>
          <w:p>
            <w:pPr>
              <w:spacing w:line="480" w:lineRule="atLeast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71" w:type="dxa"/>
            <w:shd w:val="clear" w:color="auto" w:fill="auto"/>
          </w:tcPr>
          <w:p>
            <w:pPr>
              <w:spacing w:line="480" w:lineRule="atLeast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中信证券  朱欣頔</w:t>
            </w:r>
          </w:p>
          <w:p>
            <w:pPr>
              <w:spacing w:line="480" w:lineRule="atLeast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银泰投资  欧阳倩</w:t>
            </w:r>
          </w:p>
          <w:p>
            <w:pPr>
              <w:spacing w:line="480" w:lineRule="atLeast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财信资产  贺美琪</w:t>
            </w:r>
          </w:p>
          <w:p>
            <w:pPr>
              <w:spacing w:line="480" w:lineRule="atLeast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新华基金  王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浩</w:t>
            </w:r>
          </w:p>
          <w:p>
            <w:pPr>
              <w:spacing w:line="480" w:lineRule="atLeast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万泰华瑞  刘志刚</w:t>
            </w:r>
          </w:p>
          <w:p>
            <w:pPr>
              <w:spacing w:line="480" w:lineRule="atLeast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诺安基金  耿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诺</w:t>
            </w:r>
          </w:p>
          <w:p>
            <w:pPr>
              <w:spacing w:line="480" w:lineRule="atLeast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大象投资  邬丹妮</w:t>
            </w:r>
          </w:p>
          <w:p>
            <w:pPr>
              <w:spacing w:line="480" w:lineRule="atLeast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中信期货  彭述思</w:t>
            </w:r>
          </w:p>
          <w:p>
            <w:pPr>
              <w:spacing w:line="480" w:lineRule="atLeast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明达资产  胡瑞阳</w:t>
            </w:r>
          </w:p>
          <w:p>
            <w:pPr>
              <w:spacing w:line="480" w:lineRule="atLeast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明达资产  葛浩青</w:t>
            </w:r>
          </w:p>
          <w:p>
            <w:pPr>
              <w:spacing w:line="480" w:lineRule="atLeast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兴业全球  薛怡然</w:t>
            </w:r>
          </w:p>
          <w:p>
            <w:pPr>
              <w:spacing w:line="480" w:lineRule="atLeast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千合资本  魏维楠</w:t>
            </w:r>
          </w:p>
          <w:p>
            <w:pPr>
              <w:spacing w:line="480" w:lineRule="atLeast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固禾资本  纪双陆</w:t>
            </w:r>
          </w:p>
          <w:p>
            <w:pPr>
              <w:spacing w:line="480" w:lineRule="atLeast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煜德投资  程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跃</w:t>
            </w:r>
          </w:p>
          <w:p>
            <w:pPr>
              <w:spacing w:line="480" w:lineRule="atLeast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中信另类  罗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啦</w:t>
            </w:r>
          </w:p>
          <w:p>
            <w:pPr>
              <w:spacing w:line="480" w:lineRule="atLeast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日兴资管  陈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顺</w:t>
            </w:r>
          </w:p>
          <w:p>
            <w:pPr>
              <w:spacing w:line="480" w:lineRule="atLeast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新华养老  卢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珊</w:t>
            </w:r>
          </w:p>
          <w:p>
            <w:pPr>
              <w:spacing w:line="480" w:lineRule="atLeast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WT Capital   唐商恩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shd w:val="clear" w:color="auto" w:fill="auto"/>
          </w:tcPr>
          <w:p>
            <w:pPr>
              <w:spacing w:line="480" w:lineRule="atLeast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71" w:type="dxa"/>
            <w:shd w:val="clear" w:color="auto" w:fill="auto"/>
          </w:tcPr>
          <w:p>
            <w:pPr>
              <w:spacing w:line="480" w:lineRule="atLeast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2020年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15:0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shd w:val="clear" w:color="auto" w:fill="auto"/>
          </w:tcPr>
          <w:p>
            <w:pPr>
              <w:spacing w:line="480" w:lineRule="atLeast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71" w:type="dxa"/>
            <w:shd w:val="clear" w:color="auto" w:fill="auto"/>
          </w:tcPr>
          <w:p>
            <w:pPr>
              <w:spacing w:line="480" w:lineRule="atLeast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shd w:val="clear" w:color="auto" w:fill="auto"/>
          </w:tcPr>
          <w:p>
            <w:pPr>
              <w:spacing w:line="480" w:lineRule="atLeast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71" w:type="dxa"/>
            <w:shd w:val="clear" w:color="auto" w:fill="auto"/>
          </w:tcPr>
          <w:p>
            <w:pPr>
              <w:spacing w:line="480" w:lineRule="atLeast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董事长刘建军先生、营销总监张军先生、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董事会秘书谢细波先生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eastAsia="zh-CN"/>
              </w:rPr>
              <w:t>、财务总监邓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凯女士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1861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71" w:type="dxa"/>
            <w:shd w:val="clear" w:color="auto" w:fill="auto"/>
          </w:tcPr>
          <w:p>
            <w:pPr>
              <w:spacing w:line="480" w:lineRule="atLeast"/>
              <w:ind w:firstLine="480" w:firstLineChars="200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一、董事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长刘建军先生、董事会秘书谢细波先生做公司的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基本情况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介绍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 xml:space="preserve">。  </w:t>
            </w:r>
          </w:p>
          <w:p>
            <w:pPr>
              <w:spacing w:line="480" w:lineRule="atLeast"/>
              <w:ind w:firstLine="480" w:firstLineChars="200"/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二、投资者主要问题：</w:t>
            </w:r>
          </w:p>
          <w:p>
            <w:pPr>
              <w:spacing w:line="480" w:lineRule="atLeast"/>
              <w:ind w:firstLine="480" w:firstLineChars="200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82" w:firstLineChars="200"/>
              <w:rPr>
                <w:rFonts w:hint="eastAsia" w:ascii="宋体" w:hAnsi="宋体" w:eastAsia="宋体" w:cs="Times New Roman"/>
                <w:b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iCs/>
                <w:sz w:val="24"/>
                <w:szCs w:val="24"/>
                <w:lang w:val="en-US" w:eastAsia="zh-CN"/>
              </w:rPr>
              <w:t>1、公司的三个募投项目，预计都能什么时候完工投产，产生经济效益？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80"/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回复：岳阳二期和茂名的初榨计划都是在年底完工，靖江二期稍后一点，预计2021年初完工，因验收以及办理资质问题，预计项目2021年一季度能投产，二季度产生经济效益。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80"/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80"/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  <w:lang w:val="en-US" w:eastAsia="zh-CN"/>
              </w:rPr>
              <w:t>2、公司如何保障持续稳定发展以及应对品牌竞争？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回复：公司能在激烈的品牌竞争中生存下来，并保持持续稳定快速的增长，成为细分品类头部企业，说明市场给予了企业发展的机会。消费者本身有差异化的需求，另行业竞争不仅仅是一线品牌之间的竞争，还有取代落后产能、小作坊甚至小品牌的竞争。公司已经是细分品类菜籽油类头部企业，具有一定竞争优势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40" w:leftChars="0"/>
              <w:rPr>
                <w:rFonts w:hint="eastAsia" w:ascii="宋体" w:hAnsi="宋体" w:eastAsia="宋体" w:cs="Times New Roman"/>
                <w:b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iCs/>
                <w:sz w:val="24"/>
                <w:szCs w:val="24"/>
                <w:lang w:val="en-US" w:eastAsia="zh-CN"/>
              </w:rPr>
              <w:t>3、公司未来发展面临的困难是什么？主要风险是什么？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回复：企业要持续稳定的发展，主要还是技术研发能力。包括新技术的研发、新加工技术的研发、新产品的开发。比如将来能不能针对不同的消费群体(老年人、小孩、孕妇等）提供针对性的产品。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公司作为食用油加工企业，面临的风险不是来自于市场，而是来自于安全，产品质量安全。公司一直强调质量第一、安全第一，市场的风险是可控的，而产品一旦出现安全问题，那对公司的影响是不可估量的。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40" w:leftChars="0" w:firstLine="480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40" w:leftChars="0"/>
              <w:rPr>
                <w:rFonts w:hint="default" w:ascii="宋体" w:hAnsi="宋体" w:eastAsia="宋体" w:cs="Times New Roman"/>
                <w:b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iCs/>
                <w:sz w:val="24"/>
                <w:szCs w:val="24"/>
                <w:lang w:val="en-US" w:eastAsia="zh-CN"/>
              </w:rPr>
              <w:t>4、公司是否有向其他品类油扩张、或者向调味品等其他产品扩张的计划？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回复：目前公司的目标还是力争菜油领先地位，后续不排除往全品类油发展的可能。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40" w:leftChars="0"/>
              <w:rPr>
                <w:rFonts w:hint="eastAsia" w:ascii="宋体" w:hAnsi="宋体" w:eastAsia="宋体" w:cs="Times New Roman"/>
                <w:b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iCs/>
                <w:sz w:val="24"/>
                <w:szCs w:val="24"/>
                <w:lang w:val="en-US" w:eastAsia="zh-CN"/>
              </w:rPr>
              <w:t>5、整个食用油行业是否存在产能过剩，或者结构不合理？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回复：食用油行业早已产能过剩，行业发展趋势为新的产能淘汰旧的产能，往头部企业、往品牌聚集。食用油每年的增长幅度为5%左右，但大豆油、调和油呈下降趋势，而菜油、橄榄油等品类油品呈上升趋势。未来企业之间的竞争是已有市场存量的竞争，而不是增量的竞争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40" w:leftChars="0" w:firstLine="480" w:firstLineChars="200"/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40" w:leftChars="0"/>
              <w:rPr>
                <w:rFonts w:hint="eastAsia" w:ascii="宋体" w:hAnsi="宋体" w:eastAsia="宋体" w:cs="Times New Roman"/>
                <w:b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iCs/>
                <w:sz w:val="24"/>
                <w:szCs w:val="24"/>
                <w:lang w:val="en-US" w:eastAsia="zh-CN"/>
              </w:rPr>
              <w:t>6、公司对茶油有什么品牌规划？怎么树立茶油品牌？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 xml:space="preserve">   回复：茶油的价格与菜油的价格相差巨大，消费者对茶油的营养价值是非常认可的，但是市场信任度还需要提升。公司未来会推出新的茶油品牌，虽然前期可能会存在一定的困难，但是只要产品质量好、企业讲诚信，再加上好的推广和传播，相信困难都会克服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Times New Roman"/>
                <w:b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iCs/>
                <w:sz w:val="24"/>
                <w:szCs w:val="24"/>
                <w:lang w:val="en-US" w:eastAsia="zh-CN"/>
              </w:rPr>
              <w:t>公司产品毛利率较低的原因是什么？公司三季度营业收入增幅较大，但是净利润比去年下降，原因是什么？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 w:firstLine="480"/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回复：正常来说，公司产品的毛利率能保持10%-15%，近两年因国际贸易关系的影响，原材料市场价格波动较大，公司产品毛利率有所下降。公司产品虽然有提价，但是产品价格变动总是要慢于原料市场的价格变动。截止今年三季度，公司原材料成本上升约30%，公司产品销售价格上涨仅15%左右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 w:firstLine="480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Times New Roman"/>
                <w:b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iCs/>
                <w:sz w:val="24"/>
                <w:szCs w:val="24"/>
                <w:lang w:val="en-US" w:eastAsia="zh-CN"/>
              </w:rPr>
              <w:t>公司明年的市场拓展有什么计划？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 w:firstLine="480"/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回复：一是传统渠道维持稳定的增长，二是加大KA卖场、新零售等渠道的拓展。一二线城市的消费者基本通过KA卖场消费，公司目前的销售渠道还是主要在传统的经销商渠道，一二线城市是公司的薄弱环节，随着明年岳阳二期规划的茶油、高油酸菜油等高品质、高附加值的油品推出，公司新成立的营销公司将以这些产品向一二线城市渗透，并带动传统渠道的销售。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 w:firstLine="480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6671" w:type="dxa"/>
            <w:shd w:val="clear" w:color="auto" w:fill="auto"/>
          </w:tcPr>
          <w:p>
            <w:pPr>
              <w:spacing w:line="480" w:lineRule="atLeast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71" w:type="dxa"/>
            <w:shd w:val="clear" w:color="auto" w:fill="auto"/>
          </w:tcPr>
          <w:p>
            <w:pPr>
              <w:spacing w:line="480" w:lineRule="atLeast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2020年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CB28FB"/>
    <w:multiLevelType w:val="singleLevel"/>
    <w:tmpl w:val="DDCB28FB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6622"/>
    <w:rsid w:val="00004674"/>
    <w:rsid w:val="00013BA2"/>
    <w:rsid w:val="0001690D"/>
    <w:rsid w:val="00020CF3"/>
    <w:rsid w:val="0002206C"/>
    <w:rsid w:val="00023801"/>
    <w:rsid w:val="0002478C"/>
    <w:rsid w:val="00036E42"/>
    <w:rsid w:val="000450C7"/>
    <w:rsid w:val="000546B0"/>
    <w:rsid w:val="00064A7F"/>
    <w:rsid w:val="00081A7B"/>
    <w:rsid w:val="00090F19"/>
    <w:rsid w:val="0009252B"/>
    <w:rsid w:val="000946AD"/>
    <w:rsid w:val="000D1A8A"/>
    <w:rsid w:val="000D1D04"/>
    <w:rsid w:val="000D3678"/>
    <w:rsid w:val="000E075D"/>
    <w:rsid w:val="000E4973"/>
    <w:rsid w:val="000E4E6B"/>
    <w:rsid w:val="0012077E"/>
    <w:rsid w:val="001236C0"/>
    <w:rsid w:val="00133B3B"/>
    <w:rsid w:val="00180A3B"/>
    <w:rsid w:val="00181164"/>
    <w:rsid w:val="001C082E"/>
    <w:rsid w:val="001C5F82"/>
    <w:rsid w:val="001C6FED"/>
    <w:rsid w:val="001D05FB"/>
    <w:rsid w:val="001D4521"/>
    <w:rsid w:val="001E1857"/>
    <w:rsid w:val="001E62B6"/>
    <w:rsid w:val="00205CD0"/>
    <w:rsid w:val="00214E0B"/>
    <w:rsid w:val="00226CAC"/>
    <w:rsid w:val="00265901"/>
    <w:rsid w:val="002752F6"/>
    <w:rsid w:val="00292C1C"/>
    <w:rsid w:val="002A1051"/>
    <w:rsid w:val="002B3C19"/>
    <w:rsid w:val="002C0F29"/>
    <w:rsid w:val="002E141B"/>
    <w:rsid w:val="002E26B1"/>
    <w:rsid w:val="002E572B"/>
    <w:rsid w:val="002F25D1"/>
    <w:rsid w:val="003269A0"/>
    <w:rsid w:val="00335ACA"/>
    <w:rsid w:val="00337016"/>
    <w:rsid w:val="00342247"/>
    <w:rsid w:val="00354011"/>
    <w:rsid w:val="003673F0"/>
    <w:rsid w:val="00374557"/>
    <w:rsid w:val="00395C02"/>
    <w:rsid w:val="003A2E13"/>
    <w:rsid w:val="003C30FC"/>
    <w:rsid w:val="003D4CAD"/>
    <w:rsid w:val="003E06A6"/>
    <w:rsid w:val="003E39FA"/>
    <w:rsid w:val="003F2F70"/>
    <w:rsid w:val="003F4790"/>
    <w:rsid w:val="004033CD"/>
    <w:rsid w:val="00411CBA"/>
    <w:rsid w:val="0041506A"/>
    <w:rsid w:val="00435CA4"/>
    <w:rsid w:val="0044505B"/>
    <w:rsid w:val="00466963"/>
    <w:rsid w:val="00474022"/>
    <w:rsid w:val="004970FF"/>
    <w:rsid w:val="004B7356"/>
    <w:rsid w:val="004C0CD8"/>
    <w:rsid w:val="004D3875"/>
    <w:rsid w:val="00501461"/>
    <w:rsid w:val="00502598"/>
    <w:rsid w:val="00506F4F"/>
    <w:rsid w:val="005601B5"/>
    <w:rsid w:val="00573687"/>
    <w:rsid w:val="00582FF1"/>
    <w:rsid w:val="005B70EC"/>
    <w:rsid w:val="005C5B80"/>
    <w:rsid w:val="005D40FB"/>
    <w:rsid w:val="005D4895"/>
    <w:rsid w:val="005D60ED"/>
    <w:rsid w:val="005E0F72"/>
    <w:rsid w:val="005E40F0"/>
    <w:rsid w:val="006063D7"/>
    <w:rsid w:val="00625526"/>
    <w:rsid w:val="00631DF9"/>
    <w:rsid w:val="00632EC6"/>
    <w:rsid w:val="00683D80"/>
    <w:rsid w:val="00693C6A"/>
    <w:rsid w:val="00695B71"/>
    <w:rsid w:val="0069751A"/>
    <w:rsid w:val="006B3F72"/>
    <w:rsid w:val="006B753E"/>
    <w:rsid w:val="006E30D1"/>
    <w:rsid w:val="006E7E57"/>
    <w:rsid w:val="00700998"/>
    <w:rsid w:val="00701D19"/>
    <w:rsid w:val="00714AA2"/>
    <w:rsid w:val="007162B3"/>
    <w:rsid w:val="00720F17"/>
    <w:rsid w:val="00773237"/>
    <w:rsid w:val="007E4A9D"/>
    <w:rsid w:val="007E5651"/>
    <w:rsid w:val="007E7F0D"/>
    <w:rsid w:val="008041FA"/>
    <w:rsid w:val="00805A15"/>
    <w:rsid w:val="00823939"/>
    <w:rsid w:val="00824D0E"/>
    <w:rsid w:val="00830CE1"/>
    <w:rsid w:val="00837C0F"/>
    <w:rsid w:val="00852C50"/>
    <w:rsid w:val="0085543C"/>
    <w:rsid w:val="00871466"/>
    <w:rsid w:val="00886957"/>
    <w:rsid w:val="00897B02"/>
    <w:rsid w:val="008A0564"/>
    <w:rsid w:val="008A2782"/>
    <w:rsid w:val="008A7EC9"/>
    <w:rsid w:val="008E49C9"/>
    <w:rsid w:val="008E54A3"/>
    <w:rsid w:val="008F7564"/>
    <w:rsid w:val="00913B4A"/>
    <w:rsid w:val="00914751"/>
    <w:rsid w:val="00916309"/>
    <w:rsid w:val="0092580A"/>
    <w:rsid w:val="00926622"/>
    <w:rsid w:val="009316AF"/>
    <w:rsid w:val="009413FD"/>
    <w:rsid w:val="0094173A"/>
    <w:rsid w:val="009424C0"/>
    <w:rsid w:val="009470E5"/>
    <w:rsid w:val="009905C2"/>
    <w:rsid w:val="009A00E0"/>
    <w:rsid w:val="009C5B20"/>
    <w:rsid w:val="009C7B54"/>
    <w:rsid w:val="009D3233"/>
    <w:rsid w:val="009D4640"/>
    <w:rsid w:val="009F33E7"/>
    <w:rsid w:val="00A04D6D"/>
    <w:rsid w:val="00A151E8"/>
    <w:rsid w:val="00A24A7A"/>
    <w:rsid w:val="00A34D1B"/>
    <w:rsid w:val="00A4137A"/>
    <w:rsid w:val="00A46011"/>
    <w:rsid w:val="00A46E0B"/>
    <w:rsid w:val="00A77A40"/>
    <w:rsid w:val="00AA423C"/>
    <w:rsid w:val="00AA585C"/>
    <w:rsid w:val="00AD0C3D"/>
    <w:rsid w:val="00AD1E58"/>
    <w:rsid w:val="00AD4D7C"/>
    <w:rsid w:val="00AF1CBB"/>
    <w:rsid w:val="00AF53E2"/>
    <w:rsid w:val="00AF5EE9"/>
    <w:rsid w:val="00B02046"/>
    <w:rsid w:val="00B125D8"/>
    <w:rsid w:val="00B14DDE"/>
    <w:rsid w:val="00B37EE2"/>
    <w:rsid w:val="00B50003"/>
    <w:rsid w:val="00B52839"/>
    <w:rsid w:val="00B61525"/>
    <w:rsid w:val="00B72C2A"/>
    <w:rsid w:val="00B757E6"/>
    <w:rsid w:val="00B77356"/>
    <w:rsid w:val="00B9098A"/>
    <w:rsid w:val="00BB387A"/>
    <w:rsid w:val="00BB437C"/>
    <w:rsid w:val="00BB5544"/>
    <w:rsid w:val="00BC233F"/>
    <w:rsid w:val="00BD2931"/>
    <w:rsid w:val="00BD37D2"/>
    <w:rsid w:val="00BD6085"/>
    <w:rsid w:val="00BD6455"/>
    <w:rsid w:val="00BD70DF"/>
    <w:rsid w:val="00BF5A73"/>
    <w:rsid w:val="00BF7075"/>
    <w:rsid w:val="00C115D6"/>
    <w:rsid w:val="00C5286C"/>
    <w:rsid w:val="00C635AB"/>
    <w:rsid w:val="00C66C5C"/>
    <w:rsid w:val="00C95A52"/>
    <w:rsid w:val="00CA3E1F"/>
    <w:rsid w:val="00CC38C3"/>
    <w:rsid w:val="00CD20BA"/>
    <w:rsid w:val="00CE0C1F"/>
    <w:rsid w:val="00CE39D1"/>
    <w:rsid w:val="00CE4D3E"/>
    <w:rsid w:val="00CF2AD2"/>
    <w:rsid w:val="00D16B71"/>
    <w:rsid w:val="00D25A0E"/>
    <w:rsid w:val="00D300AF"/>
    <w:rsid w:val="00D37209"/>
    <w:rsid w:val="00D40EA7"/>
    <w:rsid w:val="00D605AC"/>
    <w:rsid w:val="00D70554"/>
    <w:rsid w:val="00DA0472"/>
    <w:rsid w:val="00DB03AD"/>
    <w:rsid w:val="00DD74F5"/>
    <w:rsid w:val="00DF23EB"/>
    <w:rsid w:val="00DF4E93"/>
    <w:rsid w:val="00E10098"/>
    <w:rsid w:val="00E3073F"/>
    <w:rsid w:val="00E537D8"/>
    <w:rsid w:val="00E7445D"/>
    <w:rsid w:val="00E95313"/>
    <w:rsid w:val="00EA6FDA"/>
    <w:rsid w:val="00EA7DA6"/>
    <w:rsid w:val="00EC4287"/>
    <w:rsid w:val="00EC4757"/>
    <w:rsid w:val="00EE153D"/>
    <w:rsid w:val="00EF4BB8"/>
    <w:rsid w:val="00F160D1"/>
    <w:rsid w:val="00F274FF"/>
    <w:rsid w:val="00F27B29"/>
    <w:rsid w:val="00F61CA7"/>
    <w:rsid w:val="00F91D46"/>
    <w:rsid w:val="00FA216B"/>
    <w:rsid w:val="00FB4894"/>
    <w:rsid w:val="00FC6BD5"/>
    <w:rsid w:val="00FD02E3"/>
    <w:rsid w:val="00FD34AB"/>
    <w:rsid w:val="00FE314C"/>
    <w:rsid w:val="00FE4537"/>
    <w:rsid w:val="00FF53BC"/>
    <w:rsid w:val="08E04D52"/>
    <w:rsid w:val="0D9A69E7"/>
    <w:rsid w:val="12F72F91"/>
    <w:rsid w:val="13041BA5"/>
    <w:rsid w:val="13385348"/>
    <w:rsid w:val="15913FA8"/>
    <w:rsid w:val="17976B13"/>
    <w:rsid w:val="17B0762A"/>
    <w:rsid w:val="1989658C"/>
    <w:rsid w:val="254F1DF0"/>
    <w:rsid w:val="26F70157"/>
    <w:rsid w:val="292E1CCA"/>
    <w:rsid w:val="2A761E7B"/>
    <w:rsid w:val="2E287360"/>
    <w:rsid w:val="304931CD"/>
    <w:rsid w:val="32EA1076"/>
    <w:rsid w:val="37774EC9"/>
    <w:rsid w:val="37F17A38"/>
    <w:rsid w:val="38F22FAA"/>
    <w:rsid w:val="39726079"/>
    <w:rsid w:val="3A9A22D5"/>
    <w:rsid w:val="3E2435BE"/>
    <w:rsid w:val="414666C7"/>
    <w:rsid w:val="422F3A42"/>
    <w:rsid w:val="43FD185E"/>
    <w:rsid w:val="45A25676"/>
    <w:rsid w:val="47F61EBE"/>
    <w:rsid w:val="4A38773F"/>
    <w:rsid w:val="4DD74165"/>
    <w:rsid w:val="4ECC484B"/>
    <w:rsid w:val="4F631108"/>
    <w:rsid w:val="4F914FEB"/>
    <w:rsid w:val="56F677F0"/>
    <w:rsid w:val="56F95A3C"/>
    <w:rsid w:val="59DC1091"/>
    <w:rsid w:val="5A96111A"/>
    <w:rsid w:val="5B7A00E8"/>
    <w:rsid w:val="603B6995"/>
    <w:rsid w:val="60B54987"/>
    <w:rsid w:val="60CA08DA"/>
    <w:rsid w:val="68784DAF"/>
    <w:rsid w:val="6A4E73F3"/>
    <w:rsid w:val="6A722F50"/>
    <w:rsid w:val="6BD75EF6"/>
    <w:rsid w:val="6DC062D4"/>
    <w:rsid w:val="7113012A"/>
    <w:rsid w:val="71670F25"/>
    <w:rsid w:val="71E01A41"/>
    <w:rsid w:val="764E4BF0"/>
    <w:rsid w:val="76F41251"/>
    <w:rsid w:val="77F718A1"/>
    <w:rsid w:val="786F1CAE"/>
    <w:rsid w:val="79464FD8"/>
    <w:rsid w:val="7CB96C15"/>
    <w:rsid w:val="7D171C96"/>
    <w:rsid w:val="7F726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352</Words>
  <Characters>2009</Characters>
  <Lines>16</Lines>
  <Paragraphs>4</Paragraphs>
  <TotalTime>23</TotalTime>
  <ScaleCrop>false</ScaleCrop>
  <LinksUpToDate>false</LinksUpToDate>
  <CharactersWithSpaces>2357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2017-05-26T02:02:00Z</dcterms:created>
  <dc:creator>dell</dc:creator>
  <cp:lastModifiedBy>朱晓娟</cp:lastModifiedBy>
  <cp:lastPrinted>2020-10-30T09:39:00Z</cp:lastPrinted>
  <dcterms:modified xsi:type="dcterms:W3CDTF">2020-10-30T11:43:22Z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