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274"/>
        </w:tabs>
        <w:adjustRightInd/>
        <w:snapToGrid/>
        <w:spacing w:after="0" w:line="560" w:lineRule="exact"/>
        <w:ind w:right="560"/>
        <w:rPr>
          <w:rFonts w:ascii="仿宋" w:hAnsi="仿宋" w:eastAsia="仿宋" w:cs="Times New Roman"/>
          <w:bCs/>
          <w:iCs/>
          <w:color w:val="000000"/>
          <w:kern w:val="2"/>
          <w:sz w:val="28"/>
          <w:szCs w:val="44"/>
        </w:rPr>
      </w:pPr>
      <w:r>
        <w:rPr>
          <w:rFonts w:hint="eastAsia" w:ascii="仿宋" w:hAnsi="仿宋" w:eastAsia="仿宋" w:cs="Times New Roman"/>
          <w:bCs/>
          <w:iCs/>
          <w:color w:val="000000"/>
          <w:kern w:val="2"/>
          <w:sz w:val="28"/>
          <w:szCs w:val="44"/>
        </w:rPr>
        <w:t>证券代码：000799                         证券简称：酒鬼酒</w:t>
      </w:r>
    </w:p>
    <w:p>
      <w:pPr>
        <w:widowControl w:val="0"/>
        <w:adjustRightInd/>
        <w:snapToGrid/>
        <w:spacing w:after="0" w:line="560" w:lineRule="exact"/>
        <w:jc w:val="center"/>
        <w:rPr>
          <w:rFonts w:ascii="宋体" w:hAnsi="宋体" w:eastAsia="宋体" w:cs="Times New Roman"/>
          <w:b/>
          <w:bCs/>
          <w:iCs/>
          <w:color w:val="000000"/>
          <w:kern w:val="2"/>
          <w:sz w:val="44"/>
          <w:szCs w:val="44"/>
        </w:rPr>
      </w:pPr>
      <w:r>
        <w:rPr>
          <w:rFonts w:hint="eastAsia" w:ascii="宋体" w:hAnsi="宋体" w:eastAsia="宋体" w:cs="Times New Roman"/>
          <w:b/>
          <w:bCs/>
          <w:iCs/>
          <w:color w:val="000000"/>
          <w:kern w:val="2"/>
          <w:sz w:val="44"/>
          <w:szCs w:val="44"/>
        </w:rPr>
        <w:t>酒鬼酒股份有限公司投资者关系活动记录表</w:t>
      </w:r>
    </w:p>
    <w:p>
      <w:pPr>
        <w:widowControl w:val="0"/>
        <w:adjustRightInd/>
        <w:snapToGrid/>
        <w:spacing w:after="0" w:line="560" w:lineRule="exact"/>
        <w:jc w:val="both"/>
        <w:rPr>
          <w:rFonts w:ascii="Times New Roman" w:hAnsi="Times New Roman" w:eastAsia="仿宋" w:cs="Times New Roman"/>
          <w:bCs/>
          <w:iCs/>
          <w:color w:val="000000"/>
          <w:kern w:val="2"/>
          <w:sz w:val="28"/>
          <w:szCs w:val="28"/>
        </w:rPr>
      </w:pPr>
      <w:r>
        <w:rPr>
          <w:rFonts w:ascii="Times New Roman" w:hAnsi="Times New Roman" w:eastAsia="仿宋" w:cs="Times New Roman"/>
          <w:bCs/>
          <w:iCs/>
          <w:color w:val="000000"/>
          <w:kern w:val="2"/>
          <w:sz w:val="28"/>
          <w:szCs w:val="28"/>
        </w:rPr>
        <w:t xml:space="preserve">                                                  </w:t>
      </w:r>
      <w:r>
        <w:rPr>
          <w:rFonts w:hint="eastAsia" w:ascii="Times New Roman" w:hAnsi="Times New Roman" w:eastAsia="仿宋" w:cs="Times New Roman"/>
          <w:bCs/>
          <w:iCs/>
          <w:color w:val="000000"/>
          <w:kern w:val="2"/>
          <w:sz w:val="28"/>
          <w:szCs w:val="28"/>
        </w:rPr>
        <w:t xml:space="preserve">                                         </w:t>
      </w:r>
      <w:r>
        <w:rPr>
          <w:rFonts w:ascii="Times New Roman" w:hAnsi="Times New Roman" w:eastAsia="仿宋" w:cs="Times New Roman"/>
          <w:bCs/>
          <w:iCs/>
          <w:color w:val="000000"/>
          <w:kern w:val="2"/>
          <w:sz w:val="28"/>
          <w:szCs w:val="28"/>
        </w:rPr>
        <w:t>编号：</w:t>
      </w:r>
      <w:r>
        <w:rPr>
          <w:rFonts w:hint="eastAsia" w:ascii="Times New Roman" w:hAnsi="Times New Roman" w:eastAsia="仿宋" w:cs="Times New Roman"/>
          <w:bCs/>
          <w:iCs/>
          <w:color w:val="000000"/>
          <w:kern w:val="2"/>
          <w:sz w:val="28"/>
          <w:szCs w:val="28"/>
        </w:rPr>
        <w:t>2020-10-29</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投资者关系活动类别</w:t>
            </w:r>
          </w:p>
          <w:p>
            <w:pPr>
              <w:widowControl w:val="0"/>
              <w:adjustRightInd/>
              <w:snapToGrid/>
              <w:spacing w:after="0" w:line="340" w:lineRule="exact"/>
              <w:jc w:val="both"/>
              <w:rPr>
                <w:rFonts w:ascii="仿宋" w:hAnsi="仿宋" w:eastAsia="仿宋" w:cs="Times New Roman"/>
                <w:bCs/>
                <w:iCs/>
                <w:color w:val="000000"/>
                <w:kern w:val="2"/>
                <w:sz w:val="28"/>
                <w:szCs w:val="24"/>
              </w:rPr>
            </w:pPr>
          </w:p>
        </w:tc>
        <w:tc>
          <w:tcPr>
            <w:tcW w:w="6854"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beforeLines="20" w:after="0" w:line="340" w:lineRule="exact"/>
              <w:jc w:val="both"/>
              <w:rPr>
                <w:rFonts w:ascii="仿宋" w:hAnsi="仿宋" w:eastAsia="仿宋" w:cs="Times New Roman"/>
                <w:bCs/>
                <w:iCs/>
                <w:color w:val="000000"/>
                <w:kern w:val="2"/>
                <w:sz w:val="28"/>
                <w:szCs w:val="24"/>
              </w:rPr>
            </w:pPr>
            <w:r>
              <w:rPr>
                <w:rFonts w:ascii="仿宋" w:hAnsi="仿宋" w:eastAsia="仿宋" w:cs="Times New Roman"/>
                <w:color w:val="000000"/>
                <w:kern w:val="2"/>
                <w:sz w:val="28"/>
                <w:szCs w:val="24"/>
              </w:rPr>
              <w:t xml:space="preserve">特定对象调研        </w:t>
            </w:r>
            <w:r>
              <w:rPr>
                <w:rFonts w:ascii="仿宋" w:hAnsi="仿宋" w:eastAsia="仿宋" w:cs="Times New Roman"/>
                <w:bCs/>
                <w:iCs/>
                <w:color w:val="000000"/>
                <w:kern w:val="2"/>
                <w:sz w:val="28"/>
                <w:szCs w:val="24"/>
              </w:rPr>
              <w:t>□</w:t>
            </w:r>
            <w:r>
              <w:rPr>
                <w:rFonts w:ascii="仿宋" w:hAnsi="仿宋" w:eastAsia="仿宋" w:cs="Times New Roman"/>
                <w:color w:val="000000"/>
                <w:kern w:val="2"/>
                <w:sz w:val="28"/>
                <w:szCs w:val="24"/>
              </w:rPr>
              <w:t>分析师会议</w:t>
            </w:r>
          </w:p>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w:t>
            </w:r>
            <w:r>
              <w:rPr>
                <w:rFonts w:ascii="仿宋" w:hAnsi="仿宋" w:eastAsia="仿宋" w:cs="Times New Roman"/>
                <w:color w:val="000000"/>
                <w:kern w:val="2"/>
                <w:sz w:val="28"/>
                <w:szCs w:val="24"/>
              </w:rPr>
              <w:t xml:space="preserve">媒体采访            </w:t>
            </w:r>
            <w:r>
              <w:rPr>
                <w:rFonts w:ascii="仿宋" w:hAnsi="仿宋" w:eastAsia="仿宋" w:cs="Times New Roman"/>
                <w:bCs/>
                <w:iCs/>
                <w:color w:val="000000"/>
                <w:kern w:val="2"/>
                <w:sz w:val="28"/>
                <w:szCs w:val="24"/>
              </w:rPr>
              <w:t>□</w:t>
            </w:r>
            <w:r>
              <w:rPr>
                <w:rFonts w:ascii="仿宋" w:hAnsi="仿宋" w:eastAsia="仿宋" w:cs="Times New Roman"/>
                <w:color w:val="000000"/>
                <w:kern w:val="2"/>
                <w:sz w:val="28"/>
                <w:szCs w:val="24"/>
              </w:rPr>
              <w:t>业绩说明会</w:t>
            </w:r>
          </w:p>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w:t>
            </w:r>
            <w:r>
              <w:rPr>
                <w:rFonts w:ascii="仿宋" w:hAnsi="仿宋" w:eastAsia="仿宋" w:cs="Times New Roman"/>
                <w:color w:val="000000"/>
                <w:kern w:val="2"/>
                <w:sz w:val="28"/>
                <w:szCs w:val="24"/>
              </w:rPr>
              <w:t xml:space="preserve">新闻发布会          </w:t>
            </w:r>
            <w:r>
              <w:rPr>
                <w:rFonts w:ascii="仿宋" w:hAnsi="仿宋" w:eastAsia="仿宋" w:cs="Times New Roman"/>
                <w:bCs/>
                <w:iCs/>
                <w:color w:val="000000"/>
                <w:kern w:val="2"/>
                <w:sz w:val="28"/>
                <w:szCs w:val="24"/>
              </w:rPr>
              <w:t>□</w:t>
            </w:r>
            <w:r>
              <w:rPr>
                <w:rFonts w:ascii="仿宋" w:hAnsi="仿宋" w:eastAsia="仿宋" w:cs="Times New Roman"/>
                <w:color w:val="000000"/>
                <w:kern w:val="2"/>
                <w:sz w:val="28"/>
                <w:szCs w:val="24"/>
              </w:rPr>
              <w:t>路演活动</w:t>
            </w:r>
          </w:p>
          <w:p>
            <w:pPr>
              <w:widowControl w:val="0"/>
              <w:tabs>
                <w:tab w:val="left" w:pos="3045"/>
                <w:tab w:val="center" w:pos="3199"/>
              </w:tabs>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w:t>
            </w:r>
            <w:r>
              <w:rPr>
                <w:rFonts w:ascii="仿宋" w:hAnsi="仿宋" w:eastAsia="仿宋" w:cs="Times New Roman"/>
                <w:color w:val="000000"/>
                <w:kern w:val="2"/>
                <w:sz w:val="28"/>
                <w:szCs w:val="24"/>
              </w:rPr>
              <w:t>现场参观</w:t>
            </w:r>
            <w:r>
              <w:rPr>
                <w:rFonts w:ascii="仿宋" w:hAnsi="仿宋" w:eastAsia="仿宋" w:cs="Times New Roman"/>
                <w:bCs/>
                <w:iCs/>
                <w:color w:val="000000"/>
                <w:kern w:val="2"/>
                <w:sz w:val="28"/>
                <w:szCs w:val="24"/>
              </w:rPr>
              <w:tab/>
            </w:r>
          </w:p>
          <w:p>
            <w:pPr>
              <w:widowControl w:val="0"/>
              <w:tabs>
                <w:tab w:val="center" w:pos="3199"/>
              </w:tabs>
              <w:adjustRightInd/>
              <w:snapToGrid/>
              <w:spacing w:after="0" w:line="340" w:lineRule="exact"/>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bdr w:val="single" w:color="auto" w:sz="4" w:space="0"/>
              </w:rPr>
              <w:t>√</w:t>
            </w:r>
            <w:r>
              <w:rPr>
                <w:rFonts w:ascii="仿宋" w:hAnsi="仿宋" w:eastAsia="仿宋" w:cs="Times New Roman"/>
                <w:color w:val="000000"/>
                <w:kern w:val="2"/>
                <w:sz w:val="28"/>
                <w:szCs w:val="24"/>
              </w:rPr>
              <w:t xml:space="preserve">其他 </w:t>
            </w:r>
            <w:r>
              <w:rPr>
                <w:rFonts w:hint="eastAsia" w:ascii="仿宋" w:hAnsi="仿宋" w:eastAsia="仿宋" w:cs="Times New Roman"/>
                <w:color w:val="000000"/>
                <w:kern w:val="2"/>
                <w:sz w:val="28"/>
                <w:szCs w:val="24"/>
              </w:rPr>
              <w:t>线上电话会议调研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参与单位名称及人员姓名</w:t>
            </w:r>
          </w:p>
        </w:tc>
        <w:tc>
          <w:tcPr>
            <w:tcW w:w="6854" w:type="dxa"/>
            <w:tcBorders>
              <w:top w:val="single" w:color="auto" w:sz="4" w:space="0"/>
              <w:left w:val="single" w:color="auto" w:sz="4" w:space="0"/>
              <w:bottom w:val="single" w:color="auto" w:sz="4" w:space="0"/>
              <w:right w:val="single" w:color="auto" w:sz="4" w:space="0"/>
            </w:tcBorders>
            <w:shd w:val="clear" w:color="auto" w:fill="auto"/>
          </w:tcPr>
          <w:p>
            <w:pPr>
              <w:spacing w:line="340" w:lineRule="exact"/>
              <w:jc w:val="both"/>
              <w:rPr>
                <w:rFonts w:ascii="微软雅黑" w:hAnsi="微软雅黑" w:cs="宋体"/>
                <w:color w:val="000000"/>
                <w:sz w:val="28"/>
                <w:szCs w:val="24"/>
              </w:rPr>
            </w:pPr>
            <w:r>
              <w:rPr>
                <w:rFonts w:hint="eastAsia" w:ascii="仿宋" w:hAnsi="仿宋" w:eastAsia="仿宋" w:cs="Times New Roman"/>
                <w:bCs/>
                <w:iCs/>
                <w:color w:val="000000"/>
                <w:kern w:val="2"/>
                <w:sz w:val="28"/>
                <w:szCs w:val="24"/>
              </w:rPr>
              <w:t>兴业食饮赵国防、国君资管刘颜、平安证券李峰、新华基金钟俊、民生加银李德宝、长金投资郑靖杰、华泰柏瑞陈文凯、泰康资产周子力、信泰人寿云昀、诺安基金（北京）周彪、交银施罗德张程、银河基金余科苗、同泰基金麦健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时间</w:t>
            </w:r>
          </w:p>
        </w:tc>
        <w:tc>
          <w:tcPr>
            <w:tcW w:w="6854"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2020年10月29日上午10:00</w:t>
            </w:r>
          </w:p>
          <w:p>
            <w:pPr>
              <w:widowControl w:val="0"/>
              <w:adjustRightInd/>
              <w:snapToGrid/>
              <w:spacing w:after="0" w:line="340" w:lineRule="exact"/>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2020年10月29日上午11:00</w:t>
            </w:r>
          </w:p>
          <w:p>
            <w:pPr>
              <w:widowControl w:val="0"/>
              <w:adjustRightInd/>
              <w:snapToGrid/>
              <w:spacing w:after="0" w:line="340" w:lineRule="exact"/>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2020年10月29日下午3:00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地点</w:t>
            </w:r>
          </w:p>
        </w:tc>
        <w:tc>
          <w:tcPr>
            <w:tcW w:w="6854"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长沙市酒鬼酒大厦证券部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上市公司接待人员姓名</w:t>
            </w:r>
          </w:p>
        </w:tc>
        <w:tc>
          <w:tcPr>
            <w:tcW w:w="6854"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证券事务代表宋家麒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投资者关系活动主要内容介绍</w:t>
            </w:r>
          </w:p>
          <w:p>
            <w:pPr>
              <w:widowControl w:val="0"/>
              <w:adjustRightInd/>
              <w:snapToGrid/>
              <w:spacing w:after="0" w:line="340" w:lineRule="exact"/>
              <w:jc w:val="both"/>
              <w:rPr>
                <w:rFonts w:ascii="仿宋" w:hAnsi="仿宋" w:eastAsia="仿宋" w:cs="Times New Roman"/>
                <w:bCs/>
                <w:iCs/>
                <w:color w:val="000000"/>
                <w:kern w:val="2"/>
                <w:sz w:val="28"/>
                <w:szCs w:val="24"/>
              </w:rPr>
            </w:pPr>
          </w:p>
        </w:tc>
        <w:tc>
          <w:tcPr>
            <w:tcW w:w="6854"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1.酒鬼酒作为湘酒龙头企业，但目前自身体量还较小，请问公司近期有何规划？</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公司是A股中白酒行业唯一央企控股的上市公司，中粮集团作为实际控制人将全方位支持公司做大做强。公司目前虽然体量较小，但差距就是增长空间，公司制定了短中长期发展目标，也相应制定了策略和措施，将从品牌推广、营销、资源整合等多个方面发力，打造中国高端文化白酒，实现“内参酒”“酒鬼酒”的快速增长，推动公司做大做强。</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2.酒鬼系列未来哪些方面还有优化调整的空间？</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公司一直对酒鬼酒系列产品进行优化，今年进行较多调整，对“红坛”系列进行产品升级，“传承”“紫坛”进行包装更新，并且将省内和省外市场分开运作，“红坛1</w:t>
            </w:r>
            <w:r>
              <w:rPr>
                <w:rFonts w:ascii="仿宋" w:hAnsi="仿宋" w:eastAsia="仿宋" w:cs="Times New Roman"/>
                <w:bCs/>
                <w:iCs/>
                <w:color w:val="000000"/>
                <w:kern w:val="2"/>
                <w:sz w:val="28"/>
                <w:szCs w:val="24"/>
              </w:rPr>
              <w:t>8</w:t>
            </w:r>
            <w:r>
              <w:rPr>
                <w:rFonts w:hint="eastAsia" w:ascii="仿宋" w:hAnsi="仿宋" w:eastAsia="仿宋" w:cs="Times New Roman"/>
                <w:bCs/>
                <w:iCs/>
                <w:color w:val="000000"/>
                <w:kern w:val="2"/>
                <w:sz w:val="28"/>
                <w:szCs w:val="24"/>
              </w:rPr>
              <w:t>”专门做省内，“红坛2</w:t>
            </w:r>
            <w:r>
              <w:rPr>
                <w:rFonts w:ascii="仿宋" w:hAnsi="仿宋" w:eastAsia="仿宋" w:cs="Times New Roman"/>
                <w:bCs/>
                <w:iCs/>
                <w:color w:val="000000"/>
                <w:kern w:val="2"/>
                <w:sz w:val="28"/>
                <w:szCs w:val="24"/>
              </w:rPr>
              <w:t>0</w:t>
            </w:r>
            <w:r>
              <w:rPr>
                <w:rFonts w:hint="eastAsia" w:ascii="仿宋" w:hAnsi="仿宋" w:eastAsia="仿宋" w:cs="Times New Roman"/>
                <w:bCs/>
                <w:iCs/>
                <w:color w:val="000000"/>
                <w:kern w:val="2"/>
                <w:sz w:val="28"/>
                <w:szCs w:val="24"/>
              </w:rPr>
              <w:t>”供省外。</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3.内参全国化的过程中战略布局是什么基调？</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“省内重点做，省外做重点”，我们将主要选择一些重点省市和区域，精耕做深，另外我们也在积极寻求机会同一些有实力的经销商合作去开拓其他市场。</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4.请问公司产能情况以及未来规划？</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公司目前年总产能约一万吨，为满足公司发展规划需要，公司已启动三区一期工程建设，建成后将新增产能300</w:t>
            </w:r>
            <w:r>
              <w:rPr>
                <w:rFonts w:hint="eastAsia" w:ascii="仿宋" w:hAnsi="仿宋" w:eastAsia="仿宋" w:cs="Times New Roman"/>
                <w:bCs/>
                <w:iCs/>
                <w:color w:val="000000"/>
                <w:kern w:val="2"/>
                <w:sz w:val="28"/>
                <w:szCs w:val="24"/>
                <w:lang w:val="en-US" w:eastAsia="zh-CN"/>
              </w:rPr>
              <w:t>0</w:t>
            </w:r>
            <w:bookmarkStart w:id="0" w:name="_GoBack"/>
            <w:bookmarkEnd w:id="0"/>
            <w:r>
              <w:rPr>
                <w:rFonts w:hint="eastAsia" w:ascii="仿宋" w:hAnsi="仿宋" w:eastAsia="仿宋" w:cs="Times New Roman"/>
                <w:bCs/>
                <w:iCs/>
                <w:color w:val="000000"/>
                <w:kern w:val="2"/>
                <w:sz w:val="28"/>
                <w:szCs w:val="24"/>
              </w:rPr>
              <w:t>吨。</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 xml:space="preserve">5.中粮入主后，公司激励机制有哪些改善情况？ </w:t>
            </w:r>
          </w:p>
          <w:p>
            <w:pPr>
              <w:widowControl w:val="0"/>
              <w:adjustRightInd/>
              <w:snapToGrid/>
              <w:spacing w:after="0" w:line="340" w:lineRule="exact"/>
              <w:ind w:firstLine="560" w:firstLineChars="200"/>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中粮入主后，一直在激励方面积极探索，对公司高管层实施了“年度奖励薪酬+三年任期激励奖金”计划，激发高管层积极性并引导管理层注重公司长期发展。</w:t>
            </w:r>
          </w:p>
          <w:p>
            <w:pPr>
              <w:spacing w:after="0" w:line="340" w:lineRule="exact"/>
              <w:ind w:firstLine="560" w:firstLineChars="200"/>
              <w:rPr>
                <w:rFonts w:ascii="仿宋" w:hAnsi="仿宋" w:eastAsia="仿宋" w:cs="Times New Roman"/>
                <w:bCs/>
                <w:iCs/>
                <w:color w:val="000000"/>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附件清单（如有）</w:t>
            </w:r>
          </w:p>
        </w:tc>
        <w:tc>
          <w:tcPr>
            <w:tcW w:w="6854"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ascii="仿宋" w:hAnsi="仿宋" w:eastAsia="仿宋" w:cs="Times New Roman"/>
                <w:bCs/>
                <w:iCs/>
                <w:color w:val="000000"/>
                <w:kern w:val="2"/>
                <w:sz w:val="28"/>
                <w:szCs w:val="24"/>
              </w:rPr>
              <w:t>日期</w:t>
            </w:r>
          </w:p>
        </w:tc>
        <w:tc>
          <w:tcPr>
            <w:tcW w:w="6854" w:type="dxa"/>
            <w:tcBorders>
              <w:top w:val="single" w:color="auto" w:sz="4" w:space="0"/>
              <w:left w:val="single" w:color="auto" w:sz="4" w:space="0"/>
              <w:bottom w:val="single" w:color="auto" w:sz="4" w:space="0"/>
              <w:right w:val="single" w:color="auto" w:sz="4" w:space="0"/>
            </w:tcBorders>
            <w:shd w:val="clear" w:color="auto" w:fill="auto"/>
          </w:tcPr>
          <w:p>
            <w:pPr>
              <w:widowControl w:val="0"/>
              <w:adjustRightInd/>
              <w:snapToGrid/>
              <w:spacing w:after="0" w:line="340" w:lineRule="exact"/>
              <w:jc w:val="both"/>
              <w:rPr>
                <w:rFonts w:ascii="仿宋" w:hAnsi="仿宋" w:eastAsia="仿宋" w:cs="Times New Roman"/>
                <w:bCs/>
                <w:iCs/>
                <w:color w:val="000000"/>
                <w:kern w:val="2"/>
                <w:sz w:val="28"/>
                <w:szCs w:val="24"/>
              </w:rPr>
            </w:pPr>
            <w:r>
              <w:rPr>
                <w:rFonts w:hint="eastAsia" w:ascii="仿宋" w:hAnsi="仿宋" w:eastAsia="仿宋" w:cs="Times New Roman"/>
                <w:bCs/>
                <w:iCs/>
                <w:color w:val="000000"/>
                <w:kern w:val="2"/>
                <w:sz w:val="28"/>
                <w:szCs w:val="24"/>
              </w:rPr>
              <w:t>2020年10月29日</w:t>
            </w:r>
          </w:p>
        </w:tc>
      </w:tr>
    </w:tbl>
    <w:p>
      <w:pPr>
        <w:spacing w:line="220" w:lineRule="atLeast"/>
      </w:pPr>
    </w:p>
    <w:sectPr>
      <w:footerReference r:id="rId3" w:type="even"/>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816" w:y="-143"/>
      <w:tabs>
        <w:tab w:val="center" w:pos="4153"/>
        <w:tab w:val="right" w:pos="8306"/>
      </w:tabs>
      <w:ind w:left="440" w:hanging="44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r>
      <w:rPr>
        <w:rFonts w:hint="eastAsia" w:ascii="宋体" w:hAnsi="宋体"/>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50D9"/>
    <w:rsid w:val="000352F0"/>
    <w:rsid w:val="00052091"/>
    <w:rsid w:val="000900FC"/>
    <w:rsid w:val="000A7C1A"/>
    <w:rsid w:val="000B4794"/>
    <w:rsid w:val="000C513F"/>
    <w:rsid w:val="000F5B2D"/>
    <w:rsid w:val="0010352B"/>
    <w:rsid w:val="00103835"/>
    <w:rsid w:val="001078D7"/>
    <w:rsid w:val="0016164A"/>
    <w:rsid w:val="001B1FF5"/>
    <w:rsid w:val="001B3D71"/>
    <w:rsid w:val="001D6F2A"/>
    <w:rsid w:val="0020439F"/>
    <w:rsid w:val="00262D53"/>
    <w:rsid w:val="00291178"/>
    <w:rsid w:val="002B2E68"/>
    <w:rsid w:val="002D767F"/>
    <w:rsid w:val="002F2E53"/>
    <w:rsid w:val="00323B43"/>
    <w:rsid w:val="00354182"/>
    <w:rsid w:val="00366912"/>
    <w:rsid w:val="003714D4"/>
    <w:rsid w:val="003A1C4A"/>
    <w:rsid w:val="003D37D8"/>
    <w:rsid w:val="004023C9"/>
    <w:rsid w:val="004238E0"/>
    <w:rsid w:val="00426133"/>
    <w:rsid w:val="004355DB"/>
    <w:rsid w:val="004358AB"/>
    <w:rsid w:val="0045461D"/>
    <w:rsid w:val="00463D4D"/>
    <w:rsid w:val="004822CC"/>
    <w:rsid w:val="00485E20"/>
    <w:rsid w:val="004C6D35"/>
    <w:rsid w:val="00551191"/>
    <w:rsid w:val="00580D7C"/>
    <w:rsid w:val="005D2CB0"/>
    <w:rsid w:val="00620E5D"/>
    <w:rsid w:val="00636E01"/>
    <w:rsid w:val="006D1294"/>
    <w:rsid w:val="006F6766"/>
    <w:rsid w:val="00712476"/>
    <w:rsid w:val="00714476"/>
    <w:rsid w:val="00723AA7"/>
    <w:rsid w:val="00752956"/>
    <w:rsid w:val="0078710E"/>
    <w:rsid w:val="007A3870"/>
    <w:rsid w:val="00890668"/>
    <w:rsid w:val="008B1294"/>
    <w:rsid w:val="008B7726"/>
    <w:rsid w:val="008E616D"/>
    <w:rsid w:val="00941BAC"/>
    <w:rsid w:val="009425BD"/>
    <w:rsid w:val="00953956"/>
    <w:rsid w:val="009671C7"/>
    <w:rsid w:val="0097668E"/>
    <w:rsid w:val="009F6427"/>
    <w:rsid w:val="00A3450A"/>
    <w:rsid w:val="00A535C3"/>
    <w:rsid w:val="00A7456F"/>
    <w:rsid w:val="00A7591A"/>
    <w:rsid w:val="00A815BC"/>
    <w:rsid w:val="00A93F01"/>
    <w:rsid w:val="00AB6DAF"/>
    <w:rsid w:val="00AF02EA"/>
    <w:rsid w:val="00B27A5B"/>
    <w:rsid w:val="00B32D78"/>
    <w:rsid w:val="00B67CD0"/>
    <w:rsid w:val="00BF65A6"/>
    <w:rsid w:val="00C06EBA"/>
    <w:rsid w:val="00C11DBF"/>
    <w:rsid w:val="00C74A42"/>
    <w:rsid w:val="00C77AF1"/>
    <w:rsid w:val="00CD0739"/>
    <w:rsid w:val="00CE6825"/>
    <w:rsid w:val="00D03101"/>
    <w:rsid w:val="00D0598D"/>
    <w:rsid w:val="00D31D50"/>
    <w:rsid w:val="00D33FA4"/>
    <w:rsid w:val="00D72C5E"/>
    <w:rsid w:val="00D73D58"/>
    <w:rsid w:val="00D80191"/>
    <w:rsid w:val="00D9731A"/>
    <w:rsid w:val="00DE29FC"/>
    <w:rsid w:val="00E23958"/>
    <w:rsid w:val="00E3694F"/>
    <w:rsid w:val="00ED239F"/>
    <w:rsid w:val="00EE131D"/>
    <w:rsid w:val="00EF434E"/>
    <w:rsid w:val="00EF4D3F"/>
    <w:rsid w:val="00F35107"/>
    <w:rsid w:val="00F3692B"/>
    <w:rsid w:val="00F53741"/>
    <w:rsid w:val="00F71143"/>
    <w:rsid w:val="00F75BDD"/>
    <w:rsid w:val="70A54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163</Words>
  <Characters>932</Characters>
  <Lines>7</Lines>
  <Paragraphs>2</Paragraphs>
  <TotalTime>133</TotalTime>
  <ScaleCrop>false</ScaleCrop>
  <LinksUpToDate>false</LinksUpToDate>
  <CharactersWithSpaces>1093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宋家麒</cp:lastModifiedBy>
  <dcterms:modified xsi:type="dcterms:W3CDTF">2020-11-02T09:08:04Z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