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C10" w:rsidRPr="00565394" w:rsidRDefault="00EE1C10" w:rsidP="00E055AC">
      <w:pPr>
        <w:spacing w:beforeLines="50" w:before="156" w:afterLines="50" w:after="156" w:line="400" w:lineRule="exact"/>
        <w:rPr>
          <w:rFonts w:eastAsia="华文楷体"/>
          <w:bCs/>
          <w:iCs/>
          <w:color w:val="000000"/>
          <w:szCs w:val="21"/>
        </w:rPr>
      </w:pPr>
      <w:bookmarkStart w:id="0" w:name="_GoBack"/>
      <w:bookmarkEnd w:id="0"/>
      <w:r w:rsidRPr="00565394">
        <w:rPr>
          <w:rFonts w:eastAsia="华文楷体"/>
          <w:bCs/>
          <w:iCs/>
          <w:color w:val="000000"/>
          <w:szCs w:val="21"/>
        </w:rPr>
        <w:t>证券代码：</w:t>
      </w:r>
      <w:r w:rsidR="00A63FE4" w:rsidRPr="00565394">
        <w:rPr>
          <w:rFonts w:eastAsia="华文楷体"/>
          <w:bCs/>
          <w:iCs/>
          <w:color w:val="000000"/>
          <w:szCs w:val="21"/>
        </w:rPr>
        <w:t>000553</w:t>
      </w:r>
      <w:r w:rsidR="00A63FE4" w:rsidRPr="00565394">
        <w:rPr>
          <w:rFonts w:eastAsia="华文楷体"/>
          <w:bCs/>
          <w:iCs/>
          <w:color w:val="000000"/>
          <w:szCs w:val="21"/>
        </w:rPr>
        <w:t>（</w:t>
      </w:r>
      <w:r w:rsidR="00A63FE4" w:rsidRPr="00565394">
        <w:rPr>
          <w:rFonts w:eastAsia="华文楷体"/>
          <w:bCs/>
          <w:iCs/>
          <w:color w:val="000000"/>
          <w:szCs w:val="21"/>
        </w:rPr>
        <w:t>200553</w:t>
      </w:r>
      <w:r w:rsidR="00A63FE4" w:rsidRPr="00565394">
        <w:rPr>
          <w:rFonts w:eastAsia="华文楷体"/>
          <w:bCs/>
          <w:iCs/>
          <w:color w:val="000000"/>
          <w:szCs w:val="21"/>
        </w:rPr>
        <w:t>）</w:t>
      </w:r>
      <w:r w:rsidRPr="00565394">
        <w:rPr>
          <w:rFonts w:eastAsia="华文楷体"/>
          <w:bCs/>
          <w:iCs/>
          <w:color w:val="000000"/>
          <w:szCs w:val="21"/>
        </w:rPr>
        <w:t xml:space="preserve">                         </w:t>
      </w:r>
      <w:r w:rsidRPr="00565394">
        <w:rPr>
          <w:rFonts w:eastAsia="华文楷体"/>
          <w:bCs/>
          <w:iCs/>
          <w:color w:val="000000"/>
          <w:szCs w:val="21"/>
        </w:rPr>
        <w:t>证券简称：</w:t>
      </w:r>
      <w:r w:rsidR="00A63FE4" w:rsidRPr="00565394">
        <w:rPr>
          <w:rFonts w:eastAsia="华文楷体"/>
          <w:bCs/>
          <w:iCs/>
          <w:color w:val="000000"/>
          <w:szCs w:val="21"/>
        </w:rPr>
        <w:t>安道麦</w:t>
      </w:r>
      <w:r w:rsidR="00A63FE4" w:rsidRPr="00565394">
        <w:rPr>
          <w:rFonts w:eastAsia="华文楷体"/>
          <w:bCs/>
          <w:iCs/>
          <w:color w:val="000000"/>
          <w:szCs w:val="21"/>
        </w:rPr>
        <w:t>A/</w:t>
      </w:r>
      <w:r w:rsidR="00A63FE4" w:rsidRPr="00565394">
        <w:rPr>
          <w:rFonts w:eastAsia="华文楷体"/>
          <w:bCs/>
          <w:iCs/>
          <w:color w:val="000000"/>
          <w:szCs w:val="21"/>
        </w:rPr>
        <w:t>安道麦</w:t>
      </w:r>
      <w:r w:rsidR="00A63FE4" w:rsidRPr="00565394">
        <w:rPr>
          <w:rFonts w:eastAsia="华文楷体"/>
          <w:bCs/>
          <w:iCs/>
          <w:color w:val="000000"/>
          <w:szCs w:val="21"/>
        </w:rPr>
        <w:t>B</w:t>
      </w:r>
    </w:p>
    <w:p w:rsidR="00A63FE4" w:rsidRPr="00565394" w:rsidRDefault="00A63FE4" w:rsidP="00E055AC">
      <w:pPr>
        <w:spacing w:beforeLines="50" w:before="156" w:afterLines="50" w:after="156" w:line="400" w:lineRule="exact"/>
        <w:jc w:val="center"/>
        <w:rPr>
          <w:rFonts w:eastAsia="华文楷体"/>
          <w:b/>
          <w:bCs/>
          <w:iCs/>
          <w:color w:val="000000"/>
          <w:sz w:val="24"/>
          <w:szCs w:val="21"/>
        </w:rPr>
      </w:pPr>
    </w:p>
    <w:p w:rsidR="00EE1C10" w:rsidRPr="00565394" w:rsidRDefault="00A63FE4" w:rsidP="00E055AC">
      <w:pPr>
        <w:spacing w:beforeLines="50" w:before="156" w:afterLines="50" w:after="156" w:line="400" w:lineRule="exact"/>
        <w:jc w:val="center"/>
        <w:rPr>
          <w:rFonts w:eastAsia="华文楷体"/>
          <w:b/>
          <w:bCs/>
          <w:iCs/>
          <w:color w:val="000000"/>
          <w:sz w:val="24"/>
          <w:szCs w:val="21"/>
        </w:rPr>
      </w:pPr>
      <w:r w:rsidRPr="00565394">
        <w:rPr>
          <w:rFonts w:eastAsia="华文楷体"/>
          <w:b/>
          <w:bCs/>
          <w:iCs/>
          <w:color w:val="000000"/>
          <w:sz w:val="32"/>
        </w:rPr>
        <w:t>安道麦</w:t>
      </w:r>
      <w:r w:rsidR="00EE1C10" w:rsidRPr="00565394">
        <w:rPr>
          <w:rFonts w:eastAsia="华文楷体"/>
          <w:b/>
          <w:bCs/>
          <w:iCs/>
          <w:color w:val="000000"/>
          <w:sz w:val="32"/>
        </w:rPr>
        <w:t>股份有限公司投资者关系活动记录表</w:t>
      </w:r>
    </w:p>
    <w:p w:rsidR="00EE1C10" w:rsidRPr="00565394" w:rsidRDefault="00EE1C10" w:rsidP="00EE1C10">
      <w:pPr>
        <w:spacing w:line="400" w:lineRule="exact"/>
        <w:rPr>
          <w:rFonts w:eastAsia="华文楷体"/>
          <w:bCs/>
          <w:iCs/>
          <w:color w:val="000000"/>
          <w:szCs w:val="21"/>
        </w:rPr>
      </w:pPr>
      <w:r w:rsidRPr="00565394">
        <w:rPr>
          <w:rFonts w:eastAsia="华文楷体"/>
          <w:bCs/>
          <w:iCs/>
          <w:color w:val="000000"/>
          <w:szCs w:val="21"/>
        </w:rPr>
        <w:t xml:space="preserve">                                                         </w:t>
      </w:r>
      <w:r w:rsidRPr="00565394">
        <w:rPr>
          <w:rFonts w:eastAsia="华文楷体"/>
          <w:bCs/>
          <w:iCs/>
          <w:color w:val="000000"/>
          <w:szCs w:val="21"/>
        </w:rPr>
        <w:t>编号：</w:t>
      </w:r>
      <w:r w:rsidR="00A31FAF">
        <w:rPr>
          <w:rFonts w:eastAsia="华文楷体" w:hint="eastAsia"/>
          <w:bCs/>
          <w:iCs/>
          <w:color w:val="000000"/>
          <w:szCs w:val="21"/>
        </w:rPr>
        <w:t>2</w:t>
      </w:r>
      <w:r w:rsidR="00A31FAF">
        <w:rPr>
          <w:rFonts w:eastAsia="华文楷体"/>
          <w:bCs/>
          <w:iCs/>
          <w:color w:val="000000"/>
          <w:szCs w:val="21"/>
        </w:rPr>
        <w:t>020</w:t>
      </w:r>
      <w:r w:rsidR="00A31FAF">
        <w:rPr>
          <w:rFonts w:eastAsia="华文楷体" w:hint="eastAsia"/>
          <w:bCs/>
          <w:iCs/>
          <w:color w:val="000000"/>
          <w:szCs w:val="21"/>
        </w:rPr>
        <w:t>-</w:t>
      </w:r>
      <w:r w:rsidR="00A31FAF">
        <w:rPr>
          <w:rFonts w:eastAsia="华文楷体"/>
          <w:bCs/>
          <w:iCs/>
          <w:color w:val="000000"/>
          <w:szCs w:val="21"/>
        </w:rPr>
        <w:t>0</w:t>
      </w:r>
      <w:r w:rsidR="00F51844">
        <w:rPr>
          <w:rFonts w:eastAsia="华文楷体"/>
          <w:bCs/>
          <w:iCs/>
          <w:color w:val="000000"/>
          <w:szCs w:val="21"/>
        </w:rPr>
        <w:t>4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1702"/>
        <w:gridCol w:w="7229"/>
      </w:tblGrid>
      <w:tr w:rsidR="00EE1C10" w:rsidRPr="00565394" w:rsidTr="004314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FD" w:rsidRDefault="00EE1C10" w:rsidP="005B3BAE">
            <w:pPr>
              <w:spacing w:line="480" w:lineRule="atLeast"/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投资者关系</w:t>
            </w:r>
          </w:p>
          <w:p w:rsidR="00EE1C10" w:rsidRPr="00565394" w:rsidRDefault="00EE1C10" w:rsidP="005B3BAE">
            <w:pPr>
              <w:spacing w:line="480" w:lineRule="atLeast"/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活动类别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9636A5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565394">
              <w:rPr>
                <w:rFonts w:eastAsia="华文楷体"/>
                <w:sz w:val="21"/>
                <w:szCs w:val="21"/>
              </w:rPr>
              <w:t>特定对象调研</w:t>
            </w:r>
            <w:r w:rsidR="00EE1C10" w:rsidRPr="00565394">
              <w:rPr>
                <w:rFonts w:eastAsia="华文楷体"/>
                <w:sz w:val="21"/>
                <w:szCs w:val="21"/>
              </w:rPr>
              <w:t xml:space="preserve">       </w:t>
            </w:r>
            <w:r w:rsidR="00565394">
              <w:rPr>
                <w:rFonts w:eastAsia="华文楷体"/>
                <w:sz w:val="21"/>
                <w:szCs w:val="21"/>
              </w:rPr>
              <w:t xml:space="preserve">   </w:t>
            </w:r>
            <w:r w:rsidR="00EE1C10" w:rsidRPr="00565394">
              <w:rPr>
                <w:rFonts w:eastAsia="华文楷体"/>
                <w:sz w:val="21"/>
                <w:szCs w:val="21"/>
              </w:rPr>
              <w:t xml:space="preserve"> </w:t>
            </w:r>
            <w:r w:rsidR="004F080A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565394">
              <w:rPr>
                <w:rFonts w:eastAsia="华文楷体"/>
                <w:sz w:val="21"/>
                <w:szCs w:val="21"/>
              </w:rPr>
              <w:t>分析师会议</w:t>
            </w:r>
          </w:p>
          <w:p w:rsidR="00EE1C10" w:rsidRPr="00565394" w:rsidRDefault="00EE1C10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媒体采访</w:t>
            </w:r>
            <w:r w:rsidRPr="00565394">
              <w:rPr>
                <w:rFonts w:eastAsia="华文楷体"/>
                <w:sz w:val="21"/>
                <w:szCs w:val="21"/>
              </w:rPr>
              <w:t xml:space="preserve">        </w:t>
            </w:r>
            <w:r w:rsidR="00565394">
              <w:rPr>
                <w:rFonts w:eastAsia="华文楷体"/>
                <w:sz w:val="21"/>
                <w:szCs w:val="21"/>
              </w:rPr>
              <w:t xml:space="preserve">   </w:t>
            </w:r>
            <w:r w:rsidRPr="00565394">
              <w:rPr>
                <w:rFonts w:eastAsia="华文楷体"/>
                <w:sz w:val="21"/>
                <w:szCs w:val="21"/>
              </w:rPr>
              <w:t xml:space="preserve">    </w:t>
            </w:r>
            <w:r w:rsidR="004F080A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业绩说明会</w:t>
            </w:r>
          </w:p>
          <w:p w:rsidR="00EE1C10" w:rsidRPr="00565394" w:rsidRDefault="00EE1C10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新闻发布会</w:t>
            </w:r>
            <w:r w:rsidRPr="00565394">
              <w:rPr>
                <w:rFonts w:eastAsia="华文楷体"/>
                <w:sz w:val="21"/>
                <w:szCs w:val="21"/>
              </w:rPr>
              <w:t xml:space="preserve">       </w:t>
            </w:r>
            <w:r w:rsidR="00565394">
              <w:rPr>
                <w:rFonts w:eastAsia="华文楷体"/>
                <w:sz w:val="21"/>
                <w:szCs w:val="21"/>
              </w:rPr>
              <w:t xml:space="preserve">   </w:t>
            </w:r>
            <w:r w:rsidRPr="00565394">
              <w:rPr>
                <w:rFonts w:eastAsia="华文楷体"/>
                <w:sz w:val="21"/>
                <w:szCs w:val="21"/>
              </w:rPr>
              <w:t xml:space="preserve">   </w:t>
            </w:r>
            <w:r w:rsidR="00A63FE4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路演活动</w:t>
            </w:r>
          </w:p>
          <w:p w:rsidR="00EE1C10" w:rsidRPr="00565394" w:rsidRDefault="00EE1C10" w:rsidP="005B3BAE">
            <w:pPr>
              <w:tabs>
                <w:tab w:val="left" w:pos="3045"/>
                <w:tab w:val="center" w:pos="3199"/>
              </w:tabs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Pr="00565394">
              <w:rPr>
                <w:rFonts w:eastAsia="华文楷体"/>
                <w:sz w:val="21"/>
                <w:szCs w:val="21"/>
              </w:rPr>
              <w:t>现场参观</w:t>
            </w:r>
          </w:p>
          <w:p w:rsidR="00EE1C10" w:rsidRPr="00565394" w:rsidRDefault="00C87159" w:rsidP="005B3BAE">
            <w:pPr>
              <w:tabs>
                <w:tab w:val="center" w:pos="3199"/>
              </w:tabs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565394">
              <w:rPr>
                <w:rFonts w:eastAsia="华文楷体"/>
                <w:sz w:val="21"/>
                <w:szCs w:val="21"/>
              </w:rPr>
              <w:t>其他</w:t>
            </w:r>
            <w:r w:rsidR="002515C0" w:rsidRPr="00565394">
              <w:rPr>
                <w:rFonts w:eastAsia="华文楷体"/>
                <w:sz w:val="21"/>
                <w:szCs w:val="21"/>
              </w:rPr>
              <w:t xml:space="preserve"> </w:t>
            </w:r>
            <w:r w:rsidR="002515C0" w:rsidRPr="00565394">
              <w:rPr>
                <w:rFonts w:eastAsia="华文楷体"/>
                <w:sz w:val="21"/>
                <w:szCs w:val="21"/>
              </w:rPr>
              <w:t>（投行会议）</w:t>
            </w:r>
          </w:p>
        </w:tc>
      </w:tr>
      <w:tr w:rsidR="00EE1C10" w:rsidRPr="00565394" w:rsidTr="00431428">
        <w:trPr>
          <w:trHeight w:val="4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A6048" w:rsidP="00853994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光大证券、中金公司、兴业证券、天风证券、海通证券、东兴证券、招商证券、</w:t>
            </w:r>
            <w:r w:rsidR="001B37F9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银国际</w:t>
            </w:r>
            <w:r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证券</w:t>
            </w:r>
            <w:r w:rsidR="009B20C5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、南京证券、汇丰前海证券、</w:t>
            </w:r>
            <w:r w:rsidR="00F51844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国联证券、申万宏源</w:t>
            </w:r>
            <w:r w:rsidR="00E446EE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等十余家卖方分析师</w:t>
            </w:r>
          </w:p>
        </w:tc>
      </w:tr>
      <w:tr w:rsidR="00EE1C10" w:rsidRPr="00565394" w:rsidTr="00431428">
        <w:trPr>
          <w:trHeight w:val="4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43629D" w:rsidP="009636A5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20</w:t>
            </w:r>
            <w:r w:rsidR="002F3F16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20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年</w:t>
            </w:r>
            <w:r w:rsidR="00F5184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10</w:t>
            </w:r>
            <w:r w:rsidR="00A63FE4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月</w:t>
            </w:r>
            <w:r w:rsidR="00F5184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29</w:t>
            </w:r>
            <w:r w:rsidR="00A63FE4"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日</w:t>
            </w:r>
            <w:r w:rsidR="001A05EA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下午</w:t>
            </w:r>
          </w:p>
        </w:tc>
      </w:tr>
      <w:tr w:rsidR="00EE1C10" w:rsidRPr="00565394" w:rsidTr="00431428">
        <w:trPr>
          <w:trHeight w:val="3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A63FE4" w:rsidP="005B3BAE">
            <w:pPr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北京</w:t>
            </w:r>
          </w:p>
        </w:tc>
      </w:tr>
      <w:tr w:rsidR="00EE1C10" w:rsidRPr="00565394" w:rsidTr="00431428">
        <w:trPr>
          <w:trHeight w:val="4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28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上市公司</w:t>
            </w:r>
          </w:p>
          <w:p w:rsidR="00EE1C10" w:rsidRPr="00565394" w:rsidRDefault="00EE1C10" w:rsidP="005B3BAE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接待人员姓名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A63FE4" w:rsidP="00731E3E">
            <w:pPr>
              <w:jc w:val="left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总裁兼首席执行官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Ignacio Dominguez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，副首席执行官兼首席财务官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 xml:space="preserve"> Aviram Lahav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，</w:t>
            </w:r>
            <w:r w:rsidR="00773EFD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公司发展及</w:t>
            </w:r>
            <w:r w:rsidR="001B37F9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并购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执行总监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Wayne Rudolph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，首席公司事务运营官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 xml:space="preserve"> </w:t>
            </w: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康鑫</w:t>
            </w:r>
          </w:p>
        </w:tc>
      </w:tr>
      <w:tr w:rsidR="00EE1C10" w:rsidRPr="00565394" w:rsidTr="004314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431428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EE" w:rsidRPr="00527AA3" w:rsidRDefault="003F5C08" w:rsidP="00527AA3">
            <w:pPr>
              <w:snapToGrid w:val="0"/>
              <w:spacing w:beforeLines="100" w:before="312" w:afterLines="100" w:after="312" w:line="320" w:lineRule="exact"/>
              <w:ind w:firstLineChars="200" w:firstLine="420"/>
              <w:rPr>
                <w:rFonts w:eastAsia="KaiTi"/>
                <w:sz w:val="21"/>
                <w:szCs w:val="21"/>
                <w:lang w:val="zh-TW"/>
              </w:rPr>
            </w:pPr>
            <w:r w:rsidRPr="00527AA3">
              <w:rPr>
                <w:rFonts w:eastAsia="KaiTi"/>
                <w:sz w:val="21"/>
                <w:szCs w:val="21"/>
                <w:lang w:val="zh-TW"/>
              </w:rPr>
              <w:t>本次说明会采用电话会议的形式。</w:t>
            </w:r>
          </w:p>
          <w:p w:rsidR="00CC12EA" w:rsidRPr="00527AA3" w:rsidRDefault="003F5C08" w:rsidP="00527AA3">
            <w:pPr>
              <w:snapToGrid w:val="0"/>
              <w:spacing w:afterLines="100" w:after="312" w:line="320" w:lineRule="exact"/>
              <w:ind w:firstLineChars="200" w:firstLine="420"/>
              <w:rPr>
                <w:rFonts w:eastAsia="KaiTi"/>
                <w:sz w:val="21"/>
                <w:szCs w:val="21"/>
                <w:lang w:val="zh-TW" w:eastAsia="zh-TW"/>
              </w:rPr>
            </w:pP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公司总裁兼首席执行官多明阁（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Ignacio Dominguez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）</w:t>
            </w:r>
            <w:r w:rsidR="00F51844" w:rsidRPr="00527AA3">
              <w:rPr>
                <w:rFonts w:eastAsia="KaiTi"/>
                <w:sz w:val="21"/>
                <w:szCs w:val="21"/>
                <w:lang w:val="zh-TW" w:eastAsia="zh-TW"/>
              </w:rPr>
              <w:t>以及</w:t>
            </w:r>
            <w:r w:rsidR="00F51844" w:rsidRPr="00527AA3">
              <w:rPr>
                <w:rFonts w:eastAsia="KaiTi"/>
                <w:bCs/>
                <w:iCs/>
                <w:color w:val="000000"/>
                <w:sz w:val="21"/>
                <w:szCs w:val="21"/>
              </w:rPr>
              <w:t>公司发展及并购执行总监</w:t>
            </w:r>
            <w:r w:rsidR="00F51844" w:rsidRPr="00527AA3">
              <w:rPr>
                <w:rFonts w:eastAsia="KaiTi"/>
                <w:bCs/>
                <w:iCs/>
                <w:color w:val="000000"/>
                <w:sz w:val="21"/>
                <w:szCs w:val="21"/>
              </w:rPr>
              <w:t>Wayne Rudolph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首先</w:t>
            </w:r>
            <w:r w:rsidR="00493E59" w:rsidRPr="00527AA3">
              <w:rPr>
                <w:rFonts w:eastAsia="KaiTi"/>
                <w:sz w:val="21"/>
                <w:szCs w:val="21"/>
                <w:lang w:val="zh-TW" w:eastAsia="zh-TW"/>
              </w:rPr>
              <w:t>介绍了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公司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2020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年</w:t>
            </w:r>
            <w:r w:rsidR="00F51844" w:rsidRPr="00527AA3">
              <w:rPr>
                <w:rFonts w:eastAsia="KaiTi"/>
                <w:sz w:val="21"/>
                <w:szCs w:val="21"/>
                <w:lang w:val="zh-TW" w:eastAsia="zh-TW"/>
              </w:rPr>
              <w:t>三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季度业绩情况</w:t>
            </w:r>
            <w:r w:rsidR="00493E59" w:rsidRPr="00527AA3">
              <w:rPr>
                <w:rFonts w:eastAsia="KaiTi"/>
                <w:sz w:val="21"/>
                <w:szCs w:val="21"/>
                <w:lang w:val="zh-TW" w:eastAsia="zh-TW"/>
              </w:rPr>
              <w:t>，随后</w:t>
            </w:r>
            <w:r w:rsidR="00C13626" w:rsidRPr="00527AA3">
              <w:rPr>
                <w:rFonts w:eastAsia="KaiTi"/>
                <w:sz w:val="21"/>
                <w:szCs w:val="21"/>
                <w:lang w:val="zh-TW" w:eastAsia="zh-TW"/>
              </w:rPr>
              <w:t>多明阁与</w:t>
            </w:r>
            <w:r w:rsidR="00C13626" w:rsidRPr="00527AA3">
              <w:rPr>
                <w:rFonts w:eastAsia="KaiTi"/>
                <w:sz w:val="21"/>
                <w:szCs w:val="21"/>
                <w:lang w:val="zh-TW" w:eastAsia="zh-TW"/>
              </w:rPr>
              <w:t>Aviram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回答</w:t>
            </w:r>
            <w:r w:rsidR="00C13626" w:rsidRPr="00527AA3">
              <w:rPr>
                <w:rFonts w:eastAsia="KaiTi"/>
                <w:sz w:val="21"/>
                <w:szCs w:val="21"/>
                <w:lang w:val="zh-TW" w:eastAsia="zh-TW"/>
              </w:rPr>
              <w:t>了</w:t>
            </w:r>
            <w:r w:rsidR="004F080A" w:rsidRPr="00527AA3">
              <w:rPr>
                <w:rFonts w:eastAsia="KaiTi"/>
                <w:sz w:val="21"/>
                <w:szCs w:val="21"/>
                <w:lang w:val="zh-TW" w:eastAsia="zh-TW"/>
              </w:rPr>
              <w:t>分析师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关心的问题。</w:t>
            </w:r>
          </w:p>
          <w:p w:rsidR="003F5C08" w:rsidRPr="00527AA3" w:rsidRDefault="00F51844" w:rsidP="00527AA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 w:line="320" w:lineRule="exact"/>
              <w:ind w:left="0" w:firstLineChars="0" w:firstLine="31"/>
              <w:rPr>
                <w:rFonts w:eastAsia="KaiTi"/>
                <w:sz w:val="21"/>
                <w:szCs w:val="21"/>
                <w:lang w:val="zh-TW" w:eastAsia="zh-TW"/>
              </w:rPr>
            </w:pPr>
            <w:r w:rsidRPr="00527AA3">
              <w:rPr>
                <w:rFonts w:eastAsia="KaiTi"/>
                <w:sz w:val="21"/>
                <w:szCs w:val="21"/>
                <w:lang w:val="zh-TW"/>
              </w:rPr>
              <w:t>公司对辉丰原药产品的布局的看法或计划？</w:t>
            </w:r>
            <w:r w:rsidR="00540BE5" w:rsidRPr="00527AA3">
              <w:rPr>
                <w:rFonts w:eastAsia="KaiTi"/>
                <w:sz w:val="21"/>
                <w:szCs w:val="21"/>
                <w:lang w:val="zh-TW" w:eastAsia="zh-TW"/>
              </w:rPr>
              <w:t xml:space="preserve"> </w:t>
            </w:r>
          </w:p>
          <w:p w:rsidR="00F51844" w:rsidRPr="00527AA3" w:rsidRDefault="00F51844" w:rsidP="00527AA3">
            <w:pPr>
              <w:tabs>
                <w:tab w:val="left" w:pos="314"/>
              </w:tabs>
              <w:snapToGrid w:val="0"/>
              <w:spacing w:afterLines="30" w:after="93" w:line="320" w:lineRule="exact"/>
              <w:rPr>
                <w:rFonts w:eastAsia="KaiTi"/>
                <w:szCs w:val="21"/>
                <w:lang w:val="zh-TW" w:eastAsia="zh-TW"/>
              </w:rPr>
            </w:pPr>
            <w:r w:rsidRPr="00527AA3">
              <w:rPr>
                <w:rFonts w:eastAsia="KaiTi"/>
                <w:szCs w:val="21"/>
                <w:lang w:val="zh-TW" w:eastAsia="zh-TW"/>
              </w:rPr>
              <w:t>回答：交割完成后，辉丰能给安道麦带来专业的原药生产能力。辉丰目前多数产品已经复产，尚有几个产品等待复产。公司未来将保持辉丰的原药生产布局及实力，同时以辉丰的原药为基础开发更多新制剂产品，在未来更好地将辉丰的产品</w:t>
            </w:r>
            <w:r w:rsidR="003C0A58" w:rsidRPr="00527AA3">
              <w:rPr>
                <w:rFonts w:eastAsia="KaiTi"/>
                <w:szCs w:val="21"/>
                <w:lang w:val="zh-TW" w:eastAsia="zh-TW"/>
              </w:rPr>
              <w:t>纳入</w:t>
            </w:r>
            <w:r w:rsidRPr="00527AA3">
              <w:rPr>
                <w:rFonts w:eastAsia="KaiTi"/>
                <w:szCs w:val="21"/>
                <w:lang w:val="zh-TW" w:eastAsia="zh-TW"/>
              </w:rPr>
              <w:t>安道麦的</w:t>
            </w:r>
            <w:r w:rsidR="003C0A58" w:rsidRPr="00527AA3">
              <w:rPr>
                <w:rFonts w:eastAsia="KaiTi"/>
                <w:szCs w:val="21"/>
                <w:lang w:val="zh-TW" w:eastAsia="zh-TW"/>
              </w:rPr>
              <w:t>产品</w:t>
            </w:r>
            <w:r w:rsidRPr="00527AA3">
              <w:rPr>
                <w:rFonts w:eastAsia="KaiTi"/>
                <w:szCs w:val="21"/>
                <w:lang w:val="zh-TW" w:eastAsia="zh-TW"/>
              </w:rPr>
              <w:t>线。</w:t>
            </w:r>
          </w:p>
          <w:p w:rsidR="003C0A58" w:rsidRPr="00527AA3" w:rsidRDefault="003C0A58" w:rsidP="00527AA3">
            <w:pPr>
              <w:tabs>
                <w:tab w:val="left" w:pos="0"/>
              </w:tabs>
              <w:snapToGrid w:val="0"/>
              <w:spacing w:afterLines="30" w:after="93" w:line="320" w:lineRule="exact"/>
              <w:rPr>
                <w:rFonts w:eastAsia="KaiTi"/>
                <w:szCs w:val="21"/>
                <w:lang w:val="zh-TW" w:eastAsia="zh-TW"/>
              </w:rPr>
            </w:pPr>
          </w:p>
          <w:p w:rsidR="003C0A58" w:rsidRPr="00527AA3" w:rsidRDefault="003C0A58" w:rsidP="00527AA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 w:line="320" w:lineRule="exact"/>
              <w:ind w:left="0" w:firstLineChars="0" w:firstLine="0"/>
              <w:rPr>
                <w:rFonts w:eastAsia="KaiTi"/>
                <w:szCs w:val="21"/>
                <w:lang w:val="zh-TW" w:eastAsia="zh-TW"/>
              </w:rPr>
            </w:pPr>
            <w:r w:rsidRPr="00527AA3">
              <w:rPr>
                <w:rFonts w:eastAsia="KaiTi"/>
                <w:szCs w:val="21"/>
                <w:lang w:val="zh-TW" w:eastAsia="zh-TW"/>
              </w:rPr>
              <w:t>请问荆州厂区搬迁进度如何？</w:t>
            </w:r>
            <w:r w:rsidR="00540BE5" w:rsidRPr="00527AA3">
              <w:rPr>
                <w:rFonts w:eastAsia="KaiTi"/>
                <w:szCs w:val="21"/>
                <w:lang w:val="zh-TW" w:eastAsia="zh-TW"/>
              </w:rPr>
              <w:t>公司收购辉丰植保业务后</w:t>
            </w:r>
            <w:r w:rsidR="00540BE5" w:rsidRPr="00527AA3">
              <w:rPr>
                <w:rFonts w:eastAsia="KaiTi"/>
                <w:sz w:val="21"/>
                <w:szCs w:val="21"/>
                <w:lang w:val="zh-TW"/>
              </w:rPr>
              <w:t>未来是否有新产品的相关规划？</w:t>
            </w:r>
            <w:r w:rsidR="00153186" w:rsidRPr="00527AA3">
              <w:rPr>
                <w:rFonts w:eastAsia="KaiTi"/>
                <w:szCs w:val="21"/>
                <w:lang w:val="zh-TW"/>
              </w:rPr>
              <w:t>海外疫情对公司需求的影响</w:t>
            </w:r>
            <w:r w:rsidR="00244738" w:rsidRPr="00527AA3">
              <w:rPr>
                <w:rFonts w:eastAsia="KaiTi"/>
                <w:szCs w:val="21"/>
                <w:lang w:val="zh-TW"/>
              </w:rPr>
              <w:t>如何</w:t>
            </w:r>
            <w:r w:rsidR="00153186" w:rsidRPr="00527AA3">
              <w:rPr>
                <w:rFonts w:eastAsia="KaiTi"/>
                <w:szCs w:val="21"/>
                <w:lang w:val="zh-TW"/>
              </w:rPr>
              <w:t>？</w:t>
            </w:r>
          </w:p>
          <w:p w:rsidR="003C0A58" w:rsidRPr="00527AA3" w:rsidRDefault="00540BE5" w:rsidP="00527AA3">
            <w:pPr>
              <w:tabs>
                <w:tab w:val="left" w:pos="314"/>
              </w:tabs>
              <w:snapToGrid w:val="0"/>
              <w:spacing w:afterLines="30" w:after="93" w:line="320" w:lineRule="exact"/>
              <w:rPr>
                <w:rFonts w:eastAsia="KaiTi"/>
                <w:szCs w:val="21"/>
                <w:lang w:val="zh-TW" w:eastAsia="zh-TW"/>
              </w:rPr>
            </w:pPr>
            <w:r w:rsidRPr="00527AA3">
              <w:rPr>
                <w:rFonts w:eastAsia="KaiTi"/>
                <w:szCs w:val="21"/>
                <w:lang w:val="zh-TW" w:eastAsia="zh-TW"/>
              </w:rPr>
              <w:t>回答：收购辉丰的相关植保资产是践行公司中国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领航</w:t>
            </w:r>
            <w:r w:rsidRPr="00527AA3">
              <w:rPr>
                <w:rFonts w:eastAsia="KaiTi"/>
                <w:szCs w:val="21"/>
                <w:lang w:val="zh-TW" w:eastAsia="zh-TW"/>
              </w:rPr>
              <w:t>战略的重要举措。中国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领航</w:t>
            </w:r>
            <w:r w:rsidRPr="00527AA3">
              <w:rPr>
                <w:rFonts w:eastAsia="KaiTi"/>
                <w:szCs w:val="21"/>
                <w:lang w:val="zh-TW" w:eastAsia="zh-TW"/>
              </w:rPr>
              <w:t>是安道麦三大战略支柱之一。荆州基地搬迁也是基于这个战略考虑。今后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荆州和辉丰</w:t>
            </w:r>
            <w:r w:rsidRPr="00527AA3">
              <w:rPr>
                <w:rFonts w:eastAsia="KaiTi"/>
                <w:szCs w:val="21"/>
                <w:lang w:val="zh-TW" w:eastAsia="zh-TW"/>
              </w:rPr>
              <w:t>两大生产基地将发挥相互补充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、</w:t>
            </w:r>
            <w:r w:rsidRPr="00527AA3">
              <w:rPr>
                <w:rFonts w:eastAsia="KaiTi"/>
                <w:szCs w:val="21"/>
                <w:lang w:val="zh-TW" w:eastAsia="zh-TW"/>
              </w:rPr>
              <w:t>相互加强的作用。一同去增强我们在中国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和</w:t>
            </w:r>
            <w:r w:rsidRPr="00527AA3">
              <w:rPr>
                <w:rFonts w:eastAsia="KaiTi"/>
                <w:szCs w:val="21"/>
                <w:lang w:val="zh-TW" w:eastAsia="zh-TW"/>
              </w:rPr>
              <w:t>世界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植保市场</w:t>
            </w:r>
            <w:r w:rsidRPr="00527AA3">
              <w:rPr>
                <w:rFonts w:eastAsia="KaiTi"/>
                <w:szCs w:val="21"/>
                <w:lang w:val="zh-TW" w:eastAsia="zh-TW"/>
              </w:rPr>
              <w:t>的影响力，未来的布局设计会向着协同增效的方向进行。荆州基地老厂区的搬迁进度因为今年年初</w:t>
            </w:r>
            <w:r w:rsidR="00153186" w:rsidRPr="00527AA3">
              <w:rPr>
                <w:rFonts w:eastAsia="KaiTi"/>
                <w:szCs w:val="21"/>
                <w:lang w:val="zh-TW" w:eastAsia="zh-TW"/>
              </w:rPr>
              <w:t>的</w:t>
            </w:r>
            <w:r w:rsidRPr="00527AA3">
              <w:rPr>
                <w:rFonts w:eastAsia="KaiTi"/>
                <w:szCs w:val="21"/>
                <w:lang w:val="zh-TW" w:eastAsia="zh-TW"/>
              </w:rPr>
              <w:t>疫情以及</w:t>
            </w:r>
            <w:r w:rsidR="00153186" w:rsidRPr="00527AA3">
              <w:rPr>
                <w:rFonts w:eastAsia="KaiTi"/>
                <w:szCs w:val="21"/>
                <w:lang w:val="zh-TW" w:eastAsia="zh-TW"/>
              </w:rPr>
              <w:t>年中洪</w:t>
            </w:r>
            <w:r w:rsidRPr="00527AA3">
              <w:rPr>
                <w:rFonts w:eastAsia="KaiTi"/>
                <w:szCs w:val="21"/>
                <w:lang w:val="zh-TW" w:eastAsia="zh-TW"/>
              </w:rPr>
              <w:t>水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而</w:t>
            </w:r>
            <w:r w:rsidR="00153186" w:rsidRPr="00527AA3">
              <w:rPr>
                <w:rFonts w:eastAsia="KaiTi"/>
                <w:szCs w:val="21"/>
                <w:lang w:val="zh-TW" w:eastAsia="zh-TW"/>
              </w:rPr>
              <w:t>面临</w:t>
            </w:r>
            <w:r w:rsidRPr="00527AA3">
              <w:rPr>
                <w:rFonts w:eastAsia="KaiTi"/>
                <w:szCs w:val="21"/>
                <w:lang w:val="zh-TW" w:eastAsia="zh-TW"/>
              </w:rPr>
              <w:t>一些挑战，目前我们</w:t>
            </w:r>
            <w:r w:rsidR="00153186" w:rsidRPr="00527AA3">
              <w:rPr>
                <w:rFonts w:eastAsia="KaiTi"/>
                <w:szCs w:val="21"/>
                <w:lang w:val="zh-TW" w:eastAsia="zh-TW"/>
              </w:rPr>
              <w:t>正在</w:t>
            </w:r>
            <w:r w:rsidRPr="00527AA3">
              <w:rPr>
                <w:rFonts w:eastAsia="KaiTi"/>
                <w:szCs w:val="21"/>
                <w:lang w:val="zh-TW" w:eastAsia="zh-TW"/>
              </w:rPr>
              <w:t>全速推进搬迁</w:t>
            </w:r>
            <w:r w:rsidR="00153186" w:rsidRPr="00527AA3">
              <w:rPr>
                <w:rFonts w:eastAsia="KaiTi"/>
                <w:szCs w:val="21"/>
                <w:lang w:val="zh-TW" w:eastAsia="zh-TW"/>
              </w:rPr>
              <w:t>工作</w:t>
            </w:r>
            <w:r w:rsidRPr="00527AA3">
              <w:rPr>
                <w:rFonts w:eastAsia="KaiTi"/>
                <w:szCs w:val="21"/>
                <w:lang w:val="zh-TW" w:eastAsia="zh-TW"/>
              </w:rPr>
              <w:t>，预计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建设</w:t>
            </w:r>
            <w:r w:rsidR="00153186" w:rsidRPr="00527AA3">
              <w:rPr>
                <w:rFonts w:eastAsia="KaiTi"/>
                <w:szCs w:val="21"/>
                <w:lang w:val="zh-TW" w:eastAsia="zh-TW"/>
              </w:rPr>
              <w:t>中的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装置</w:t>
            </w:r>
            <w:r w:rsidR="00153186" w:rsidRPr="00527AA3">
              <w:rPr>
                <w:rFonts w:eastAsia="KaiTi"/>
                <w:szCs w:val="21"/>
                <w:lang w:val="zh-TW" w:eastAsia="zh-TW"/>
              </w:rPr>
              <w:t>将</w:t>
            </w:r>
            <w:r w:rsidRPr="00527AA3">
              <w:rPr>
                <w:rFonts w:eastAsia="KaiTi"/>
                <w:szCs w:val="21"/>
                <w:lang w:val="zh-TW" w:eastAsia="zh-TW"/>
              </w:rPr>
              <w:t>在明年实现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投产</w:t>
            </w:r>
            <w:r w:rsidRPr="00527AA3">
              <w:rPr>
                <w:rFonts w:eastAsia="KaiTi"/>
                <w:szCs w:val="21"/>
                <w:lang w:val="zh-TW" w:eastAsia="zh-TW"/>
              </w:rPr>
              <w:t>。</w:t>
            </w:r>
          </w:p>
          <w:p w:rsidR="003C0A58" w:rsidRPr="00527AA3" w:rsidRDefault="00153186" w:rsidP="00527AA3">
            <w:pPr>
              <w:tabs>
                <w:tab w:val="left" w:pos="314"/>
              </w:tabs>
              <w:snapToGrid w:val="0"/>
              <w:spacing w:afterLines="30" w:after="93" w:line="320" w:lineRule="exact"/>
              <w:rPr>
                <w:rFonts w:eastAsia="KaiTi"/>
                <w:szCs w:val="21"/>
                <w:lang w:val="zh-TW" w:eastAsia="zh-TW"/>
              </w:rPr>
            </w:pPr>
            <w:r w:rsidRPr="00527AA3">
              <w:rPr>
                <w:rFonts w:eastAsia="KaiTi"/>
                <w:szCs w:val="21"/>
                <w:lang w:val="zh-TW" w:eastAsia="zh-TW"/>
              </w:rPr>
              <w:t>新冠疫情不一定在总量上削弱市场需求，有时会在公司年初未预料的领域出现新的需求。以巴西为例，巴西的销售额及销量在报告期内均实现大幅增长，这表明</w:t>
            </w:r>
            <w:r w:rsidRPr="00527AA3">
              <w:rPr>
                <w:rFonts w:eastAsia="KaiTi"/>
                <w:szCs w:val="21"/>
                <w:lang w:val="zh-TW" w:eastAsia="zh-TW"/>
              </w:rPr>
              <w:lastRenderedPageBreak/>
              <w:t>当地市场对农产品、粮食及食品的需求并没有减弱。但往往是其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它</w:t>
            </w:r>
            <w:r w:rsidRPr="00527AA3">
              <w:rPr>
                <w:rFonts w:eastAsia="KaiTi"/>
                <w:szCs w:val="21"/>
                <w:lang w:val="zh-TW" w:eastAsia="zh-TW"/>
              </w:rPr>
              <w:t>一些</w:t>
            </w:r>
            <w:r w:rsidR="003539B7">
              <w:rPr>
                <w:rFonts w:eastAsia="KaiTi" w:hint="eastAsia"/>
                <w:szCs w:val="21"/>
                <w:lang w:val="zh-TW" w:eastAsia="zh-TW"/>
              </w:rPr>
              <w:t>因素</w:t>
            </w:r>
            <w:r w:rsidRPr="00527AA3">
              <w:rPr>
                <w:rFonts w:eastAsia="KaiTi"/>
                <w:szCs w:val="21"/>
                <w:lang w:val="zh-TW" w:eastAsia="zh-TW"/>
              </w:rPr>
              <w:t>比如说汇率波动，会影响我们的业绩水平。</w:t>
            </w:r>
          </w:p>
          <w:p w:rsidR="00244738" w:rsidRPr="00527AA3" w:rsidRDefault="00244738" w:rsidP="00527AA3">
            <w:pPr>
              <w:tabs>
                <w:tab w:val="left" w:pos="314"/>
              </w:tabs>
              <w:snapToGrid w:val="0"/>
              <w:spacing w:afterLines="30" w:after="93" w:line="320" w:lineRule="exact"/>
              <w:rPr>
                <w:rFonts w:eastAsia="KaiTi"/>
                <w:szCs w:val="21"/>
                <w:lang w:val="zh-TW" w:eastAsia="zh-TW"/>
              </w:rPr>
            </w:pPr>
          </w:p>
          <w:p w:rsidR="00527AA3" w:rsidRPr="00527AA3" w:rsidRDefault="00244738" w:rsidP="00527AA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 w:line="320" w:lineRule="exact"/>
              <w:ind w:left="0" w:firstLineChars="0" w:firstLine="0"/>
              <w:rPr>
                <w:rFonts w:eastAsia="KaiTi"/>
                <w:szCs w:val="21"/>
                <w:lang w:val="zh-TW" w:eastAsia="zh-TW"/>
              </w:rPr>
            </w:pPr>
            <w:r w:rsidRPr="00527AA3">
              <w:rPr>
                <w:rFonts w:eastAsia="KaiTi"/>
                <w:szCs w:val="21"/>
                <w:lang w:val="zh-TW" w:eastAsia="zh-TW"/>
              </w:rPr>
              <w:t>荆州基地完成搬迁后明年的投产节奏？以及投产预计明年能够带来收入和利润的增量？</w:t>
            </w:r>
          </w:p>
          <w:p w:rsidR="00527AA3" w:rsidRPr="00527AA3" w:rsidRDefault="00527AA3" w:rsidP="00527AA3">
            <w:pPr>
              <w:snapToGrid w:val="0"/>
              <w:spacing w:afterLines="30" w:after="93" w:line="320" w:lineRule="exact"/>
              <w:rPr>
                <w:rFonts w:eastAsia="KaiTi"/>
                <w:sz w:val="21"/>
                <w:szCs w:val="21"/>
                <w:lang w:val="zh-TW" w:eastAsia="zh-TW"/>
              </w:rPr>
            </w:pP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回答：公司最初的规划是在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2020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年底完成荆州基地老厂区搬迁，受今年疫情和洪水的影响，</w:t>
            </w:r>
            <w:r w:rsidR="003539B7">
              <w:rPr>
                <w:rFonts w:eastAsia="KaiTi" w:hint="eastAsia"/>
                <w:sz w:val="21"/>
                <w:szCs w:val="21"/>
                <w:lang w:val="zh-TW" w:eastAsia="zh-TW"/>
              </w:rPr>
              <w:t>进度有所延后，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目前计划在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2021</w:t>
            </w: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年一季度完成搬迁。公司和地方政府保持着密切协商和沟通，力争将新老厂区生产衔接对业务的影响降至最低。衔接期间对业务的影响与当前情况相比不会存在较大差异。待荆州基地恢复满负荷运营，公司将逐步恢复此前在相关具体产品的市场地位。</w:t>
            </w:r>
          </w:p>
          <w:p w:rsidR="00527AA3" w:rsidRPr="00527AA3" w:rsidRDefault="00527AA3" w:rsidP="00527AA3">
            <w:pPr>
              <w:tabs>
                <w:tab w:val="left" w:pos="314"/>
              </w:tabs>
              <w:snapToGrid w:val="0"/>
              <w:spacing w:afterLines="30" w:after="93" w:line="320" w:lineRule="exact"/>
              <w:rPr>
                <w:rFonts w:eastAsia="KaiTi"/>
                <w:szCs w:val="21"/>
                <w:lang w:val="zh-TW" w:eastAsia="zh-TW"/>
              </w:rPr>
            </w:pPr>
          </w:p>
          <w:p w:rsidR="00244738" w:rsidRPr="00527AA3" w:rsidRDefault="00244738" w:rsidP="00527AA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napToGrid w:val="0"/>
              <w:spacing w:afterLines="30" w:after="93" w:line="320" w:lineRule="exact"/>
              <w:ind w:left="0" w:firstLineChars="0" w:firstLine="0"/>
              <w:rPr>
                <w:rFonts w:eastAsia="KaiTi"/>
                <w:szCs w:val="21"/>
                <w:lang w:val="zh-TW" w:eastAsia="zh-TW"/>
              </w:rPr>
            </w:pPr>
            <w:r w:rsidRPr="00527AA3">
              <w:rPr>
                <w:rFonts w:eastAsia="KaiTi"/>
                <w:szCs w:val="21"/>
                <w:lang w:val="zh-TW" w:eastAsia="zh-TW"/>
              </w:rPr>
              <w:t>终端市场销售价格全球各区域的走势如何？</w:t>
            </w:r>
          </w:p>
          <w:p w:rsidR="006022AF" w:rsidRPr="00527AA3" w:rsidRDefault="00527AA3" w:rsidP="00527AA3">
            <w:pPr>
              <w:snapToGrid w:val="0"/>
              <w:spacing w:afterLines="30" w:after="93" w:line="320" w:lineRule="exact"/>
              <w:rPr>
                <w:rFonts w:eastAsia="KaiTi"/>
                <w:sz w:val="21"/>
                <w:szCs w:val="21"/>
                <w:lang w:val="zh-TW" w:eastAsia="zh-TW"/>
              </w:rPr>
            </w:pPr>
            <w:r w:rsidRPr="00527AA3">
              <w:rPr>
                <w:rFonts w:eastAsia="KaiTi"/>
                <w:sz w:val="21"/>
                <w:szCs w:val="21"/>
                <w:lang w:val="zh-TW" w:eastAsia="zh-TW"/>
              </w:rPr>
              <w:t>回答：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关于价格走势，有三个因素会综合影响到价格。第一是供应，我们现在看到供应端原料的价格正在下降</w:t>
            </w:r>
            <w:r w:rsidR="003539B7">
              <w:rPr>
                <w:rFonts w:asciiTheme="minorEastAsia" w:eastAsiaTheme="minorEastAsia" w:hAnsiTheme="minorEastAsia" w:hint="eastAsia"/>
                <w:sz w:val="21"/>
                <w:szCs w:val="21"/>
                <w:lang w:val="zh-TW" w:eastAsia="zh-TW"/>
              </w:rPr>
              <w:t>；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主要原因是中国国内的供应商、生产商基本上恢复产能；也有一部分因素是来自于印度。第二是汇率的影响，</w:t>
            </w:r>
            <w:r w:rsidR="003539B7">
              <w:rPr>
                <w:rFonts w:eastAsia="KaiTi" w:hint="eastAsia"/>
                <w:sz w:val="21"/>
                <w:szCs w:val="21"/>
                <w:lang w:val="zh-TW" w:eastAsia="zh-TW"/>
              </w:rPr>
              <w:t>我们在全球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各地市场主要以本地货币</w:t>
            </w:r>
            <w:r w:rsidR="003539B7">
              <w:rPr>
                <w:rFonts w:eastAsia="KaiTi" w:hint="eastAsia"/>
                <w:sz w:val="21"/>
                <w:szCs w:val="21"/>
                <w:lang w:val="zh-TW" w:eastAsia="zh-TW"/>
              </w:rPr>
              <w:t>销售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，在</w:t>
            </w:r>
            <w:r w:rsidR="003539B7">
              <w:rPr>
                <w:rFonts w:eastAsia="KaiTi" w:hint="eastAsia"/>
                <w:sz w:val="21"/>
                <w:szCs w:val="21"/>
                <w:lang w:val="zh-TW" w:eastAsia="zh-TW"/>
              </w:rPr>
              <w:t>诸多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不稳定因素存在的情况下，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提价应对本地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货币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贬值的压力是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可以想见的。第三是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市场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需求，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这因不同的区域</w:t>
            </w:r>
            <w:r w:rsidR="00042060">
              <w:rPr>
                <w:rFonts w:eastAsia="KaiTi" w:hint="eastAsia"/>
                <w:sz w:val="21"/>
                <w:szCs w:val="21"/>
                <w:lang w:val="zh-TW" w:eastAsia="zh-TW"/>
              </w:rPr>
              <w:t>和产品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市场而异，部分市场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的需求呈现积极的发展，比如说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谷物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和大豆，坚挺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的需求会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带动价格的上涨</w:t>
            </w:r>
            <w:r w:rsidR="00CF29B1" w:rsidRPr="00527AA3">
              <w:rPr>
                <w:rFonts w:eastAsia="KaiTi"/>
                <w:sz w:val="21"/>
                <w:szCs w:val="21"/>
                <w:lang w:val="zh-TW" w:eastAsia="zh-TW"/>
              </w:rPr>
              <w:t>；部分市场需求则存在不确定因素。在三项因素综合影响的环境下，按照公司意愿调整销售价格存在难度，但公司会力争实现价格提升</w:t>
            </w:r>
            <w:r w:rsidR="00720FD8" w:rsidRPr="00527AA3">
              <w:rPr>
                <w:rFonts w:eastAsia="KaiTi"/>
                <w:sz w:val="21"/>
                <w:szCs w:val="21"/>
                <w:lang w:val="zh-TW" w:eastAsia="zh-TW"/>
              </w:rPr>
              <w:t>。</w:t>
            </w:r>
          </w:p>
        </w:tc>
      </w:tr>
      <w:tr w:rsidR="00EE1C10" w:rsidRPr="00565394" w:rsidTr="004314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C21A8C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lastRenderedPageBreak/>
              <w:t>附件清单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A31FAF" w:rsidRDefault="002D1697" w:rsidP="00C21A8C">
            <w:pPr>
              <w:jc w:val="left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《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2020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年</w:t>
            </w:r>
            <w:r w:rsidR="00527AA3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三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季度</w:t>
            </w:r>
            <w:r w:rsidR="00EA6048"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经营</w:t>
            </w:r>
            <w:r w:rsidR="003F5C08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业绩介绍幻灯片</w:t>
            </w:r>
            <w:r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》</w:t>
            </w:r>
            <w:r w:rsidR="006B0B04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（请参见</w:t>
            </w:r>
            <w:proofErr w:type="gramStart"/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公司官网</w:t>
            </w:r>
            <w:proofErr w:type="gramEnd"/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(</w:t>
            </w:r>
            <w:hyperlink r:id="rId7" w:history="1">
              <w:r w:rsidR="00387E1E" w:rsidRPr="00A31FAF">
                <w:rPr>
                  <w:rStyle w:val="ad"/>
                  <w:rFonts w:eastAsia="华文楷体"/>
                  <w:bCs/>
                  <w:iCs/>
                  <w:sz w:val="21"/>
                  <w:szCs w:val="21"/>
                </w:rPr>
                <w:t>www.adama.com</w:t>
              </w:r>
            </w:hyperlink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 xml:space="preserve">) </w:t>
            </w:r>
            <w:r w:rsidR="006B0B04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投资者</w:t>
            </w:r>
            <w:r w:rsidR="00387E1E"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关系板块</w:t>
            </w:r>
            <w:r w:rsidR="00EA6048"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）</w:t>
            </w:r>
          </w:p>
        </w:tc>
      </w:tr>
      <w:tr w:rsidR="00EE1C10" w:rsidRPr="00565394" w:rsidTr="00431428">
        <w:trPr>
          <w:trHeight w:val="3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565394" w:rsidRDefault="00EE1C10" w:rsidP="00C21A8C">
            <w:pPr>
              <w:jc w:val="center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565394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A31FAF" w:rsidRDefault="00EA6048" w:rsidP="00EA6048">
            <w:pPr>
              <w:jc w:val="left"/>
              <w:rPr>
                <w:rFonts w:eastAsia="华文楷体"/>
                <w:bCs/>
                <w:iCs/>
                <w:color w:val="000000"/>
                <w:sz w:val="21"/>
                <w:szCs w:val="21"/>
              </w:rPr>
            </w:pP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2</w:t>
            </w:r>
            <w:r w:rsidRPr="00A31FAF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020</w:t>
            </w: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527AA3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11</w:t>
            </w: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527AA3">
              <w:rPr>
                <w:rFonts w:eastAsia="华文楷体"/>
                <w:bCs/>
                <w:iCs/>
                <w:color w:val="000000"/>
                <w:sz w:val="21"/>
                <w:szCs w:val="21"/>
              </w:rPr>
              <w:t>2</w:t>
            </w:r>
            <w:r w:rsidRPr="00A31FAF">
              <w:rPr>
                <w:rFonts w:eastAsia="华文楷体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633" w:rsidRDefault="00547633" w:rsidP="00D96584">
      <w:r>
        <w:separator/>
      </w:r>
    </w:p>
  </w:endnote>
  <w:endnote w:type="continuationSeparator" w:id="0">
    <w:p w:rsidR="00547633" w:rsidRDefault="00547633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633" w:rsidRDefault="00547633" w:rsidP="00D96584">
      <w:r>
        <w:separator/>
      </w:r>
    </w:p>
  </w:footnote>
  <w:footnote w:type="continuationSeparator" w:id="0">
    <w:p w:rsidR="00547633" w:rsidRDefault="00547633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B069AA"/>
    <w:multiLevelType w:val="hybridMultilevel"/>
    <w:tmpl w:val="A7AE6DD4"/>
    <w:lvl w:ilvl="0" w:tplc="BDA88F7A">
      <w:start w:val="1"/>
      <w:numFmt w:val="decimal"/>
      <w:lvlText w:val="%1."/>
      <w:lvlJc w:val="left"/>
      <w:pPr>
        <w:ind w:left="780" w:hanging="360"/>
      </w:pPr>
      <w:rPr>
        <w:rFonts w:eastAsia="华文楷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10"/>
    <w:rsid w:val="000115DB"/>
    <w:rsid w:val="000244EC"/>
    <w:rsid w:val="00042060"/>
    <w:rsid w:val="00043512"/>
    <w:rsid w:val="0005090F"/>
    <w:rsid w:val="000675E5"/>
    <w:rsid w:val="00083D6A"/>
    <w:rsid w:val="000A2DF8"/>
    <w:rsid w:val="000B10C5"/>
    <w:rsid w:val="000B3693"/>
    <w:rsid w:val="000B41B6"/>
    <w:rsid w:val="000B7C2B"/>
    <w:rsid w:val="000D7E54"/>
    <w:rsid w:val="00101C48"/>
    <w:rsid w:val="00105404"/>
    <w:rsid w:val="00130F3C"/>
    <w:rsid w:val="00141EA9"/>
    <w:rsid w:val="001434EB"/>
    <w:rsid w:val="001516B8"/>
    <w:rsid w:val="00153186"/>
    <w:rsid w:val="0015535F"/>
    <w:rsid w:val="00161A96"/>
    <w:rsid w:val="00197FFA"/>
    <w:rsid w:val="001A05EA"/>
    <w:rsid w:val="001B30F7"/>
    <w:rsid w:val="001B33AC"/>
    <w:rsid w:val="001B37F9"/>
    <w:rsid w:val="001B72DE"/>
    <w:rsid w:val="001C10A8"/>
    <w:rsid w:val="001C4C8A"/>
    <w:rsid w:val="001D2529"/>
    <w:rsid w:val="001D5474"/>
    <w:rsid w:val="001E2C63"/>
    <w:rsid w:val="00210939"/>
    <w:rsid w:val="00211480"/>
    <w:rsid w:val="00217D1A"/>
    <w:rsid w:val="00227050"/>
    <w:rsid w:val="002444E9"/>
    <w:rsid w:val="00244738"/>
    <w:rsid w:val="002515C0"/>
    <w:rsid w:val="002721F3"/>
    <w:rsid w:val="002862AB"/>
    <w:rsid w:val="002A36E3"/>
    <w:rsid w:val="002B200E"/>
    <w:rsid w:val="002B4EAA"/>
    <w:rsid w:val="002B5D00"/>
    <w:rsid w:val="002D1697"/>
    <w:rsid w:val="002F3F16"/>
    <w:rsid w:val="003317E5"/>
    <w:rsid w:val="0033281A"/>
    <w:rsid w:val="003539B7"/>
    <w:rsid w:val="00354883"/>
    <w:rsid w:val="00375010"/>
    <w:rsid w:val="003777D5"/>
    <w:rsid w:val="00387E1E"/>
    <w:rsid w:val="003B107D"/>
    <w:rsid w:val="003B721F"/>
    <w:rsid w:val="003C0A58"/>
    <w:rsid w:val="003C375D"/>
    <w:rsid w:val="003C42A4"/>
    <w:rsid w:val="003D660A"/>
    <w:rsid w:val="003E3F79"/>
    <w:rsid w:val="003F144D"/>
    <w:rsid w:val="003F5C08"/>
    <w:rsid w:val="003F79D6"/>
    <w:rsid w:val="00411DFB"/>
    <w:rsid w:val="00413B4B"/>
    <w:rsid w:val="00431428"/>
    <w:rsid w:val="0043629D"/>
    <w:rsid w:val="004368AF"/>
    <w:rsid w:val="00442349"/>
    <w:rsid w:val="0045059E"/>
    <w:rsid w:val="00461C9C"/>
    <w:rsid w:val="00471475"/>
    <w:rsid w:val="00493E59"/>
    <w:rsid w:val="0049405C"/>
    <w:rsid w:val="00497C7E"/>
    <w:rsid w:val="004A729E"/>
    <w:rsid w:val="004B47B1"/>
    <w:rsid w:val="004B5397"/>
    <w:rsid w:val="004F080A"/>
    <w:rsid w:val="004F6F03"/>
    <w:rsid w:val="004F7269"/>
    <w:rsid w:val="00511122"/>
    <w:rsid w:val="0051123B"/>
    <w:rsid w:val="00516DDC"/>
    <w:rsid w:val="00527AA3"/>
    <w:rsid w:val="00534687"/>
    <w:rsid w:val="00535D6F"/>
    <w:rsid w:val="00540BE5"/>
    <w:rsid w:val="005464C3"/>
    <w:rsid w:val="00547633"/>
    <w:rsid w:val="00550AAD"/>
    <w:rsid w:val="00550FD9"/>
    <w:rsid w:val="00565394"/>
    <w:rsid w:val="0058124C"/>
    <w:rsid w:val="005B3BAE"/>
    <w:rsid w:val="005E254B"/>
    <w:rsid w:val="005E33CA"/>
    <w:rsid w:val="006022AF"/>
    <w:rsid w:val="006070AF"/>
    <w:rsid w:val="006114A1"/>
    <w:rsid w:val="00622C3A"/>
    <w:rsid w:val="00623A26"/>
    <w:rsid w:val="0063326E"/>
    <w:rsid w:val="0063428E"/>
    <w:rsid w:val="006350C6"/>
    <w:rsid w:val="006367B7"/>
    <w:rsid w:val="00651DA7"/>
    <w:rsid w:val="00684A13"/>
    <w:rsid w:val="00696E9A"/>
    <w:rsid w:val="006A1753"/>
    <w:rsid w:val="006A7B25"/>
    <w:rsid w:val="006B0B04"/>
    <w:rsid w:val="006C2F87"/>
    <w:rsid w:val="006C5210"/>
    <w:rsid w:val="006E4D55"/>
    <w:rsid w:val="006F64B3"/>
    <w:rsid w:val="00714440"/>
    <w:rsid w:val="00720FD8"/>
    <w:rsid w:val="007221DC"/>
    <w:rsid w:val="00731E3E"/>
    <w:rsid w:val="00740C1A"/>
    <w:rsid w:val="00761259"/>
    <w:rsid w:val="00773EFD"/>
    <w:rsid w:val="00776E06"/>
    <w:rsid w:val="00777BC7"/>
    <w:rsid w:val="00793203"/>
    <w:rsid w:val="007B597D"/>
    <w:rsid w:val="007C213F"/>
    <w:rsid w:val="007D430B"/>
    <w:rsid w:val="00803207"/>
    <w:rsid w:val="0082259D"/>
    <w:rsid w:val="008439B9"/>
    <w:rsid w:val="00845B88"/>
    <w:rsid w:val="00853994"/>
    <w:rsid w:val="008608B9"/>
    <w:rsid w:val="008615CF"/>
    <w:rsid w:val="00862CF2"/>
    <w:rsid w:val="008710F9"/>
    <w:rsid w:val="00871835"/>
    <w:rsid w:val="00880699"/>
    <w:rsid w:val="0089673B"/>
    <w:rsid w:val="008A4E3E"/>
    <w:rsid w:val="008B3EDE"/>
    <w:rsid w:val="008C111F"/>
    <w:rsid w:val="008E1776"/>
    <w:rsid w:val="008E295A"/>
    <w:rsid w:val="008E5C13"/>
    <w:rsid w:val="008F16A2"/>
    <w:rsid w:val="00921892"/>
    <w:rsid w:val="00930952"/>
    <w:rsid w:val="00941F1C"/>
    <w:rsid w:val="00951547"/>
    <w:rsid w:val="00951BAE"/>
    <w:rsid w:val="009636A5"/>
    <w:rsid w:val="009669D0"/>
    <w:rsid w:val="009B20C5"/>
    <w:rsid w:val="009C4894"/>
    <w:rsid w:val="009C5679"/>
    <w:rsid w:val="009E293D"/>
    <w:rsid w:val="009E72D0"/>
    <w:rsid w:val="009F13CD"/>
    <w:rsid w:val="009F5D62"/>
    <w:rsid w:val="009F7C07"/>
    <w:rsid w:val="00A06B39"/>
    <w:rsid w:val="00A115A1"/>
    <w:rsid w:val="00A140B8"/>
    <w:rsid w:val="00A1521F"/>
    <w:rsid w:val="00A31FAF"/>
    <w:rsid w:val="00A414BA"/>
    <w:rsid w:val="00A63FE4"/>
    <w:rsid w:val="00A71C70"/>
    <w:rsid w:val="00A72B82"/>
    <w:rsid w:val="00A73917"/>
    <w:rsid w:val="00A87A56"/>
    <w:rsid w:val="00AA20E4"/>
    <w:rsid w:val="00AA5A95"/>
    <w:rsid w:val="00AB21CB"/>
    <w:rsid w:val="00AB47CE"/>
    <w:rsid w:val="00AB67BB"/>
    <w:rsid w:val="00AD676E"/>
    <w:rsid w:val="00B14297"/>
    <w:rsid w:val="00B14E42"/>
    <w:rsid w:val="00B17ECB"/>
    <w:rsid w:val="00B31C4E"/>
    <w:rsid w:val="00B454CA"/>
    <w:rsid w:val="00B64B7F"/>
    <w:rsid w:val="00B65391"/>
    <w:rsid w:val="00B708D6"/>
    <w:rsid w:val="00B71E2E"/>
    <w:rsid w:val="00B84A84"/>
    <w:rsid w:val="00B85561"/>
    <w:rsid w:val="00B87DE4"/>
    <w:rsid w:val="00BB741D"/>
    <w:rsid w:val="00BE078D"/>
    <w:rsid w:val="00BE11BC"/>
    <w:rsid w:val="00BE3743"/>
    <w:rsid w:val="00BE7ABD"/>
    <w:rsid w:val="00C12E89"/>
    <w:rsid w:val="00C13626"/>
    <w:rsid w:val="00C21A8C"/>
    <w:rsid w:val="00C25870"/>
    <w:rsid w:val="00C30CA5"/>
    <w:rsid w:val="00C35BCB"/>
    <w:rsid w:val="00C51515"/>
    <w:rsid w:val="00C51768"/>
    <w:rsid w:val="00C74E70"/>
    <w:rsid w:val="00C81677"/>
    <w:rsid w:val="00C87159"/>
    <w:rsid w:val="00CA0689"/>
    <w:rsid w:val="00CA0A31"/>
    <w:rsid w:val="00CA1629"/>
    <w:rsid w:val="00CB4AC9"/>
    <w:rsid w:val="00CC12EA"/>
    <w:rsid w:val="00CC5714"/>
    <w:rsid w:val="00CF29B1"/>
    <w:rsid w:val="00CF7823"/>
    <w:rsid w:val="00D03DFD"/>
    <w:rsid w:val="00D06801"/>
    <w:rsid w:val="00D1106B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7317"/>
    <w:rsid w:val="00E446EE"/>
    <w:rsid w:val="00E50C4A"/>
    <w:rsid w:val="00E61297"/>
    <w:rsid w:val="00E733AB"/>
    <w:rsid w:val="00EA6048"/>
    <w:rsid w:val="00EB364F"/>
    <w:rsid w:val="00EC46BB"/>
    <w:rsid w:val="00ED5C0B"/>
    <w:rsid w:val="00EE1C10"/>
    <w:rsid w:val="00EE4F68"/>
    <w:rsid w:val="00EE7C01"/>
    <w:rsid w:val="00F07C38"/>
    <w:rsid w:val="00F16F75"/>
    <w:rsid w:val="00F50B59"/>
    <w:rsid w:val="00F51844"/>
    <w:rsid w:val="00F628CA"/>
    <w:rsid w:val="00F66AD9"/>
    <w:rsid w:val="00F82A67"/>
    <w:rsid w:val="00F864A6"/>
    <w:rsid w:val="00FA1FC9"/>
    <w:rsid w:val="00FA7D26"/>
    <w:rsid w:val="00FC32FA"/>
    <w:rsid w:val="00FD0E95"/>
    <w:rsid w:val="00FD1A20"/>
    <w:rsid w:val="00FE093E"/>
    <w:rsid w:val="00FE4AFD"/>
    <w:rsid w:val="00FF0263"/>
    <w:rsid w:val="00FF2FC1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BFB44-5219-41E4-AC62-FE5F7E7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1"/>
    <w:autoRedefine/>
    <w:uiPriority w:val="99"/>
    <w:qFormat/>
    <w:rsid w:val="00C21A8C"/>
    <w:pPr>
      <w:widowControl/>
      <w:numPr>
        <w:numId w:val="5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SimHei" w:eastAsia="SimHei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1">
    <w:name w:val="标题 3 字符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8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1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2">
    <w:name w:val="样式3"/>
    <w:basedOn w:val="CM189ArialGB2312078"/>
    <w:link w:val="3Char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">
    <w:name w:val="样式3 Char"/>
    <w:link w:val="32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8"/>
    <w:qFormat/>
    <w:rsid w:val="00130F3C"/>
    <w:pPr>
      <w:numPr>
        <w:numId w:val="3"/>
      </w:numPr>
      <w:ind w:firstLineChars="0" w:firstLine="0"/>
    </w:pPr>
    <w:rPr>
      <w:rFonts w:ascii="SimHei" w:eastAsia="SimHei" w:hAnsi="SimHe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91B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3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0">
    <w:name w:val="标题 2 字符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page number"/>
    <w:uiPriority w:val="99"/>
    <w:rsid w:val="002B5D00"/>
    <w:rPr>
      <w:lang w:val="zh-TW" w:eastAsia="zh-TW"/>
    </w:rPr>
  </w:style>
  <w:style w:type="paragraph" w:styleId="ac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character" w:styleId="ad">
    <w:name w:val="Hyperlink"/>
    <w:basedOn w:val="a0"/>
    <w:uiPriority w:val="99"/>
    <w:unhideWhenUsed/>
    <w:rsid w:val="00387E1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87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Company>sdb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Zhujun Wang</cp:lastModifiedBy>
  <cp:revision>3</cp:revision>
  <dcterms:created xsi:type="dcterms:W3CDTF">2020-11-02T11:28:00Z</dcterms:created>
  <dcterms:modified xsi:type="dcterms:W3CDTF">2020-11-02T11:40:00Z</dcterms:modified>
</cp:coreProperties>
</file>