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D7B81" w14:textId="77777777" w:rsidR="0031353D" w:rsidRDefault="00794282">
      <w:pPr>
        <w:spacing w:line="400" w:lineRule="exact"/>
        <w:jc w:val="center"/>
        <w:rPr>
          <w:rFonts w:ascii="宋体"/>
          <w:bCs/>
          <w:iCs/>
          <w:color w:val="000000"/>
          <w:szCs w:val="21"/>
        </w:rPr>
      </w:pPr>
      <w:r>
        <w:rPr>
          <w:rFonts w:ascii="宋体" w:hAnsi="宋体" w:hint="eastAsia"/>
          <w:bCs/>
          <w:iCs/>
          <w:color w:val="000000"/>
          <w:szCs w:val="21"/>
        </w:rPr>
        <w:t>证券代码：</w:t>
      </w:r>
      <w:r>
        <w:rPr>
          <w:rFonts w:ascii="宋体" w:hAnsi="宋体"/>
          <w:bCs/>
          <w:iCs/>
          <w:color w:val="000000"/>
          <w:szCs w:val="21"/>
        </w:rPr>
        <w:t>002</w:t>
      </w:r>
      <w:r w:rsidR="005717DE">
        <w:rPr>
          <w:rFonts w:ascii="宋体" w:hAnsi="宋体" w:hint="eastAsia"/>
          <w:bCs/>
          <w:iCs/>
          <w:color w:val="000000"/>
          <w:szCs w:val="21"/>
        </w:rPr>
        <w:t>605</w:t>
      </w:r>
      <w:r>
        <w:rPr>
          <w:rFonts w:ascii="宋体" w:hAnsi="宋体"/>
          <w:bCs/>
          <w:iCs/>
          <w:color w:val="000000"/>
          <w:szCs w:val="21"/>
        </w:rPr>
        <w:t xml:space="preserve">  </w:t>
      </w:r>
      <w:r>
        <w:rPr>
          <w:rFonts w:ascii="宋体" w:hAnsi="宋体" w:hint="eastAsia"/>
          <w:bCs/>
          <w:iCs/>
          <w:color w:val="000000"/>
          <w:szCs w:val="21"/>
        </w:rPr>
        <w:t xml:space="preserve">       </w:t>
      </w:r>
      <w:r w:rsidR="009D3B0C">
        <w:rPr>
          <w:rFonts w:ascii="宋体" w:hAnsi="宋体" w:hint="eastAsia"/>
          <w:bCs/>
          <w:iCs/>
          <w:color w:val="000000"/>
          <w:szCs w:val="21"/>
        </w:rPr>
        <w:t xml:space="preserve">                              </w:t>
      </w:r>
      <w:r>
        <w:rPr>
          <w:rFonts w:ascii="宋体" w:hAnsi="宋体" w:hint="eastAsia"/>
          <w:bCs/>
          <w:iCs/>
          <w:color w:val="000000"/>
          <w:szCs w:val="21"/>
        </w:rPr>
        <w:t>证券简称：</w:t>
      </w:r>
      <w:r w:rsidR="005717DE">
        <w:rPr>
          <w:rFonts w:ascii="宋体" w:hAnsi="宋体" w:hint="eastAsia"/>
          <w:bCs/>
          <w:iCs/>
          <w:color w:val="000000"/>
          <w:szCs w:val="21"/>
        </w:rPr>
        <w:t>姚记科技</w:t>
      </w:r>
    </w:p>
    <w:p w14:paraId="07D7F981" w14:textId="77777777" w:rsidR="0031353D" w:rsidRDefault="005717DE">
      <w:pPr>
        <w:spacing w:beforeLines="100" w:before="312" w:afterLines="100" w:after="312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上海姚记</w:t>
      </w:r>
      <w:r w:rsidR="00794282">
        <w:rPr>
          <w:rFonts w:ascii="宋体" w:hAnsi="宋体"/>
          <w:b/>
          <w:sz w:val="30"/>
          <w:szCs w:val="30"/>
        </w:rPr>
        <w:t>科技</w:t>
      </w:r>
      <w:r w:rsidR="00794282">
        <w:rPr>
          <w:rFonts w:ascii="宋体" w:hAnsi="宋体" w:hint="eastAsia"/>
          <w:b/>
          <w:sz w:val="30"/>
          <w:szCs w:val="30"/>
        </w:rPr>
        <w:t>股份有限公司</w:t>
      </w:r>
      <w:r w:rsidR="00794282">
        <w:rPr>
          <w:rFonts w:ascii="宋体" w:hAnsi="宋体" w:hint="eastAsia"/>
          <w:b/>
          <w:sz w:val="30"/>
          <w:szCs w:val="30"/>
        </w:rPr>
        <w:br/>
      </w:r>
      <w:r w:rsidR="00794282">
        <w:rPr>
          <w:rFonts w:ascii="宋体" w:hAnsi="宋体" w:hint="eastAsia"/>
          <w:b/>
          <w:bCs/>
          <w:iCs/>
          <w:color w:val="000000"/>
          <w:sz w:val="30"/>
          <w:szCs w:val="30"/>
        </w:rPr>
        <w:t>投资者关系活动记录表</w:t>
      </w:r>
      <w:bookmarkStart w:id="0" w:name="_GoBack"/>
      <w:bookmarkEnd w:id="0"/>
    </w:p>
    <w:p w14:paraId="038B843D" w14:textId="1EAA6DF2" w:rsidR="009D3B0C" w:rsidRPr="009D3B0C" w:rsidRDefault="009D3B0C" w:rsidP="009D3B0C">
      <w:pPr>
        <w:spacing w:line="400" w:lineRule="exact"/>
        <w:jc w:val="right"/>
        <w:rPr>
          <w:rFonts w:ascii="宋体"/>
          <w:bCs/>
          <w:iCs/>
          <w:color w:val="000000"/>
          <w:szCs w:val="21"/>
        </w:rPr>
      </w:pPr>
      <w:r>
        <w:rPr>
          <w:rFonts w:ascii="宋体" w:hAnsi="宋体" w:hint="eastAsia"/>
          <w:bCs/>
          <w:iCs/>
          <w:color w:val="000000"/>
          <w:szCs w:val="21"/>
        </w:rPr>
        <w:t>编号：2020-</w:t>
      </w:r>
      <w:r w:rsidR="00C95C53">
        <w:rPr>
          <w:rFonts w:ascii="宋体" w:hint="eastAsia"/>
          <w:bCs/>
          <w:iCs/>
          <w:color w:val="000000"/>
          <w:szCs w:val="21"/>
        </w:rPr>
        <w:t>005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949"/>
      </w:tblGrid>
      <w:tr w:rsidR="0031353D" w14:paraId="04D109AD" w14:textId="77777777" w:rsidTr="00CC1039">
        <w:trPr>
          <w:trHeight w:val="1390"/>
        </w:trPr>
        <w:tc>
          <w:tcPr>
            <w:tcW w:w="1809" w:type="dxa"/>
            <w:shd w:val="clear" w:color="auto" w:fill="auto"/>
          </w:tcPr>
          <w:p w14:paraId="1A5CB862" w14:textId="77777777" w:rsidR="0031353D" w:rsidRDefault="00794282"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6949" w:type="dxa"/>
            <w:shd w:val="clear" w:color="auto" w:fill="auto"/>
          </w:tcPr>
          <w:p w14:paraId="721A3F1F" w14:textId="77777777" w:rsidR="0031353D" w:rsidRDefault="00794282">
            <w:pPr>
              <w:spacing w:after="100" w:afterAutospacing="1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特定对象调研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分析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师会议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业绩说明会    </w:t>
            </w:r>
          </w:p>
          <w:p w14:paraId="73F478F3" w14:textId="77777777" w:rsidR="0031353D" w:rsidRDefault="00794282">
            <w:pPr>
              <w:spacing w:after="100" w:afterAutospacing="1"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路演活动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现场参观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ab/>
              <w:t xml:space="preserve">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sym w:font="Wingdings 2" w:char="0052"/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其他 </w:t>
            </w:r>
            <w:r>
              <w:rPr>
                <w:rFonts w:ascii="宋体" w:hAnsi="宋体" w:cs="宋体" w:hint="eastAsia"/>
                <w:szCs w:val="21"/>
                <w:u w:val="single"/>
              </w:rPr>
              <w:t>（线上会议）</w:t>
            </w:r>
          </w:p>
        </w:tc>
      </w:tr>
      <w:tr w:rsidR="0031353D" w14:paraId="3277DD5C" w14:textId="77777777" w:rsidTr="00CC1039">
        <w:tc>
          <w:tcPr>
            <w:tcW w:w="1809" w:type="dxa"/>
            <w:shd w:val="clear" w:color="auto" w:fill="auto"/>
          </w:tcPr>
          <w:p w14:paraId="626CEE03" w14:textId="77777777" w:rsidR="0031353D" w:rsidRDefault="00794282"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6949" w:type="dxa"/>
            <w:shd w:val="clear" w:color="auto" w:fill="auto"/>
          </w:tcPr>
          <w:p w14:paraId="07F3E3D3" w14:textId="7D423278" w:rsidR="0031353D" w:rsidRDefault="0029602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海通</w:t>
            </w:r>
            <w:r w:rsidR="007A66F7">
              <w:rPr>
                <w:rFonts w:ascii="宋体" w:hAnsi="宋体" w:cs="宋体" w:hint="eastAsia"/>
                <w:bCs/>
                <w:iCs/>
                <w:szCs w:val="21"/>
              </w:rPr>
              <w:t>基金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陈</w:t>
            </w:r>
            <w:proofErr w:type="gramStart"/>
            <w:r>
              <w:rPr>
                <w:rFonts w:ascii="宋体" w:hAnsi="宋体" w:cs="宋体" w:hint="eastAsia"/>
                <w:bCs/>
                <w:iCs/>
                <w:szCs w:val="21"/>
              </w:rPr>
              <w:t>岢葳</w:t>
            </w:r>
            <w:proofErr w:type="gramEnd"/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）、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淳厚基金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邓祖铭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）、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长盛</w:t>
            </w:r>
            <w:r w:rsidR="007A66F7">
              <w:rPr>
                <w:rFonts w:ascii="宋体" w:hAnsi="宋体" w:cs="宋体" w:hint="eastAsia"/>
                <w:bCs/>
                <w:iCs/>
                <w:szCs w:val="21"/>
              </w:rPr>
              <w:t>基金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陈磊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）、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前海人寿</w:t>
            </w:r>
            <w:r w:rsidR="007B1067">
              <w:rPr>
                <w:rFonts w:ascii="宋体" w:hAnsi="宋体" w:cs="宋体" w:hint="eastAsia"/>
                <w:bCs/>
                <w:i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刘远程</w:t>
            </w:r>
            <w:r w:rsidR="007B1067">
              <w:rPr>
                <w:rFonts w:ascii="宋体" w:hAnsi="宋体" w:cs="宋体" w:hint="eastAsia"/>
                <w:bCs/>
                <w:iCs/>
                <w:szCs w:val="21"/>
              </w:rPr>
              <w:t>）、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方正证券</w:t>
            </w:r>
            <w:r w:rsidR="00267CAE">
              <w:rPr>
                <w:rFonts w:ascii="宋体" w:hAnsi="宋体" w:cs="宋体" w:hint="eastAsia"/>
                <w:bCs/>
                <w:i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王丽颖</w:t>
            </w:r>
            <w:r w:rsidR="00267CAE">
              <w:rPr>
                <w:rFonts w:ascii="宋体" w:hAnsi="宋体" w:cs="宋体" w:hint="eastAsia"/>
                <w:bCs/>
                <w:iCs/>
                <w:szCs w:val="21"/>
              </w:rPr>
              <w:t>）、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国元证券</w:t>
            </w:r>
            <w:r w:rsidR="00267CAE">
              <w:rPr>
                <w:rFonts w:ascii="宋体" w:hAnsi="宋体" w:cs="宋体" w:hint="eastAsia"/>
                <w:bCs/>
                <w:i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路璐</w:t>
            </w:r>
            <w:r w:rsidR="00267CAE">
              <w:rPr>
                <w:rFonts w:ascii="宋体" w:hAnsi="宋体" w:cs="宋体" w:hint="eastAsia"/>
                <w:bCs/>
                <w:iCs/>
                <w:szCs w:val="21"/>
              </w:rPr>
              <w:t>）、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国泰君安</w:t>
            </w:r>
            <w:r w:rsidR="0020233F">
              <w:rPr>
                <w:rFonts w:ascii="宋体" w:hAnsi="宋体" w:cs="宋体" w:hint="eastAsia"/>
                <w:bCs/>
                <w:i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武子皓</w:t>
            </w:r>
            <w:r w:rsidR="0020233F">
              <w:rPr>
                <w:rFonts w:ascii="宋体" w:hAnsi="宋体" w:cs="宋体" w:hint="eastAsia"/>
                <w:bCs/>
                <w:iCs/>
                <w:szCs w:val="21"/>
              </w:rPr>
              <w:t>）、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开源证券（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方光照、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余倩莹）、新时代证券（</w:t>
            </w:r>
            <w:r w:rsidR="00A97F16">
              <w:rPr>
                <w:rFonts w:ascii="宋体" w:hAnsi="宋体" w:cs="宋体" w:hint="eastAsia"/>
                <w:bCs/>
                <w:iCs/>
                <w:szCs w:val="21"/>
              </w:rPr>
              <w:t>马笑、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殷成钢）、平安资产（张良）、招商证券（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陈良栋、</w:t>
            </w:r>
            <w:r w:rsidR="00A97F16">
              <w:rPr>
                <w:rFonts w:ascii="宋体" w:hAnsi="宋体" w:cs="宋体" w:hint="eastAsia"/>
                <w:bCs/>
                <w:iCs/>
                <w:szCs w:val="21"/>
              </w:rPr>
              <w:t>赵雅楠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）、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东方</w:t>
            </w:r>
            <w:r w:rsidR="00A97F16">
              <w:rPr>
                <w:rFonts w:ascii="宋体" w:hAnsi="宋体" w:cs="宋体" w:hint="eastAsia"/>
                <w:bCs/>
                <w:iCs/>
                <w:szCs w:val="21"/>
              </w:rPr>
              <w:t>证券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李雨琦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）、天风证券（冯翠婷）、东吴证券（张飞鹏）、安信证券（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焦娟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）、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海通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证券（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毛云聪、陈星光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）、</w:t>
            </w:r>
            <w:r w:rsidR="00A97F16">
              <w:rPr>
                <w:rFonts w:ascii="宋体" w:hAnsi="宋体" w:cs="宋体" w:hint="eastAsia"/>
                <w:bCs/>
                <w:iCs/>
                <w:szCs w:val="21"/>
              </w:rPr>
              <w:t>西部证券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（</w:t>
            </w:r>
            <w:r w:rsidR="00A97F16">
              <w:rPr>
                <w:rFonts w:ascii="宋体" w:hAnsi="宋体" w:cs="宋体" w:hint="eastAsia"/>
                <w:bCs/>
                <w:iCs/>
                <w:szCs w:val="21"/>
              </w:rPr>
              <w:t>李艳丽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）、宝盈基金（曾梦雅）、华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泰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证券（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吴晓宇</w:t>
            </w:r>
            <w:r w:rsidR="00A41751" w:rsidRPr="00A41751">
              <w:rPr>
                <w:rFonts w:ascii="宋体" w:hAnsi="宋体" w:cs="宋体" w:hint="eastAsia"/>
                <w:bCs/>
                <w:iCs/>
                <w:szCs w:val="21"/>
              </w:rPr>
              <w:t>）等</w:t>
            </w:r>
          </w:p>
        </w:tc>
      </w:tr>
      <w:tr w:rsidR="0031353D" w14:paraId="345587FE" w14:textId="77777777" w:rsidTr="00CC1039">
        <w:tc>
          <w:tcPr>
            <w:tcW w:w="1809" w:type="dxa"/>
            <w:shd w:val="clear" w:color="auto" w:fill="auto"/>
          </w:tcPr>
          <w:p w14:paraId="3B73E5BE" w14:textId="77777777" w:rsidR="0031353D" w:rsidRDefault="00794282"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6949" w:type="dxa"/>
            <w:shd w:val="clear" w:color="auto" w:fill="auto"/>
          </w:tcPr>
          <w:p w14:paraId="68418343" w14:textId="0AFCB3DA" w:rsidR="0031353D" w:rsidRDefault="00794282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29602D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2B4DA3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29602D">
              <w:rPr>
                <w:rFonts w:ascii="宋体" w:hAnsi="宋体" w:cs="宋体" w:hint="eastAsia"/>
                <w:bCs/>
                <w:iCs/>
                <w:szCs w:val="21"/>
              </w:rPr>
              <w:t>下午3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点半</w:t>
            </w:r>
          </w:p>
        </w:tc>
      </w:tr>
      <w:tr w:rsidR="0031353D" w14:paraId="06F8262D" w14:textId="77777777" w:rsidTr="00CC1039">
        <w:tc>
          <w:tcPr>
            <w:tcW w:w="1809" w:type="dxa"/>
            <w:shd w:val="clear" w:color="auto" w:fill="auto"/>
          </w:tcPr>
          <w:p w14:paraId="504EEF44" w14:textId="77777777" w:rsidR="0031353D" w:rsidRDefault="00794282"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6949" w:type="dxa"/>
            <w:shd w:val="clear" w:color="auto" w:fill="auto"/>
          </w:tcPr>
          <w:p w14:paraId="7F3DF54A" w14:textId="77777777" w:rsidR="0031353D" w:rsidRDefault="009D3B0C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31353D" w14:paraId="084A3432" w14:textId="77777777" w:rsidTr="00CC1039">
        <w:tc>
          <w:tcPr>
            <w:tcW w:w="1809" w:type="dxa"/>
            <w:shd w:val="clear" w:color="auto" w:fill="auto"/>
          </w:tcPr>
          <w:p w14:paraId="78DD3D6C" w14:textId="77777777" w:rsidR="0031353D" w:rsidRDefault="00794282"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6949" w:type="dxa"/>
            <w:shd w:val="clear" w:color="auto" w:fill="auto"/>
          </w:tcPr>
          <w:p w14:paraId="5A8A5776" w14:textId="681497E6" w:rsidR="0031353D" w:rsidRDefault="00A570F2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董事</w:t>
            </w:r>
            <w:proofErr w:type="gramStart"/>
            <w:r w:rsidR="00E168D2">
              <w:rPr>
                <w:rFonts w:ascii="宋体" w:hAnsi="宋体" w:cs="宋体" w:hint="eastAsia"/>
                <w:bCs/>
                <w:iCs/>
                <w:szCs w:val="21"/>
              </w:rPr>
              <w:t>兼董秘</w:t>
            </w:r>
            <w:proofErr w:type="gramEnd"/>
            <w:r w:rsidR="00E168D2">
              <w:rPr>
                <w:rFonts w:ascii="宋体" w:hAnsi="宋体" w:cs="宋体" w:hint="eastAsia"/>
                <w:bCs/>
                <w:iCs/>
                <w:szCs w:val="21"/>
              </w:rPr>
              <w:t>卞大云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、</w:t>
            </w:r>
            <w:proofErr w:type="gramStart"/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投关梁心嫣</w:t>
            </w:r>
            <w:proofErr w:type="gramEnd"/>
          </w:p>
        </w:tc>
      </w:tr>
      <w:tr w:rsidR="0031353D" w14:paraId="0058BFF9" w14:textId="77777777" w:rsidTr="00CC1039">
        <w:trPr>
          <w:trHeight w:val="1757"/>
        </w:trPr>
        <w:tc>
          <w:tcPr>
            <w:tcW w:w="1809" w:type="dxa"/>
            <w:shd w:val="clear" w:color="auto" w:fill="auto"/>
            <w:vAlign w:val="center"/>
          </w:tcPr>
          <w:p w14:paraId="21C10BFA" w14:textId="77777777" w:rsidR="0031353D" w:rsidRDefault="00794282"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  <w:p w14:paraId="05F536F0" w14:textId="77777777" w:rsidR="0031353D" w:rsidRDefault="0031353D"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6949" w:type="dxa"/>
            <w:shd w:val="clear" w:color="auto" w:fill="auto"/>
          </w:tcPr>
          <w:p w14:paraId="2B4942BF" w14:textId="2CE85BAB" w:rsidR="0031353D" w:rsidRDefault="00794282" w:rsidP="00EE79E5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29602D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A97F16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日，</w:t>
            </w:r>
            <w:r w:rsidR="00057CF4">
              <w:rPr>
                <w:rFonts w:ascii="宋体" w:hAnsi="宋体" w:cs="宋体" w:hint="eastAsia"/>
                <w:bCs/>
                <w:iCs/>
                <w:szCs w:val="21"/>
              </w:rPr>
              <w:t>上海姚记科技股份有限公司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（以下简称“公司”、“本公司”或“</w:t>
            </w:r>
            <w:r w:rsidR="00057CF4">
              <w:rPr>
                <w:rFonts w:ascii="宋体" w:hAnsi="宋体" w:cs="宋体" w:hint="eastAsia"/>
                <w:bCs/>
                <w:iCs/>
                <w:szCs w:val="21"/>
              </w:rPr>
              <w:t>姚记科技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”）</w:t>
            </w:r>
            <w:r w:rsidR="00090850">
              <w:rPr>
                <w:rFonts w:ascii="宋体" w:hAnsi="宋体" w:cs="宋体" w:hint="eastAsia"/>
                <w:bCs/>
                <w:iCs/>
                <w:szCs w:val="21"/>
              </w:rPr>
              <w:t>董事</w:t>
            </w:r>
            <w:proofErr w:type="gramStart"/>
            <w:r w:rsidR="00057CF4">
              <w:rPr>
                <w:rFonts w:ascii="宋体" w:hAnsi="宋体" w:cs="宋体" w:hint="eastAsia"/>
                <w:bCs/>
                <w:iCs/>
                <w:szCs w:val="21"/>
              </w:rPr>
              <w:t>兼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董秘</w:t>
            </w:r>
            <w:proofErr w:type="gramEnd"/>
            <w:r w:rsidR="00057CF4">
              <w:rPr>
                <w:rFonts w:ascii="宋体" w:hAnsi="宋体" w:cs="宋体" w:hint="eastAsia"/>
                <w:bCs/>
                <w:iCs/>
                <w:szCs w:val="21"/>
              </w:rPr>
              <w:t>卞大云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与来自多家的机构投资者、券商研究团队分析师就</w:t>
            </w:r>
            <w:r w:rsidR="008B1BB1">
              <w:rPr>
                <w:rFonts w:ascii="宋体" w:hAnsi="宋体" w:cs="宋体" w:hint="eastAsia"/>
                <w:bCs/>
                <w:iCs/>
                <w:szCs w:val="21"/>
              </w:rPr>
              <w:t>姚记科技</w:t>
            </w:r>
            <w:r w:rsidR="00A97F16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29602D">
              <w:rPr>
                <w:rFonts w:ascii="宋体" w:hAnsi="宋体" w:cs="宋体" w:hint="eastAsia"/>
                <w:bCs/>
                <w:iCs/>
                <w:szCs w:val="21"/>
              </w:rPr>
              <w:t>三季度报</w:t>
            </w:r>
            <w:r w:rsidR="00A97F16">
              <w:rPr>
                <w:rFonts w:ascii="宋体" w:hAnsi="宋体" w:cs="宋体" w:hint="eastAsia"/>
                <w:bCs/>
                <w:iCs/>
                <w:szCs w:val="21"/>
              </w:rPr>
              <w:t>业绩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进行沟通。</w:t>
            </w:r>
          </w:p>
          <w:p w14:paraId="42029169" w14:textId="2636871F" w:rsidR="000342DB" w:rsidRDefault="00794282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以下为本次投资者关系活动纪要：</w:t>
            </w:r>
          </w:p>
          <w:p w14:paraId="641102F7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公司2020年三季度经营状况</w:t>
            </w:r>
          </w:p>
          <w:p w14:paraId="7BAB9B9D" w14:textId="755DAEFC" w:rsidR="006C185D" w:rsidRPr="006C185D" w:rsidRDefault="00507C49" w:rsidP="00507C49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公司2020年Q1到Q3整体的营收实现了18亿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元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，同比增长41.56%</w:t>
            </w:r>
            <w:r w:rsidR="00C95C53">
              <w:rPr>
                <w:rFonts w:ascii="宋体" w:hAnsi="宋体" w:cs="宋体" w:hint="eastAsia"/>
                <w:bCs/>
                <w:iCs/>
                <w:szCs w:val="21"/>
              </w:rPr>
              <w:t>，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主要原因是整个游戏板块的贡献和收购</w:t>
            </w:r>
            <w:proofErr w:type="gramStart"/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芦</w:t>
            </w:r>
            <w:proofErr w:type="gramEnd"/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鸣后的利润并表。</w:t>
            </w:r>
            <w:proofErr w:type="gramStart"/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归母净利润</w:t>
            </w:r>
            <w:proofErr w:type="gramEnd"/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是9.85亿，同比增长了256%</w:t>
            </w:r>
            <w:r w:rsidR="00C95C53">
              <w:rPr>
                <w:rFonts w:ascii="宋体" w:hAnsi="宋体" w:cs="宋体" w:hint="eastAsia"/>
                <w:bCs/>
                <w:iCs/>
                <w:szCs w:val="21"/>
              </w:rPr>
              <w:t>，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除</w:t>
            </w:r>
            <w:r w:rsidR="00C95C53">
              <w:rPr>
                <w:rFonts w:ascii="宋体" w:hAnsi="宋体" w:cs="宋体" w:hint="eastAsia"/>
                <w:bCs/>
                <w:iCs/>
                <w:szCs w:val="21"/>
              </w:rPr>
              <w:t>了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公司的经营利润</w:t>
            </w:r>
            <w:r w:rsidR="00C95C53">
              <w:rPr>
                <w:rFonts w:ascii="宋体" w:hAnsi="宋体" w:cs="宋体" w:hint="eastAsia"/>
                <w:bCs/>
                <w:iCs/>
                <w:szCs w:val="21"/>
              </w:rPr>
              <w:t>增长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，还有</w:t>
            </w:r>
            <w:r w:rsidR="00C95C53">
              <w:rPr>
                <w:rFonts w:ascii="宋体" w:hAnsi="宋体" w:cs="宋体" w:hint="eastAsia"/>
                <w:bCs/>
                <w:iCs/>
                <w:szCs w:val="21"/>
              </w:rPr>
              <w:t>一部分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原因</w:t>
            </w:r>
            <w:r w:rsidR="00DA2C3B">
              <w:rPr>
                <w:rFonts w:ascii="宋体" w:hAnsi="宋体" w:cs="宋体" w:hint="eastAsia"/>
                <w:bCs/>
                <w:iCs/>
                <w:szCs w:val="21"/>
              </w:rPr>
              <w:t>是</w:t>
            </w:r>
            <w:r w:rsidR="00D67B99">
              <w:rPr>
                <w:rFonts w:ascii="宋体" w:hAnsi="宋体" w:cs="宋体" w:hint="eastAsia"/>
                <w:bCs/>
                <w:iCs/>
                <w:szCs w:val="21"/>
              </w:rPr>
              <w:t>公司对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细胞集团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投资的</w:t>
            </w:r>
            <w:r w:rsidR="00C95C53">
              <w:rPr>
                <w:rFonts w:ascii="宋体" w:hAnsi="宋体" w:cs="宋体" w:hint="eastAsia"/>
                <w:bCs/>
                <w:iCs/>
                <w:szCs w:val="21"/>
              </w:rPr>
              <w:t>会计核算方法</w:t>
            </w:r>
            <w:r w:rsidR="00D67B99">
              <w:rPr>
                <w:rFonts w:ascii="宋体" w:hAnsi="宋体" w:cs="宋体" w:hint="eastAsia"/>
                <w:bCs/>
                <w:iCs/>
                <w:szCs w:val="21"/>
              </w:rPr>
              <w:t>进行了</w:t>
            </w:r>
            <w:r w:rsidR="00C95C53">
              <w:rPr>
                <w:rFonts w:ascii="宋体" w:hAnsi="宋体" w:cs="宋体" w:hint="eastAsia"/>
                <w:bCs/>
                <w:iCs/>
                <w:szCs w:val="21"/>
              </w:rPr>
              <w:t>变更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以及公司出售房产和土地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，</w:t>
            </w:r>
            <w:r w:rsidR="00DA2C3B">
              <w:rPr>
                <w:rFonts w:ascii="宋体" w:hAnsi="宋体" w:cs="宋体" w:hint="eastAsia"/>
                <w:bCs/>
                <w:iCs/>
                <w:szCs w:val="21"/>
              </w:rPr>
              <w:t>导致</w:t>
            </w:r>
            <w:r w:rsidR="00C95C53">
              <w:rPr>
                <w:rFonts w:ascii="宋体" w:hAnsi="宋体" w:cs="宋体" w:hint="eastAsia"/>
                <w:bCs/>
                <w:iCs/>
                <w:szCs w:val="21"/>
              </w:rPr>
              <w:t>增加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约5.8亿</w:t>
            </w:r>
            <w:r w:rsidR="00DA2C3B">
              <w:rPr>
                <w:rFonts w:ascii="宋体" w:hAnsi="宋体" w:cs="宋体" w:hint="eastAsia"/>
                <w:bCs/>
                <w:iCs/>
                <w:szCs w:val="21"/>
              </w:rPr>
              <w:t>的</w:t>
            </w:r>
            <w:r w:rsidR="00C95C53">
              <w:rPr>
                <w:rFonts w:ascii="宋体" w:hAnsi="宋体" w:cs="宋体" w:hint="eastAsia"/>
                <w:bCs/>
                <w:iCs/>
                <w:szCs w:val="21"/>
              </w:rPr>
              <w:t>非经常性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收益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。</w:t>
            </w:r>
            <w:proofErr w:type="gramStart"/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扣非净</w:t>
            </w:r>
            <w:proofErr w:type="gramEnd"/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利润约4个亿，同比增长了53.19%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，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公司依然保持着高速发展的状态。从利润拆分的角度，我们在2020年Q3实现了7.96亿的营收，同比增长71</w:t>
            </w:r>
            <w:r w:rsidR="00615916">
              <w:rPr>
                <w:rFonts w:ascii="宋体" w:hAnsi="宋体" w:cs="宋体" w:hint="eastAsia"/>
                <w:bCs/>
                <w:iCs/>
                <w:szCs w:val="21"/>
              </w:rPr>
              <w:t>.93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%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，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整体营收增速非常高。2020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lastRenderedPageBreak/>
              <w:t>年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Q3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实现</w:t>
            </w:r>
            <w:proofErr w:type="gramStart"/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扣</w:t>
            </w:r>
            <w:r w:rsidR="00DF3E42">
              <w:rPr>
                <w:rFonts w:ascii="宋体" w:hAnsi="宋体" w:cs="宋体" w:hint="eastAsia"/>
                <w:bCs/>
                <w:iCs/>
                <w:szCs w:val="21"/>
              </w:rPr>
              <w:t>非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归母净</w:t>
            </w:r>
            <w:proofErr w:type="gramEnd"/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利润1.</w:t>
            </w:r>
            <w:r w:rsidR="003467B5" w:rsidRPr="00507C49"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 w:rsidR="003467B5">
              <w:rPr>
                <w:rFonts w:ascii="宋体" w:hAnsi="宋体" w:cs="宋体"/>
                <w:bCs/>
                <w:iCs/>
                <w:szCs w:val="21"/>
              </w:rPr>
              <w:t>2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亿，跟去年相比略微增长，利润增速比收入增速慢的原因是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第一，</w:t>
            </w:r>
            <w:r w:rsidR="00362CCE">
              <w:rPr>
                <w:rFonts w:ascii="宋体" w:hAnsi="宋体" w:cs="宋体" w:hint="eastAsia"/>
                <w:bCs/>
                <w:iCs/>
                <w:szCs w:val="21"/>
              </w:rPr>
              <w:t>销售费用的增长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，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2020年Q3销售费用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达到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1.28亿，与去年同比增加了67</w:t>
            </w:r>
            <w:r w:rsidR="00362CCE">
              <w:rPr>
                <w:rFonts w:ascii="宋体" w:hAnsi="宋体" w:cs="宋体" w:hint="eastAsia"/>
                <w:bCs/>
                <w:iCs/>
                <w:szCs w:val="21"/>
              </w:rPr>
              <w:t>.94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%</w:t>
            </w:r>
            <w:r w:rsidR="005116DF">
              <w:rPr>
                <w:rFonts w:ascii="宋体" w:hAnsi="宋体" w:cs="宋体" w:hint="eastAsia"/>
                <w:bCs/>
                <w:iCs/>
                <w:szCs w:val="21"/>
              </w:rPr>
              <w:t>，同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2020年Q2相比，增加</w:t>
            </w:r>
            <w:r w:rsidR="005116DF">
              <w:rPr>
                <w:rFonts w:ascii="宋体" w:hAnsi="宋体" w:cs="宋体" w:hint="eastAsia"/>
                <w:bCs/>
                <w:iCs/>
                <w:szCs w:val="21"/>
              </w:rPr>
              <w:t>了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50%左右</w:t>
            </w:r>
            <w:r w:rsidR="005116DF">
              <w:rPr>
                <w:rFonts w:ascii="宋体" w:hAnsi="宋体" w:cs="宋体" w:hint="eastAsia"/>
                <w:bCs/>
                <w:iCs/>
                <w:szCs w:val="21"/>
              </w:rPr>
              <w:t>，</w:t>
            </w:r>
            <w:r w:rsidR="0090254F">
              <w:rPr>
                <w:rFonts w:ascii="宋体" w:hAnsi="宋体" w:cs="宋体" w:hint="eastAsia"/>
                <w:bCs/>
                <w:iCs/>
                <w:szCs w:val="21"/>
              </w:rPr>
              <w:t>但是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销售费用率保持着比较稳定的状态，长期稳定在16%左右</w:t>
            </w:r>
            <w:r w:rsidR="001850C3">
              <w:rPr>
                <w:rFonts w:ascii="宋体" w:hAnsi="宋体" w:cs="宋体" w:hint="eastAsia"/>
                <w:bCs/>
                <w:iCs/>
                <w:szCs w:val="21"/>
              </w:rPr>
              <w:t>，</w:t>
            </w:r>
            <w:r w:rsidR="0090254F">
              <w:rPr>
                <w:rFonts w:ascii="宋体" w:hAnsi="宋体" w:cs="宋体" w:hint="eastAsia"/>
                <w:bCs/>
                <w:iCs/>
                <w:szCs w:val="21"/>
              </w:rPr>
              <w:t>所以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当期利润有下滑，但是游戏流水有增加。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第二，</w:t>
            </w:r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在游戏行业中，销售费用对营收的贡献存在时间滞后的现象。例如，销售费用的投入在3-6个月后才会在利润端体现。所以，我们在当期的销售费用投入的</w:t>
            </w:r>
            <w:proofErr w:type="gramStart"/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效果会递延</w:t>
            </w:r>
            <w:proofErr w:type="gramEnd"/>
            <w:r w:rsidRPr="00507C49">
              <w:rPr>
                <w:rFonts w:ascii="宋体" w:hAnsi="宋体" w:cs="宋体" w:hint="eastAsia"/>
                <w:bCs/>
                <w:iCs/>
                <w:szCs w:val="21"/>
              </w:rPr>
              <w:t>1~2个季度。</w:t>
            </w:r>
          </w:p>
          <w:p w14:paraId="72944448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14:paraId="3D0C6855" w14:textId="726A4933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姚记科技第四季度以及明年经营情况的预期</w:t>
            </w:r>
          </w:p>
          <w:p w14:paraId="200B4731" w14:textId="786C9449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姚记科技第四季度以及明年第一季度的经营情况预期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具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有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良好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的增长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潜力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。围绕精品化策略跟聚焦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“大娱乐”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的公司战略，</w:t>
            </w:r>
            <w:r w:rsidR="0090254F">
              <w:rPr>
                <w:rFonts w:ascii="宋体" w:hAnsi="宋体" w:cs="宋体" w:hint="eastAsia"/>
                <w:bCs/>
                <w:iCs/>
                <w:szCs w:val="21"/>
              </w:rPr>
              <w:t>鱼丸游戏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平台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、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姚记捕鱼两款产品在</w:t>
            </w:r>
            <w:proofErr w:type="spell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iOS</w:t>
            </w:r>
            <w:proofErr w:type="spell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上排名</w:t>
            </w:r>
            <w:r w:rsidR="007539AC">
              <w:rPr>
                <w:rFonts w:ascii="宋体" w:hAnsi="宋体" w:cs="宋体" w:hint="eastAsia"/>
                <w:bCs/>
                <w:iCs/>
                <w:szCs w:val="21"/>
              </w:rPr>
              <w:t>靠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前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，增长超出预期，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我们对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明年全年</w:t>
            </w:r>
            <w:r w:rsidR="003467B5">
              <w:rPr>
                <w:rFonts w:ascii="宋体" w:hAnsi="宋体" w:cs="宋体" w:hint="eastAsia"/>
                <w:bCs/>
                <w:iCs/>
                <w:szCs w:val="21"/>
              </w:rPr>
              <w:t>新的增长具有较强信心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。</w:t>
            </w:r>
          </w:p>
          <w:p w14:paraId="6BB6F31F" w14:textId="21A03EBC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海外业务2020年前三季度实现了50%以上的增速，公司有着自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研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自发优质产品的能力，在海外bingo的细分品类市场有机会突破龙头的地位，预期海外业务</w:t>
            </w:r>
            <w:r w:rsidR="006E24D9">
              <w:rPr>
                <w:rFonts w:ascii="宋体" w:hAnsi="宋体" w:cs="宋体" w:hint="eastAsia"/>
                <w:bCs/>
                <w:iCs/>
                <w:szCs w:val="21"/>
              </w:rPr>
              <w:t>保持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不错的增长</w:t>
            </w:r>
            <w:r w:rsidR="006E24D9">
              <w:rPr>
                <w:rFonts w:ascii="宋体" w:hAnsi="宋体" w:cs="宋体" w:hint="eastAsia"/>
                <w:bCs/>
                <w:iCs/>
                <w:szCs w:val="21"/>
              </w:rPr>
              <w:t>趋势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。</w:t>
            </w:r>
          </w:p>
          <w:p w14:paraId="6499E1AC" w14:textId="158A4E11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2020年重点布局短视频营销的业务，鉴于过去每年行业增速可能接近100%，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芦鸣科技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能够获得更高的市场份额。</w:t>
            </w:r>
          </w:p>
          <w:p w14:paraId="7E737599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14:paraId="2E7360ED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整个游戏行业明年的增长和趋势</w:t>
            </w:r>
          </w:p>
          <w:p w14:paraId="1B5A1EC5" w14:textId="467B5FCF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中国整体的游戏用户的平均付费</w:t>
            </w:r>
            <w:r w:rsidR="0090254F">
              <w:rPr>
                <w:rFonts w:ascii="宋体" w:hAnsi="宋体" w:cs="宋体" w:hint="eastAsia"/>
                <w:bCs/>
                <w:iCs/>
                <w:szCs w:val="21"/>
              </w:rPr>
              <w:t>与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发达国家比起来还有很大差距，未来预期用户ARPPU值会持续的上升，整个市场因为越来越精品化，每个细分品类里面都有相对的龙头公司去挤占市场，</w:t>
            </w:r>
            <w:r w:rsidR="006E24D9">
              <w:rPr>
                <w:rFonts w:ascii="宋体" w:hAnsi="宋体" w:cs="宋体" w:hint="eastAsia"/>
                <w:bCs/>
                <w:iCs/>
                <w:szCs w:val="21"/>
              </w:rPr>
              <w:t>增速会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超出行业平均增速。</w:t>
            </w:r>
          </w:p>
          <w:p w14:paraId="6B5B27A8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14:paraId="230D4BCC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/>
                <w:bCs/>
                <w:iCs/>
                <w:szCs w:val="21"/>
              </w:rPr>
              <w:t>Q&amp;A</w:t>
            </w:r>
          </w:p>
          <w:p w14:paraId="50219D03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Q：买量成本上升对游戏行业整体以及姚记科技的影响？</w:t>
            </w:r>
          </w:p>
          <w:p w14:paraId="34915601" w14:textId="06176544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lastRenderedPageBreak/>
              <w:t>A：买量成本上升加速了行业的优胜劣汰。短期来看，买量成本上升是市场中竞争买量的公司</w:t>
            </w:r>
            <w:r w:rsidR="001949C0">
              <w:rPr>
                <w:rFonts w:ascii="宋体" w:hAnsi="宋体" w:cs="宋体" w:hint="eastAsia"/>
                <w:bCs/>
                <w:iCs/>
                <w:szCs w:val="21"/>
              </w:rPr>
              <w:t>增加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导致供小于求的结果；长期来看，买量成本上升，是留存率、付费率、ARPPU值增长导致的结果。公司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最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核心的战略中心是聚焦自身的产品，稳固龙头的地位，使得产品保持长线生命周期以获得持续的现金流，在此基础上进行新产品的开发。</w:t>
            </w:r>
          </w:p>
          <w:p w14:paraId="469D3D01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14:paraId="193A24A2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Q：游戏业务部分，公司今年整体看新产品不算多，展望21年是否有一些新品排期计划？</w:t>
            </w:r>
          </w:p>
          <w:p w14:paraId="669C2973" w14:textId="4A949CBF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A：由于各种测试，产品上的调整，新产品比预期的推迟，包括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小美斗地主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以及与头部媒体联运的核心产品，将围绕整个春节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档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陆续发布，自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研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自发的2~3款海外的产品预计年底将会陆续上线。年底团队规模与年初相比预计增长50%以上， 新产品的开发速度跟效率将有较大的提升。</w:t>
            </w:r>
          </w:p>
          <w:p w14:paraId="612D8D3F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14:paraId="2B908CA5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Q：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芦鸣科技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整个今年跟明年的整体的规划？</w:t>
            </w:r>
          </w:p>
          <w:p w14:paraId="637058DA" w14:textId="65A0C969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A：首先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芦鸣科技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基石的业务是效果广告，总体来看同比增速</w:t>
            </w:r>
            <w:r w:rsidR="001949C0">
              <w:rPr>
                <w:rFonts w:ascii="宋体" w:hAnsi="宋体" w:cs="宋体" w:hint="eastAsia"/>
                <w:bCs/>
                <w:iCs/>
                <w:szCs w:val="21"/>
              </w:rPr>
              <w:t>非常快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。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其次新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开发的星图业务是品牌主、MCN公司和明星/达人进行内容交易的服务平台，在抖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音服务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商中排名</w:t>
            </w:r>
            <w:r w:rsidR="001949C0">
              <w:rPr>
                <w:rFonts w:ascii="宋体" w:hAnsi="宋体" w:cs="宋体" w:hint="eastAsia"/>
                <w:bCs/>
                <w:iCs/>
                <w:szCs w:val="21"/>
              </w:rPr>
              <w:t>靠前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。然后围绕电商孵化运营，先要把流量的采买做强，然后把流量产品做大，再往下把电商的整个</w:t>
            </w:r>
            <w:r w:rsidR="006E24D9">
              <w:rPr>
                <w:rFonts w:ascii="宋体" w:hAnsi="宋体" w:cs="宋体" w:hint="eastAsia"/>
                <w:bCs/>
                <w:iCs/>
                <w:szCs w:val="21"/>
              </w:rPr>
              <w:t>代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运营做强，往后再延伸更多的业务领域，</w:t>
            </w:r>
            <w:r w:rsidR="001949C0">
              <w:rPr>
                <w:rFonts w:ascii="宋体" w:hAnsi="宋体" w:cs="宋体" w:hint="eastAsia"/>
                <w:bCs/>
                <w:iCs/>
                <w:szCs w:val="21"/>
              </w:rPr>
              <w:t>在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整个链条完成的基础上</w:t>
            </w:r>
            <w:r w:rsidR="001949C0">
              <w:rPr>
                <w:rFonts w:ascii="宋体" w:hAnsi="宋体" w:cs="宋体" w:hint="eastAsia"/>
                <w:bCs/>
                <w:iCs/>
                <w:szCs w:val="21"/>
              </w:rPr>
              <w:t>再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把业务做强。</w:t>
            </w:r>
          </w:p>
          <w:p w14:paraId="69B0665C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14:paraId="2F53CC76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Q：两款BINGO游戏在美国的市场份额情况能介绍一下么？有没有对这两款游戏未来增长的预期？《鱼丸游戏》和《姚记捕鱼》两款游戏的流水和DAU能否透露一下数据和增长情况？</w:t>
            </w:r>
          </w:p>
          <w:p w14:paraId="3CD79A11" w14:textId="03BC785C" w:rsidR="006C185D" w:rsidRPr="006C185D" w:rsidRDefault="001949C0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A:</w:t>
            </w:r>
            <w:r w:rsidR="006C185D" w:rsidRPr="006C185D">
              <w:rPr>
                <w:rFonts w:ascii="宋体" w:hAnsi="宋体" w:cs="宋体" w:hint="eastAsia"/>
                <w:bCs/>
                <w:iCs/>
                <w:szCs w:val="21"/>
              </w:rPr>
              <w:t>两款BINGO游戏的流水规模</w:t>
            </w:r>
            <w:r w:rsidR="006C185D">
              <w:rPr>
                <w:rFonts w:ascii="宋体" w:hAnsi="宋体" w:cs="宋体" w:hint="eastAsia"/>
                <w:bCs/>
                <w:iCs/>
                <w:szCs w:val="21"/>
              </w:rPr>
              <w:t>较大</w:t>
            </w:r>
            <w:r w:rsidR="006C185D" w:rsidRPr="006C185D">
              <w:rPr>
                <w:rFonts w:ascii="宋体" w:hAnsi="宋体" w:cs="宋体" w:hint="eastAsia"/>
                <w:bCs/>
                <w:iCs/>
                <w:szCs w:val="21"/>
              </w:rPr>
              <w:t>，每年保持20%-30%的增长。虽然产品是17年上线</w:t>
            </w:r>
            <w:r w:rsidR="006E24D9">
              <w:rPr>
                <w:rFonts w:ascii="宋体" w:hAnsi="宋体" w:cs="宋体" w:hint="eastAsia"/>
                <w:bCs/>
                <w:iCs/>
                <w:szCs w:val="21"/>
              </w:rPr>
              <w:t>，</w:t>
            </w:r>
            <w:r w:rsidR="006C185D" w:rsidRPr="006C185D">
              <w:rPr>
                <w:rFonts w:ascii="宋体" w:hAnsi="宋体" w:cs="宋体" w:hint="eastAsia"/>
                <w:bCs/>
                <w:iCs/>
                <w:szCs w:val="21"/>
              </w:rPr>
              <w:t>缺少先发优势，但是后</w:t>
            </w:r>
            <w:proofErr w:type="gramStart"/>
            <w:r w:rsidR="006C185D" w:rsidRPr="006C185D">
              <w:rPr>
                <w:rFonts w:ascii="宋体" w:hAnsi="宋体" w:cs="宋体" w:hint="eastAsia"/>
                <w:bCs/>
                <w:iCs/>
                <w:szCs w:val="21"/>
              </w:rPr>
              <w:t>发增长</w:t>
            </w:r>
            <w:proofErr w:type="gramEnd"/>
            <w:r w:rsidR="006C185D" w:rsidRPr="006C185D">
              <w:rPr>
                <w:rFonts w:ascii="宋体" w:hAnsi="宋体" w:cs="宋体" w:hint="eastAsia"/>
                <w:bCs/>
                <w:iCs/>
                <w:szCs w:val="21"/>
              </w:rPr>
              <w:t>态势明显，所以有望在市场占据更高份额。鱼丸</w:t>
            </w:r>
            <w:proofErr w:type="gramStart"/>
            <w:r w:rsidR="006C185D" w:rsidRPr="006C185D">
              <w:rPr>
                <w:rFonts w:ascii="宋体" w:hAnsi="宋体" w:cs="宋体" w:hint="eastAsia"/>
                <w:bCs/>
                <w:iCs/>
                <w:szCs w:val="21"/>
              </w:rPr>
              <w:t>游戏跟</w:t>
            </w:r>
            <w:proofErr w:type="gramEnd"/>
            <w:r w:rsidR="006C185D" w:rsidRPr="006C185D">
              <w:rPr>
                <w:rFonts w:ascii="宋体" w:hAnsi="宋体" w:cs="宋体" w:hint="eastAsia"/>
                <w:bCs/>
                <w:iCs/>
                <w:szCs w:val="21"/>
              </w:rPr>
              <w:t>姚记捕鱼，</w:t>
            </w:r>
            <w:r w:rsidR="006E24D9">
              <w:rPr>
                <w:rFonts w:ascii="宋体" w:hAnsi="宋体" w:cs="宋体" w:hint="eastAsia"/>
                <w:bCs/>
                <w:iCs/>
                <w:szCs w:val="21"/>
              </w:rPr>
              <w:t>这</w:t>
            </w:r>
            <w:r w:rsidR="006C185D" w:rsidRPr="006C185D">
              <w:rPr>
                <w:rFonts w:ascii="宋体" w:hAnsi="宋体" w:cs="宋体" w:hint="eastAsia"/>
                <w:bCs/>
                <w:iCs/>
                <w:szCs w:val="21"/>
              </w:rPr>
              <w:t>两款游戏产品的流水在第三季度取得了历史新高，总体增长状况良好。</w:t>
            </w:r>
          </w:p>
          <w:p w14:paraId="363E57CA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14:paraId="10BAC384" w14:textId="706219B1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Q：</w:t>
            </w:r>
            <w:r w:rsidR="00507C49" w:rsidRPr="00507C49">
              <w:rPr>
                <w:rFonts w:ascii="宋体" w:hAnsi="宋体" w:cs="宋体" w:hint="eastAsia"/>
                <w:bCs/>
                <w:iCs/>
                <w:szCs w:val="21"/>
              </w:rPr>
              <w:t>游戏营收的增长中，用户数还是ARP</w:t>
            </w:r>
            <w:r w:rsidR="006E24D9">
              <w:rPr>
                <w:rFonts w:ascii="宋体" w:hAnsi="宋体" w:cs="宋体"/>
                <w:bCs/>
                <w:iCs/>
                <w:szCs w:val="21"/>
              </w:rPr>
              <w:t>P</w:t>
            </w:r>
            <w:r w:rsidR="00507C49" w:rsidRPr="00507C49">
              <w:rPr>
                <w:rFonts w:ascii="宋体" w:hAnsi="宋体" w:cs="宋体" w:hint="eastAsia"/>
                <w:bCs/>
                <w:iCs/>
                <w:szCs w:val="21"/>
              </w:rPr>
              <w:t>U的贡献更多？海外未来的发展策略，买量还是线下营销？电商和直播的规划？</w:t>
            </w:r>
          </w:p>
          <w:p w14:paraId="67EB5E57" w14:textId="5532B1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A：（1）今年快速增长到底是用户贡献多还是ARPPU贡献多？总体来看，买量用户有迭代过程，即长期来看，买量用户会流失一部分，留存一部分，是一个代谢过程，不买量增速肯定是下滑的，买量增长的核心驱动在于购买用户，购买用户ARPPU值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不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抬升，LTV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不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抬升，也不一定会增长，增速较慢，总体从利润角度来看，不太容易拆分。（2）海外一方面自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研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自发，海外基本无线下方式，基本为买量，Facebook、Google占据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约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90%；除去</w:t>
            </w:r>
            <w:r>
              <w:rPr>
                <w:rFonts w:ascii="宋体" w:hAnsi="宋体" w:cs="宋体"/>
                <w:bCs/>
                <w:iCs/>
                <w:szCs w:val="21"/>
              </w:rPr>
              <w:t>solitaire</w:t>
            </w: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，还会有其他产品陆续出台，目前公司并没有考虑发行其他公司的产品，所有的产品线聚焦于自身的内容（3）新业务目前已有的电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商团队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已独立出来一个板块，这个板块的贡献不大，其他业务板块处于培育期，可能需要一到两年的培育时间。姚记目前在新项目的孵化成功率高，对互联网流量的理解很深刻，对这块的发展很有信心。</w:t>
            </w:r>
          </w:p>
          <w:p w14:paraId="4B8F2312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</w:p>
          <w:p w14:paraId="4D413FDB" w14:textId="77777777" w:rsidR="006C185D" w:rsidRPr="006C185D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Q：游戏只有小部分厂商会买量，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端游厂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的游戏净利润率有20%，市场都开始买量，成本提升，预计行业利润率会不会下降为15%或以下？</w:t>
            </w:r>
          </w:p>
          <w:p w14:paraId="176E5FAA" w14:textId="69FAF0B8" w:rsidR="001B1A12" w:rsidRDefault="006C185D" w:rsidP="006C185D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A：首先进行情景假设，买量时公司会进行决策，购买用户长期来看有50%或30%的利润率之后再进行决策，其次，行业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里产品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更加优化，LTV越来越好，一方面LTV增加，一方面买量成本在增加，最后的利润率取决于两个增速。最后，产品依然是行业的重心，产品越好，在</w:t>
            </w:r>
            <w:proofErr w:type="gramStart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买量端就可以</w:t>
            </w:r>
            <w:proofErr w:type="gramEnd"/>
            <w:r w:rsidRPr="006C185D">
              <w:rPr>
                <w:rFonts w:ascii="宋体" w:hAnsi="宋体" w:cs="宋体" w:hint="eastAsia"/>
                <w:bCs/>
                <w:iCs/>
                <w:szCs w:val="21"/>
              </w:rPr>
              <w:t>引入更多的成本，就会有竞争优势，换个角度，即使可以忍受成本也不会无限制的买量，这取决于平衡状态，行业蛋糕的划分，将产品给到渠道联运，渠道给一定比例，匹配效率如果不高，意味着很多空间还没有被挖掘出来，就信息流体量来看，买量竞争格局下，不是每家公司都可以长期保持优势，产品一旦不好，就会被淘汰。产品好，优势就会体现出来。总的来说，是LTV和买量成本的比较。</w:t>
            </w:r>
          </w:p>
        </w:tc>
      </w:tr>
      <w:tr w:rsidR="0031353D" w14:paraId="67A565BD" w14:textId="77777777" w:rsidTr="00CC1039">
        <w:tc>
          <w:tcPr>
            <w:tcW w:w="1809" w:type="dxa"/>
            <w:shd w:val="clear" w:color="auto" w:fill="auto"/>
            <w:vAlign w:val="center"/>
          </w:tcPr>
          <w:p w14:paraId="67C9644F" w14:textId="77777777" w:rsidR="0031353D" w:rsidRDefault="00794282"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949" w:type="dxa"/>
            <w:shd w:val="clear" w:color="auto" w:fill="auto"/>
          </w:tcPr>
          <w:p w14:paraId="341A1506" w14:textId="77777777" w:rsidR="0031353D" w:rsidRDefault="00794282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无。</w:t>
            </w:r>
          </w:p>
        </w:tc>
      </w:tr>
      <w:tr w:rsidR="0031353D" w14:paraId="131AC57A" w14:textId="77777777" w:rsidTr="00CC1039">
        <w:tc>
          <w:tcPr>
            <w:tcW w:w="1809" w:type="dxa"/>
            <w:shd w:val="clear" w:color="auto" w:fill="auto"/>
            <w:vAlign w:val="center"/>
          </w:tcPr>
          <w:p w14:paraId="4F3CE657" w14:textId="77777777" w:rsidR="0031353D" w:rsidRDefault="00794282">
            <w:pPr>
              <w:spacing w:after="100" w:afterAutospacing="1" w:line="400" w:lineRule="exac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6949" w:type="dxa"/>
            <w:shd w:val="clear" w:color="auto" w:fill="auto"/>
          </w:tcPr>
          <w:p w14:paraId="6E5D79E9" w14:textId="42EDC00C" w:rsidR="0031353D" w:rsidRDefault="00393585" w:rsidP="00393585">
            <w:pPr>
              <w:spacing w:after="100" w:afterAutospacing="1" w:line="400" w:lineRule="exact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2020年11</w:t>
            </w:r>
            <w:r w:rsidR="00794282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2</w:t>
            </w:r>
            <w:r w:rsidR="00794282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14:paraId="4C49C99C" w14:textId="77777777" w:rsidR="0031353D" w:rsidRDefault="0031353D">
      <w:pPr>
        <w:spacing w:after="100" w:afterAutospacing="1" w:line="400" w:lineRule="exact"/>
        <w:rPr>
          <w:rFonts w:ascii="等线" w:eastAsia="等线" w:hAnsi="等线"/>
          <w:szCs w:val="21"/>
        </w:rPr>
      </w:pPr>
    </w:p>
    <w:sectPr w:rsidR="00313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44C8C" w14:textId="77777777" w:rsidR="00A42197" w:rsidRDefault="00A42197" w:rsidP="005717DE">
      <w:r>
        <w:separator/>
      </w:r>
    </w:p>
  </w:endnote>
  <w:endnote w:type="continuationSeparator" w:id="0">
    <w:p w14:paraId="17CBE1B1" w14:textId="77777777" w:rsidR="00A42197" w:rsidRDefault="00A42197" w:rsidP="0057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6454C" w14:textId="77777777" w:rsidR="00A42197" w:rsidRDefault="00A42197" w:rsidP="005717DE">
      <w:r>
        <w:separator/>
      </w:r>
    </w:p>
  </w:footnote>
  <w:footnote w:type="continuationSeparator" w:id="0">
    <w:p w14:paraId="7DC318D7" w14:textId="77777777" w:rsidR="00A42197" w:rsidRDefault="00A42197" w:rsidP="005717D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iaohanshufe@163.com">
    <w15:presenceInfo w15:providerId="Windows Live" w15:userId="e4ac307f95b46f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05A8E"/>
    <w:rsid w:val="0001509B"/>
    <w:rsid w:val="00016436"/>
    <w:rsid w:val="00017FB4"/>
    <w:rsid w:val="00026A65"/>
    <w:rsid w:val="000342DB"/>
    <w:rsid w:val="00037926"/>
    <w:rsid w:val="00044455"/>
    <w:rsid w:val="00057CF4"/>
    <w:rsid w:val="00080DB6"/>
    <w:rsid w:val="00090850"/>
    <w:rsid w:val="000A3CAE"/>
    <w:rsid w:val="000C2844"/>
    <w:rsid w:val="000C5F26"/>
    <w:rsid w:val="000C7984"/>
    <w:rsid w:val="000D5A7F"/>
    <w:rsid w:val="000F0D19"/>
    <w:rsid w:val="001478C3"/>
    <w:rsid w:val="00147C9F"/>
    <w:rsid w:val="001627AD"/>
    <w:rsid w:val="0016417E"/>
    <w:rsid w:val="001850C3"/>
    <w:rsid w:val="001949C0"/>
    <w:rsid w:val="00197132"/>
    <w:rsid w:val="001A3CC9"/>
    <w:rsid w:val="001B1A12"/>
    <w:rsid w:val="001C525A"/>
    <w:rsid w:val="001E3CD1"/>
    <w:rsid w:val="001E4C10"/>
    <w:rsid w:val="0020233F"/>
    <w:rsid w:val="00203DB4"/>
    <w:rsid w:val="0021265C"/>
    <w:rsid w:val="00224103"/>
    <w:rsid w:val="00245565"/>
    <w:rsid w:val="00267CAE"/>
    <w:rsid w:val="00277EFB"/>
    <w:rsid w:val="00292C81"/>
    <w:rsid w:val="00296028"/>
    <w:rsid w:val="0029602D"/>
    <w:rsid w:val="002A453C"/>
    <w:rsid w:val="002B4DA3"/>
    <w:rsid w:val="003032E7"/>
    <w:rsid w:val="003058E3"/>
    <w:rsid w:val="0031353D"/>
    <w:rsid w:val="00324881"/>
    <w:rsid w:val="003467B5"/>
    <w:rsid w:val="00357AD8"/>
    <w:rsid w:val="00362CCE"/>
    <w:rsid w:val="00384CA5"/>
    <w:rsid w:val="00393585"/>
    <w:rsid w:val="0039404F"/>
    <w:rsid w:val="003E097F"/>
    <w:rsid w:val="003E43DD"/>
    <w:rsid w:val="003F3CF7"/>
    <w:rsid w:val="00401268"/>
    <w:rsid w:val="00403B12"/>
    <w:rsid w:val="00406F41"/>
    <w:rsid w:val="00433233"/>
    <w:rsid w:val="00464C4A"/>
    <w:rsid w:val="00483124"/>
    <w:rsid w:val="004A5446"/>
    <w:rsid w:val="004A5CA7"/>
    <w:rsid w:val="004B08F9"/>
    <w:rsid w:val="004B30E0"/>
    <w:rsid w:val="004B7962"/>
    <w:rsid w:val="004E518D"/>
    <w:rsid w:val="004F2BF9"/>
    <w:rsid w:val="00507C49"/>
    <w:rsid w:val="005116DF"/>
    <w:rsid w:val="00524BBC"/>
    <w:rsid w:val="00525820"/>
    <w:rsid w:val="0056455B"/>
    <w:rsid w:val="005717DE"/>
    <w:rsid w:val="005B6D9E"/>
    <w:rsid w:val="005D027A"/>
    <w:rsid w:val="006158A7"/>
    <w:rsid w:val="00615916"/>
    <w:rsid w:val="006321E6"/>
    <w:rsid w:val="006372DC"/>
    <w:rsid w:val="00654DF9"/>
    <w:rsid w:val="00670FDB"/>
    <w:rsid w:val="00672FF3"/>
    <w:rsid w:val="006B4A73"/>
    <w:rsid w:val="006C185D"/>
    <w:rsid w:val="006C3A05"/>
    <w:rsid w:val="006D6F9A"/>
    <w:rsid w:val="006E24D9"/>
    <w:rsid w:val="00703270"/>
    <w:rsid w:val="00717D96"/>
    <w:rsid w:val="00731006"/>
    <w:rsid w:val="00752667"/>
    <w:rsid w:val="007539AC"/>
    <w:rsid w:val="00791BA7"/>
    <w:rsid w:val="00794282"/>
    <w:rsid w:val="00794FCF"/>
    <w:rsid w:val="007A66F7"/>
    <w:rsid w:val="007B1067"/>
    <w:rsid w:val="007F56FA"/>
    <w:rsid w:val="00811400"/>
    <w:rsid w:val="00814E85"/>
    <w:rsid w:val="008162AB"/>
    <w:rsid w:val="00847392"/>
    <w:rsid w:val="00860D57"/>
    <w:rsid w:val="00872553"/>
    <w:rsid w:val="008758CF"/>
    <w:rsid w:val="00882AB0"/>
    <w:rsid w:val="0088682A"/>
    <w:rsid w:val="008901C8"/>
    <w:rsid w:val="008960E1"/>
    <w:rsid w:val="008A3273"/>
    <w:rsid w:val="008A75EC"/>
    <w:rsid w:val="008B1BB1"/>
    <w:rsid w:val="008B713F"/>
    <w:rsid w:val="0090081A"/>
    <w:rsid w:val="0090254F"/>
    <w:rsid w:val="00904F8D"/>
    <w:rsid w:val="009300AD"/>
    <w:rsid w:val="00933BF5"/>
    <w:rsid w:val="00947654"/>
    <w:rsid w:val="00964FFD"/>
    <w:rsid w:val="00992879"/>
    <w:rsid w:val="00994578"/>
    <w:rsid w:val="009A2108"/>
    <w:rsid w:val="009B1C97"/>
    <w:rsid w:val="009D2F1A"/>
    <w:rsid w:val="009D3B0C"/>
    <w:rsid w:val="009E234A"/>
    <w:rsid w:val="009F62F1"/>
    <w:rsid w:val="00A03104"/>
    <w:rsid w:val="00A34EFA"/>
    <w:rsid w:val="00A41751"/>
    <w:rsid w:val="00A42197"/>
    <w:rsid w:val="00A45230"/>
    <w:rsid w:val="00A469F5"/>
    <w:rsid w:val="00A570F2"/>
    <w:rsid w:val="00A76EAC"/>
    <w:rsid w:val="00A93FE3"/>
    <w:rsid w:val="00A97F16"/>
    <w:rsid w:val="00AD51E4"/>
    <w:rsid w:val="00B006A5"/>
    <w:rsid w:val="00B201C8"/>
    <w:rsid w:val="00B42AE6"/>
    <w:rsid w:val="00B55271"/>
    <w:rsid w:val="00B633AF"/>
    <w:rsid w:val="00B710EF"/>
    <w:rsid w:val="00B77EF4"/>
    <w:rsid w:val="00B93D30"/>
    <w:rsid w:val="00BA3997"/>
    <w:rsid w:val="00BB13CD"/>
    <w:rsid w:val="00BC3635"/>
    <w:rsid w:val="00BD7308"/>
    <w:rsid w:val="00BE1EDD"/>
    <w:rsid w:val="00BF5165"/>
    <w:rsid w:val="00C602E7"/>
    <w:rsid w:val="00C8744A"/>
    <w:rsid w:val="00C95C53"/>
    <w:rsid w:val="00CB59FE"/>
    <w:rsid w:val="00CC1039"/>
    <w:rsid w:val="00CD4CBA"/>
    <w:rsid w:val="00CD79AB"/>
    <w:rsid w:val="00CE53A6"/>
    <w:rsid w:val="00D10071"/>
    <w:rsid w:val="00D20161"/>
    <w:rsid w:val="00D255B5"/>
    <w:rsid w:val="00D46D67"/>
    <w:rsid w:val="00D520B3"/>
    <w:rsid w:val="00D67B99"/>
    <w:rsid w:val="00D86EEA"/>
    <w:rsid w:val="00DA2C3B"/>
    <w:rsid w:val="00DF3E42"/>
    <w:rsid w:val="00DF5061"/>
    <w:rsid w:val="00E168D2"/>
    <w:rsid w:val="00E37E06"/>
    <w:rsid w:val="00E57BC6"/>
    <w:rsid w:val="00E60BA1"/>
    <w:rsid w:val="00E76D8F"/>
    <w:rsid w:val="00E80DAA"/>
    <w:rsid w:val="00EA3E32"/>
    <w:rsid w:val="00EB1AE1"/>
    <w:rsid w:val="00EB3D1B"/>
    <w:rsid w:val="00EB5F45"/>
    <w:rsid w:val="00ED4EE0"/>
    <w:rsid w:val="00EE79E5"/>
    <w:rsid w:val="00F00B48"/>
    <w:rsid w:val="00F14380"/>
    <w:rsid w:val="00F359B7"/>
    <w:rsid w:val="00F61802"/>
    <w:rsid w:val="00F66CBC"/>
    <w:rsid w:val="00F679D8"/>
    <w:rsid w:val="00F873A8"/>
    <w:rsid w:val="00F9433A"/>
    <w:rsid w:val="00FC509C"/>
    <w:rsid w:val="00FD097D"/>
    <w:rsid w:val="00FE09A6"/>
    <w:rsid w:val="00FE565A"/>
    <w:rsid w:val="00FF79F5"/>
    <w:rsid w:val="08F13A14"/>
    <w:rsid w:val="12244244"/>
    <w:rsid w:val="1F2A5AAD"/>
    <w:rsid w:val="24513DF0"/>
    <w:rsid w:val="260E4C56"/>
    <w:rsid w:val="26F370BB"/>
    <w:rsid w:val="2BF7459C"/>
    <w:rsid w:val="320F65EA"/>
    <w:rsid w:val="39ED4B78"/>
    <w:rsid w:val="3F655EB4"/>
    <w:rsid w:val="40B05A8E"/>
    <w:rsid w:val="4C060B8F"/>
    <w:rsid w:val="4C55465C"/>
    <w:rsid w:val="5B8E3615"/>
    <w:rsid w:val="5BEE48DD"/>
    <w:rsid w:val="61DD6819"/>
    <w:rsid w:val="626E175D"/>
    <w:rsid w:val="64C3180F"/>
    <w:rsid w:val="65AC6F1D"/>
    <w:rsid w:val="7FB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1E0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rPr>
      <w:rFonts w:ascii="宋体"/>
      <w:sz w:val="18"/>
      <w:szCs w:val="18"/>
    </w:rPr>
  </w:style>
  <w:style w:type="paragraph" w:styleId="a5">
    <w:name w:val="annotation subject"/>
    <w:basedOn w:val="a3"/>
    <w:next w:val="a3"/>
    <w:link w:val="Char1"/>
    <w:qFormat/>
    <w:rPr>
      <w:b/>
      <w:bCs/>
    </w:rPr>
  </w:style>
  <w:style w:type="character" w:styleId="a6">
    <w:name w:val="annotation reference"/>
    <w:basedOn w:val="a0"/>
    <w:rPr>
      <w:sz w:val="21"/>
      <w:szCs w:val="21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kern w:val="2"/>
      <w:sz w:val="21"/>
    </w:rPr>
  </w:style>
  <w:style w:type="character" w:customStyle="1" w:styleId="Char1">
    <w:name w:val="批注主题 Char"/>
    <w:basedOn w:val="Char"/>
    <w:link w:val="a5"/>
    <w:rPr>
      <w:rFonts w:ascii="Times New Roman" w:eastAsia="宋体" w:hAnsi="Times New Roman" w:cs="Times New Roman"/>
      <w:b/>
      <w:bCs/>
      <w:kern w:val="2"/>
      <w:sz w:val="21"/>
    </w:rPr>
  </w:style>
  <w:style w:type="character" w:customStyle="1" w:styleId="Char0">
    <w:name w:val="批注框文本 Char"/>
    <w:basedOn w:val="a0"/>
    <w:link w:val="a4"/>
    <w:rPr>
      <w:rFonts w:ascii="宋体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2"/>
    <w:rsid w:val="00571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5717DE"/>
    <w:rPr>
      <w:kern w:val="2"/>
      <w:sz w:val="18"/>
      <w:szCs w:val="18"/>
    </w:rPr>
  </w:style>
  <w:style w:type="paragraph" w:styleId="a8">
    <w:name w:val="footer"/>
    <w:basedOn w:val="a"/>
    <w:link w:val="Char3"/>
    <w:rsid w:val="00571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5717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alloon Text"/>
    <w:basedOn w:val="a"/>
    <w:link w:val="Char0"/>
    <w:rPr>
      <w:rFonts w:ascii="宋体"/>
      <w:sz w:val="18"/>
      <w:szCs w:val="18"/>
    </w:rPr>
  </w:style>
  <w:style w:type="paragraph" w:styleId="a5">
    <w:name w:val="annotation subject"/>
    <w:basedOn w:val="a3"/>
    <w:next w:val="a3"/>
    <w:link w:val="Char1"/>
    <w:qFormat/>
    <w:rPr>
      <w:b/>
      <w:bCs/>
    </w:rPr>
  </w:style>
  <w:style w:type="character" w:styleId="a6">
    <w:name w:val="annotation reference"/>
    <w:basedOn w:val="a0"/>
    <w:rPr>
      <w:sz w:val="21"/>
      <w:szCs w:val="21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kern w:val="2"/>
      <w:sz w:val="21"/>
    </w:rPr>
  </w:style>
  <w:style w:type="character" w:customStyle="1" w:styleId="Char1">
    <w:name w:val="批注主题 Char"/>
    <w:basedOn w:val="Char"/>
    <w:link w:val="a5"/>
    <w:rPr>
      <w:rFonts w:ascii="Times New Roman" w:eastAsia="宋体" w:hAnsi="Times New Roman" w:cs="Times New Roman"/>
      <w:b/>
      <w:bCs/>
      <w:kern w:val="2"/>
      <w:sz w:val="21"/>
    </w:rPr>
  </w:style>
  <w:style w:type="character" w:customStyle="1" w:styleId="Char0">
    <w:name w:val="批注框文本 Char"/>
    <w:basedOn w:val="a0"/>
    <w:link w:val="a4"/>
    <w:rPr>
      <w:rFonts w:ascii="宋体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2"/>
    <w:rsid w:val="00571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5717DE"/>
    <w:rPr>
      <w:kern w:val="2"/>
      <w:sz w:val="18"/>
      <w:szCs w:val="18"/>
    </w:rPr>
  </w:style>
  <w:style w:type="paragraph" w:styleId="a8">
    <w:name w:val="footer"/>
    <w:basedOn w:val="a"/>
    <w:link w:val="Char3"/>
    <w:rsid w:val="00571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rsid w:val="005717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1D2B0-0F7B-4F8F-B694-55D5FDEE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86156</dc:creator>
  <cp:lastModifiedBy>檀</cp:lastModifiedBy>
  <cp:revision>3</cp:revision>
  <dcterms:created xsi:type="dcterms:W3CDTF">2020-11-03T05:54:00Z</dcterms:created>
  <dcterms:modified xsi:type="dcterms:W3CDTF">2020-11-03T06:02:00Z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