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60BB" w14:textId="77777777" w:rsidR="00AF0F54" w:rsidRDefault="002A5413" w:rsidP="004A534D">
      <w:pPr>
        <w:pStyle w:val="a3"/>
        <w:spacing w:line="364" w:lineRule="auto"/>
        <w:jc w:val="center"/>
      </w:pPr>
      <w:r>
        <w:rPr>
          <w:b/>
          <w:sz w:val="28"/>
          <w:szCs w:val="28"/>
        </w:rPr>
        <w:t>重庆新大正物业集团股份有限公司</w:t>
      </w:r>
    </w:p>
    <w:p w14:paraId="3AD2D26E" w14:textId="77777777" w:rsidR="00AF0F54" w:rsidRDefault="002A5413" w:rsidP="004A534D">
      <w:pPr>
        <w:pStyle w:val="a3"/>
        <w:spacing w:line="364" w:lineRule="auto"/>
        <w:jc w:val="center"/>
      </w:pPr>
      <w:r>
        <w:rPr>
          <w:b/>
          <w:sz w:val="28"/>
          <w:szCs w:val="28"/>
        </w:rPr>
        <w:t>投资者关系活动记录表</w:t>
      </w:r>
    </w:p>
    <w:p w14:paraId="44DFA066" w14:textId="77777777" w:rsidR="00AF0F54" w:rsidRDefault="00AF0F54">
      <w:pPr>
        <w:pStyle w:val="a3"/>
      </w:pP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2157"/>
        <w:gridCol w:w="4128"/>
      </w:tblGrid>
      <w:tr w:rsidR="00AF0F54" w14:paraId="2157FB04" w14:textId="77777777">
        <w:trPr>
          <w:trHeight w:val="450"/>
        </w:trPr>
        <w:tc>
          <w:tcPr>
            <w:tcW w:w="1969" w:type="dxa"/>
            <w:vMerge w:val="restart"/>
            <w:vAlign w:val="center"/>
          </w:tcPr>
          <w:p w14:paraId="52194C1C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投资者关系</w:t>
            </w:r>
            <w:r>
              <w:br/>
            </w:r>
            <w:r>
              <w:rPr>
                <w:b/>
                <w:sz w:val="24"/>
              </w:rPr>
              <w:t>活动类别</w:t>
            </w:r>
          </w:p>
        </w:tc>
        <w:tc>
          <w:tcPr>
            <w:tcW w:w="2157" w:type="dxa"/>
          </w:tcPr>
          <w:p w14:paraId="2F89ACF5" w14:textId="77777777" w:rsidR="00AF0F54" w:rsidRDefault="002A5413">
            <w:pPr>
              <w:jc w:val="left"/>
            </w:pPr>
            <w:r w:rsidRPr="002A5413">
              <w:rPr>
                <w:color w:val="333333"/>
                <w:sz w:val="13"/>
                <w:szCs w:val="15"/>
              </w:rPr>
              <w:t>☑</w:t>
            </w:r>
            <w:r>
              <w:rPr>
                <w:sz w:val="24"/>
              </w:rPr>
              <w:t>特定对象调研</w:t>
            </w:r>
          </w:p>
        </w:tc>
        <w:tc>
          <w:tcPr>
            <w:tcW w:w="4127" w:type="dxa"/>
          </w:tcPr>
          <w:p w14:paraId="4FBD043A" w14:textId="77777777" w:rsidR="00AF0F54" w:rsidRDefault="002A5413">
            <w:pPr>
              <w:jc w:val="left"/>
            </w:pPr>
            <w:r>
              <w:rPr>
                <w:sz w:val="24"/>
              </w:rPr>
              <w:t>□分析</w:t>
            </w:r>
            <w:proofErr w:type="gramStart"/>
            <w:r>
              <w:rPr>
                <w:sz w:val="24"/>
              </w:rPr>
              <w:t>师会议</w:t>
            </w:r>
            <w:proofErr w:type="gramEnd"/>
          </w:p>
        </w:tc>
      </w:tr>
      <w:tr w:rsidR="00AF0F54" w14:paraId="11AF6ABC" w14:textId="77777777">
        <w:trPr>
          <w:trHeight w:val="465"/>
        </w:trPr>
        <w:tc>
          <w:tcPr>
            <w:tcW w:w="1969" w:type="dxa"/>
            <w:vMerge/>
            <w:vAlign w:val="center"/>
          </w:tcPr>
          <w:p w14:paraId="4745890B" w14:textId="77777777" w:rsidR="00AF0F54" w:rsidRDefault="00AF0F54">
            <w:pPr>
              <w:jc w:val="center"/>
            </w:pPr>
          </w:p>
        </w:tc>
        <w:tc>
          <w:tcPr>
            <w:tcW w:w="2157" w:type="dxa"/>
          </w:tcPr>
          <w:p w14:paraId="51A73480" w14:textId="77777777" w:rsidR="00AF0F54" w:rsidRDefault="002A5413">
            <w:pPr>
              <w:jc w:val="left"/>
            </w:pPr>
            <w:r>
              <w:rPr>
                <w:sz w:val="24"/>
              </w:rPr>
              <w:t>□媒体采访</w:t>
            </w:r>
          </w:p>
        </w:tc>
        <w:tc>
          <w:tcPr>
            <w:tcW w:w="4127" w:type="dxa"/>
          </w:tcPr>
          <w:p w14:paraId="1695F39C" w14:textId="77777777" w:rsidR="00AF0F54" w:rsidRDefault="002A5413">
            <w:pPr>
              <w:jc w:val="left"/>
            </w:pPr>
            <w:r>
              <w:rPr>
                <w:sz w:val="24"/>
              </w:rPr>
              <w:t>□业绩说明会</w:t>
            </w:r>
          </w:p>
        </w:tc>
      </w:tr>
      <w:tr w:rsidR="00AF0F54" w14:paraId="0898FF7A" w14:textId="77777777">
        <w:trPr>
          <w:trHeight w:val="465"/>
        </w:trPr>
        <w:tc>
          <w:tcPr>
            <w:tcW w:w="1969" w:type="dxa"/>
            <w:vMerge/>
            <w:vAlign w:val="center"/>
          </w:tcPr>
          <w:p w14:paraId="119E7794" w14:textId="77777777" w:rsidR="00AF0F54" w:rsidRDefault="00AF0F54">
            <w:pPr>
              <w:jc w:val="center"/>
            </w:pPr>
          </w:p>
        </w:tc>
        <w:tc>
          <w:tcPr>
            <w:tcW w:w="2157" w:type="dxa"/>
          </w:tcPr>
          <w:p w14:paraId="075E34F9" w14:textId="77777777" w:rsidR="00AF0F54" w:rsidRDefault="002A5413">
            <w:pPr>
              <w:jc w:val="left"/>
            </w:pPr>
            <w:r>
              <w:rPr>
                <w:sz w:val="24"/>
              </w:rPr>
              <w:t>□新闻发布会</w:t>
            </w:r>
          </w:p>
        </w:tc>
        <w:tc>
          <w:tcPr>
            <w:tcW w:w="4127" w:type="dxa"/>
          </w:tcPr>
          <w:p w14:paraId="4422DD85" w14:textId="77777777" w:rsidR="00AF0F54" w:rsidRDefault="002A5413">
            <w:pPr>
              <w:jc w:val="left"/>
            </w:pPr>
            <w:r>
              <w:rPr>
                <w:sz w:val="24"/>
              </w:rPr>
              <w:t>□路演活动</w:t>
            </w:r>
          </w:p>
        </w:tc>
      </w:tr>
      <w:tr w:rsidR="00AF0F54" w14:paraId="17EEBD25" w14:textId="77777777">
        <w:trPr>
          <w:trHeight w:val="450"/>
        </w:trPr>
        <w:tc>
          <w:tcPr>
            <w:tcW w:w="1969" w:type="dxa"/>
            <w:vMerge/>
            <w:vAlign w:val="center"/>
          </w:tcPr>
          <w:p w14:paraId="708D9BB9" w14:textId="77777777" w:rsidR="00AF0F54" w:rsidRDefault="00AF0F54">
            <w:pPr>
              <w:jc w:val="center"/>
            </w:pPr>
          </w:p>
        </w:tc>
        <w:tc>
          <w:tcPr>
            <w:tcW w:w="2157" w:type="dxa"/>
          </w:tcPr>
          <w:p w14:paraId="039BEF16" w14:textId="77777777" w:rsidR="00AF0F54" w:rsidRDefault="002A5413">
            <w:pPr>
              <w:jc w:val="left"/>
            </w:pPr>
            <w:r>
              <w:rPr>
                <w:sz w:val="24"/>
              </w:rPr>
              <w:t>□现场参观</w:t>
            </w:r>
          </w:p>
        </w:tc>
        <w:tc>
          <w:tcPr>
            <w:tcW w:w="4127" w:type="dxa"/>
          </w:tcPr>
          <w:p w14:paraId="102FE19B" w14:textId="77777777" w:rsidR="00AF0F54" w:rsidRDefault="002A5413">
            <w:pPr>
              <w:jc w:val="left"/>
            </w:pPr>
            <w:r>
              <w:rPr>
                <w:sz w:val="24"/>
              </w:rPr>
              <w:t>□其他（</w:t>
            </w:r>
            <w:proofErr w:type="gramStart"/>
            <w:r>
              <w:rPr>
                <w:sz w:val="24"/>
              </w:rPr>
              <w:t>请文字</w:t>
            </w:r>
            <w:proofErr w:type="gramEnd"/>
            <w:r>
              <w:rPr>
                <w:sz w:val="24"/>
              </w:rPr>
              <w:t>说明其他活动内容）</w:t>
            </w:r>
          </w:p>
        </w:tc>
      </w:tr>
      <w:tr w:rsidR="00AF0F54" w14:paraId="1AF75B35" w14:textId="77777777" w:rsidTr="002A5413">
        <w:trPr>
          <w:trHeight w:val="973"/>
        </w:trPr>
        <w:tc>
          <w:tcPr>
            <w:tcW w:w="1969" w:type="dxa"/>
            <w:vAlign w:val="center"/>
          </w:tcPr>
          <w:p w14:paraId="3CDAF302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参与单位名称</w:t>
            </w:r>
            <w:r>
              <w:br/>
            </w:r>
            <w:r>
              <w:rPr>
                <w:b/>
                <w:sz w:val="24"/>
              </w:rPr>
              <w:t>及人员姓名</w:t>
            </w:r>
          </w:p>
        </w:tc>
        <w:tc>
          <w:tcPr>
            <w:tcW w:w="6284" w:type="dxa"/>
            <w:gridSpan w:val="2"/>
            <w:vAlign w:val="center"/>
          </w:tcPr>
          <w:p w14:paraId="36A960E7" w14:textId="77777777" w:rsidR="00AF0F54" w:rsidRDefault="002A5413">
            <w:pPr>
              <w:jc w:val="left"/>
            </w:pPr>
            <w:r>
              <w:rPr>
                <w:sz w:val="24"/>
              </w:rPr>
              <w:t>兴业证券/徐鸥鹭、杨丹丹、</w:t>
            </w:r>
            <w:proofErr w:type="gramStart"/>
            <w:r>
              <w:rPr>
                <w:sz w:val="24"/>
              </w:rPr>
              <w:t>天弘基金</w:t>
            </w:r>
            <w:proofErr w:type="gramEnd"/>
            <w:r>
              <w:rPr>
                <w:sz w:val="24"/>
              </w:rPr>
              <w:t>/唐博、湘</w:t>
            </w:r>
            <w:proofErr w:type="gramStart"/>
            <w:r>
              <w:rPr>
                <w:sz w:val="24"/>
              </w:rPr>
              <w:t>财基金</w:t>
            </w:r>
            <w:proofErr w:type="gramEnd"/>
            <w:r>
              <w:rPr>
                <w:sz w:val="24"/>
              </w:rPr>
              <w:t>/贝敏、广</w:t>
            </w:r>
            <w:proofErr w:type="gramStart"/>
            <w:r>
              <w:rPr>
                <w:sz w:val="24"/>
              </w:rPr>
              <w:t>发资管</w:t>
            </w:r>
            <w:proofErr w:type="gramEnd"/>
            <w:r>
              <w:rPr>
                <w:sz w:val="24"/>
              </w:rPr>
              <w:t>/廖凌、景仁资本/何佳萍、</w:t>
            </w:r>
            <w:proofErr w:type="gramStart"/>
            <w:r>
              <w:rPr>
                <w:sz w:val="24"/>
              </w:rPr>
              <w:t>朋元资产</w:t>
            </w:r>
            <w:proofErr w:type="gramEnd"/>
            <w:r>
              <w:rPr>
                <w:sz w:val="24"/>
              </w:rPr>
              <w:t>/郭可</w:t>
            </w:r>
          </w:p>
        </w:tc>
      </w:tr>
      <w:tr w:rsidR="00AF0F54" w14:paraId="1E2DEBB8" w14:textId="77777777" w:rsidTr="002A5413">
        <w:trPr>
          <w:trHeight w:val="576"/>
        </w:trPr>
        <w:tc>
          <w:tcPr>
            <w:tcW w:w="1969" w:type="dxa"/>
            <w:vAlign w:val="center"/>
          </w:tcPr>
          <w:p w14:paraId="1E72B934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时 间</w:t>
            </w:r>
          </w:p>
        </w:tc>
        <w:tc>
          <w:tcPr>
            <w:tcW w:w="6284" w:type="dxa"/>
            <w:gridSpan w:val="2"/>
            <w:vAlign w:val="center"/>
          </w:tcPr>
          <w:p w14:paraId="3237B52A" w14:textId="77777777" w:rsidR="00AF0F54" w:rsidRDefault="002A5413">
            <w:pPr>
              <w:jc w:val="left"/>
            </w:pPr>
            <w:r>
              <w:rPr>
                <w:sz w:val="24"/>
              </w:rPr>
              <w:t>2020年11月3日  10:30</w:t>
            </w:r>
          </w:p>
        </w:tc>
      </w:tr>
      <w:tr w:rsidR="00AF0F54" w14:paraId="12CCC14D" w14:textId="77777777" w:rsidTr="002A5413">
        <w:trPr>
          <w:trHeight w:val="556"/>
        </w:trPr>
        <w:tc>
          <w:tcPr>
            <w:tcW w:w="1969" w:type="dxa"/>
            <w:vAlign w:val="center"/>
          </w:tcPr>
          <w:p w14:paraId="62B8B50D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地 点</w:t>
            </w:r>
          </w:p>
        </w:tc>
        <w:tc>
          <w:tcPr>
            <w:tcW w:w="6284" w:type="dxa"/>
            <w:gridSpan w:val="2"/>
            <w:vAlign w:val="center"/>
          </w:tcPr>
          <w:p w14:paraId="6306B14D" w14:textId="77777777" w:rsidR="00AF0F54" w:rsidRDefault="002A5413">
            <w:pPr>
              <w:jc w:val="left"/>
            </w:pPr>
            <w:r>
              <w:rPr>
                <w:sz w:val="24"/>
              </w:rPr>
              <w:t>重庆新大正物业集团股份有限公司会议室</w:t>
            </w:r>
          </w:p>
        </w:tc>
      </w:tr>
      <w:tr w:rsidR="00AF0F54" w14:paraId="6F541C45" w14:textId="77777777">
        <w:trPr>
          <w:trHeight w:val="930"/>
        </w:trPr>
        <w:tc>
          <w:tcPr>
            <w:tcW w:w="1969" w:type="dxa"/>
            <w:vAlign w:val="center"/>
          </w:tcPr>
          <w:p w14:paraId="542050C8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上市公司接待</w:t>
            </w:r>
            <w:r>
              <w:br/>
            </w:r>
            <w:r>
              <w:rPr>
                <w:b/>
                <w:sz w:val="24"/>
              </w:rPr>
              <w:t>人员姓名</w:t>
            </w:r>
          </w:p>
        </w:tc>
        <w:tc>
          <w:tcPr>
            <w:tcW w:w="6284" w:type="dxa"/>
            <w:gridSpan w:val="2"/>
            <w:vAlign w:val="center"/>
          </w:tcPr>
          <w:p w14:paraId="76C7F021" w14:textId="77777777" w:rsidR="00AF0F54" w:rsidRDefault="002A5413" w:rsidP="004A534D">
            <w:r>
              <w:rPr>
                <w:sz w:val="24"/>
              </w:rPr>
              <w:t>助理总裁、董事会秘书翁家林、财务管理中心总经理熊淑英、证券事务代表王骁、证券主管谢航</w:t>
            </w:r>
          </w:p>
        </w:tc>
      </w:tr>
      <w:tr w:rsidR="00AF0F54" w14:paraId="3FD9650E" w14:textId="77777777">
        <w:trPr>
          <w:trHeight w:val="930"/>
        </w:trPr>
        <w:tc>
          <w:tcPr>
            <w:tcW w:w="1969" w:type="dxa"/>
          </w:tcPr>
          <w:p w14:paraId="08CD6DB1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投资者关系活动</w:t>
            </w:r>
            <w:r>
              <w:br/>
            </w:r>
            <w:r>
              <w:rPr>
                <w:b/>
                <w:sz w:val="24"/>
              </w:rPr>
              <w:t>主要内容介绍</w:t>
            </w:r>
          </w:p>
        </w:tc>
        <w:tc>
          <w:tcPr>
            <w:tcW w:w="6284" w:type="dxa"/>
            <w:gridSpan w:val="2"/>
          </w:tcPr>
          <w:p w14:paraId="4BF5E50F" w14:textId="77777777" w:rsidR="00AF0F54" w:rsidRDefault="002A5413">
            <w:pPr>
              <w:jc w:val="left"/>
            </w:pPr>
            <w:r>
              <w:rPr>
                <w:b/>
                <w:sz w:val="24"/>
              </w:rPr>
              <w:t>议题一、公司基本业务介绍以及2020年第三季度业绩说明</w:t>
            </w:r>
          </w:p>
          <w:p w14:paraId="33614E69" w14:textId="6EB7D078" w:rsidR="00AF0F54" w:rsidRDefault="002A5413">
            <w:r>
              <w:rPr>
                <w:sz w:val="24"/>
              </w:rPr>
              <w:t xml:space="preserve">       公司第三季度营业收入32,538.20万元，较上年同期增长23.76%，净利润3,619.60万元，较上年同期增长20.02%。因疫情原因，公司在第一季度的投标工作及新项目的进场时间受到了较大的影响，在此情况下，公司克服困难不懈推进全国化市场拓展的战略，实现了业绩逐步向好增长，并在10月份实施了上市后的首次重要收并购。</w:t>
            </w:r>
          </w:p>
          <w:p w14:paraId="3709E371" w14:textId="77777777" w:rsidR="00AF0F54" w:rsidRDefault="00AF0F54"/>
          <w:p w14:paraId="116742F7" w14:textId="77777777" w:rsidR="00AF0F54" w:rsidRDefault="002A5413">
            <w:pPr>
              <w:jc w:val="left"/>
            </w:pPr>
            <w:r>
              <w:rPr>
                <w:b/>
                <w:sz w:val="24"/>
              </w:rPr>
              <w:t>议题二、投资者提问</w:t>
            </w:r>
          </w:p>
          <w:p w14:paraId="4180BA33" w14:textId="77777777" w:rsidR="00AF0F54" w:rsidRDefault="002A5413">
            <w:pPr>
              <w:jc w:val="left"/>
            </w:pPr>
            <w:r>
              <w:rPr>
                <w:sz w:val="24"/>
              </w:rPr>
              <w:t>问题一、公司全国化布局是如何考虑的？</w:t>
            </w:r>
          </w:p>
          <w:p w14:paraId="02740069" w14:textId="77777777" w:rsidR="00AF0F54" w:rsidRDefault="002A5413" w:rsidP="002A5413">
            <w:pPr>
              <w:ind w:firstLineChars="200" w:firstLine="480"/>
            </w:pPr>
            <w:r>
              <w:rPr>
                <w:sz w:val="24"/>
              </w:rPr>
              <w:t>公司目前已进入全国19个省市，33座城市，基本完成了全国化布点，布局方面主要聚焦在中心城市和优势业态，专注于扩大业务规模和城市业务的密度。公司目前的市场开拓、收并购都是围绕重点中心城市来进行的。</w:t>
            </w:r>
          </w:p>
          <w:p w14:paraId="3740735E" w14:textId="77777777" w:rsidR="00AF0F54" w:rsidRDefault="00AF0F54"/>
          <w:p w14:paraId="3E96B1F8" w14:textId="77777777" w:rsidR="00AF0F54" w:rsidRDefault="002A5413">
            <w:pPr>
              <w:jc w:val="left"/>
            </w:pPr>
            <w:r>
              <w:rPr>
                <w:sz w:val="24"/>
              </w:rPr>
              <w:t>问题二、公司对市场拓展有要求吗？</w:t>
            </w:r>
          </w:p>
          <w:p w14:paraId="36365940" w14:textId="77777777" w:rsidR="00AF0F54" w:rsidRDefault="002A5413" w:rsidP="002A5413">
            <w:pPr>
              <w:ind w:firstLineChars="200" w:firstLine="480"/>
            </w:pPr>
            <w:r>
              <w:rPr>
                <w:sz w:val="24"/>
              </w:rPr>
              <w:t>在上市前，主要是内部的市场开发；上市之后，也对合</w:t>
            </w:r>
            <w:r>
              <w:rPr>
                <w:sz w:val="24"/>
              </w:rPr>
              <w:lastRenderedPageBreak/>
              <w:t>作和并购做了目标设定。对于并购，我们更注重双方经营理念、价值趋同，这对项目运营、员工管理以及客户服务方面更有益处。</w:t>
            </w:r>
          </w:p>
          <w:p w14:paraId="5E0AC424" w14:textId="77777777" w:rsidR="00AF0F54" w:rsidRDefault="00AF0F54"/>
          <w:p w14:paraId="5E137563" w14:textId="77777777" w:rsidR="00AF0F54" w:rsidRDefault="002A5413">
            <w:pPr>
              <w:jc w:val="left"/>
            </w:pPr>
            <w:r>
              <w:rPr>
                <w:sz w:val="24"/>
              </w:rPr>
              <w:t>问题三、未来实施收并购对融资的需求大吗？</w:t>
            </w:r>
          </w:p>
          <w:p w14:paraId="2B8B4EC7" w14:textId="77777777" w:rsidR="00AF0F54" w:rsidRDefault="002A5413" w:rsidP="002A5413">
            <w:pPr>
              <w:ind w:firstLineChars="200" w:firstLine="480"/>
            </w:pPr>
            <w:r>
              <w:rPr>
                <w:sz w:val="24"/>
              </w:rPr>
              <w:t>物业行业具有现金</w:t>
            </w:r>
            <w:proofErr w:type="gramStart"/>
            <w:r>
              <w:rPr>
                <w:sz w:val="24"/>
              </w:rPr>
              <w:t>流稳定</w:t>
            </w:r>
            <w:proofErr w:type="gramEnd"/>
            <w:r>
              <w:rPr>
                <w:sz w:val="24"/>
              </w:rPr>
              <w:t>良好的行业特点。公司在近年的发展过程中没有遇到过较大的资金压力，有较为充足的自有资金；同时，公司在上市之后也获得更多的融资渠道，因此如有资金需求可以通过多种方式解决。</w:t>
            </w:r>
          </w:p>
          <w:p w14:paraId="1A59ECC8" w14:textId="77777777" w:rsidR="00AF0F54" w:rsidRDefault="00AF0F54"/>
          <w:p w14:paraId="06DD68E3" w14:textId="77777777" w:rsidR="00AF0F54" w:rsidRDefault="002A5413">
            <w:pPr>
              <w:jc w:val="left"/>
            </w:pPr>
            <w:r>
              <w:rPr>
                <w:sz w:val="24"/>
              </w:rPr>
              <w:t xml:space="preserve">问题四、收购项目除了西南地区，在其他地区有储备吗？ </w:t>
            </w:r>
          </w:p>
          <w:p w14:paraId="770D70BA" w14:textId="3DF2FF29" w:rsidR="00AF0F54" w:rsidRDefault="002A5413">
            <w:r>
              <w:rPr>
                <w:sz w:val="24"/>
              </w:rPr>
              <w:t xml:space="preserve">       公司未来会持续会做好内外部市场合作拓展，项目合作谈判根据监管相关要求，在进入实质阶段后及时进行公开信息披露。</w:t>
            </w:r>
          </w:p>
          <w:p w14:paraId="59AA8C79" w14:textId="77777777" w:rsidR="00AF0F54" w:rsidRDefault="00AF0F54"/>
          <w:p w14:paraId="7EDBF65D" w14:textId="77777777" w:rsidR="00AF0F54" w:rsidRDefault="002A5413">
            <w:pPr>
              <w:jc w:val="left"/>
            </w:pPr>
            <w:r>
              <w:rPr>
                <w:sz w:val="24"/>
              </w:rPr>
              <w:t>问题五、收费率在新项目和成熟项目有什么不同？</w:t>
            </w:r>
          </w:p>
          <w:p w14:paraId="57874A04" w14:textId="77777777" w:rsidR="00AF0F54" w:rsidRDefault="002A5413" w:rsidP="002A5413">
            <w:pPr>
              <w:ind w:firstLineChars="200" w:firstLine="480"/>
              <w:jc w:val="left"/>
            </w:pPr>
            <w:r>
              <w:rPr>
                <w:sz w:val="24"/>
              </w:rPr>
              <w:t>公司对项目设有收费率指标，新项目进场后，对于前期收费率的要求有一定时间的缓冲，更加专注于服务的质量以及客户的满意度，在缓冲期后，收费率指标会纳入公司常规考核体系。公司目前成熟项目的收费率略高于新项目，但两者差异极小。</w:t>
            </w:r>
          </w:p>
          <w:p w14:paraId="7C2F5B95" w14:textId="77777777" w:rsidR="00AF0F54" w:rsidRDefault="00AF0F54">
            <w:pPr>
              <w:jc w:val="left"/>
            </w:pPr>
          </w:p>
        </w:tc>
      </w:tr>
      <w:tr w:rsidR="00AF0F54" w14:paraId="6E7D9CB4" w14:textId="77777777">
        <w:trPr>
          <w:trHeight w:val="630"/>
        </w:trPr>
        <w:tc>
          <w:tcPr>
            <w:tcW w:w="1969" w:type="dxa"/>
            <w:vAlign w:val="center"/>
          </w:tcPr>
          <w:p w14:paraId="1206A2BB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284" w:type="dxa"/>
            <w:gridSpan w:val="2"/>
            <w:vAlign w:val="center"/>
          </w:tcPr>
          <w:p w14:paraId="239D8ED7" w14:textId="77777777" w:rsidR="00AF0F54" w:rsidRDefault="002A5413">
            <w:pPr>
              <w:jc w:val="left"/>
            </w:pPr>
            <w:r>
              <w:rPr>
                <w:sz w:val="24"/>
              </w:rPr>
              <w:t>无</w:t>
            </w:r>
          </w:p>
        </w:tc>
      </w:tr>
      <w:tr w:rsidR="00AF0F54" w14:paraId="7F9594E8" w14:textId="77777777">
        <w:trPr>
          <w:trHeight w:val="615"/>
        </w:trPr>
        <w:tc>
          <w:tcPr>
            <w:tcW w:w="1969" w:type="dxa"/>
            <w:vAlign w:val="center"/>
          </w:tcPr>
          <w:p w14:paraId="63F193FC" w14:textId="77777777" w:rsidR="00AF0F54" w:rsidRDefault="002A5413">
            <w:pPr>
              <w:jc w:val="center"/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6284" w:type="dxa"/>
            <w:gridSpan w:val="2"/>
          </w:tcPr>
          <w:p w14:paraId="45C70848" w14:textId="77777777" w:rsidR="00AF0F54" w:rsidRDefault="002A5413">
            <w:pPr>
              <w:jc w:val="left"/>
            </w:pPr>
            <w:r>
              <w:rPr>
                <w:sz w:val="24"/>
              </w:rPr>
              <w:t>2020年11月3日</w:t>
            </w:r>
          </w:p>
        </w:tc>
      </w:tr>
    </w:tbl>
    <w:p w14:paraId="287E97EC" w14:textId="77777777" w:rsidR="00AF0F54" w:rsidRDefault="00AF0F54">
      <w:pPr>
        <w:pStyle w:val="a3"/>
      </w:pPr>
    </w:p>
    <w:p w14:paraId="1B96F428" w14:textId="77777777" w:rsidR="00AF0F54" w:rsidRDefault="00AF0F54">
      <w:pPr>
        <w:pStyle w:val="a3"/>
      </w:pPr>
    </w:p>
    <w:p w14:paraId="09215796" w14:textId="77777777" w:rsidR="00AF0F54" w:rsidRDefault="00AF0F54">
      <w:pPr>
        <w:jc w:val="left"/>
      </w:pPr>
    </w:p>
    <w:sectPr w:rsidR="00AF0F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54"/>
    <w:rsid w:val="002A5413"/>
    <w:rsid w:val="004A534D"/>
    <w:rsid w:val="00A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3E26"/>
  <w15:docId w15:val="{5FA404AB-5885-475D-A056-CE7717D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软雅黑" w:eastAsia="微软雅黑" w:hAnsi="微软雅黑" w:cs="微软雅黑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Cs w:val="22"/>
    </w:rPr>
  </w:style>
  <w:style w:type="paragraph" w:customStyle="1" w:styleId="a4">
    <w:name w:val="石墨文档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">
    <w:name w:val="石墨文档标题 1"/>
    <w:next w:val="a3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3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3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3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qFormat/>
    <w:pPr>
      <w:pBdr>
        <w:left w:val="single" w:sz="30" w:space="10" w:color="F0F0F0"/>
      </w:pBdr>
    </w:pPr>
    <w:rPr>
      <w:color w:val="ADAD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xiao wang</cp:lastModifiedBy>
  <cp:revision>3</cp:revision>
  <dcterms:created xsi:type="dcterms:W3CDTF">2020-11-03T10:38:00Z</dcterms:created>
  <dcterms:modified xsi:type="dcterms:W3CDTF">2020-11-03T10:45:00Z</dcterms:modified>
</cp:coreProperties>
</file>