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EBC6" w14:textId="6CBF14BB" w:rsidR="00114067" w:rsidRDefault="009A6191" w:rsidP="00E103FB">
      <w:pPr>
        <w:spacing w:before="156" w:after="156" w:line="400" w:lineRule="exact"/>
        <w:rPr>
          <w:rFonts w:asci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002299</w:t>
      </w:r>
      <w:r>
        <w:rPr>
          <w:rFonts w:ascii="宋体" w:hAnsi="宋体" w:hint="eastAsia"/>
          <w:bCs/>
          <w:iCs/>
          <w:sz w:val="24"/>
        </w:rPr>
        <w:t xml:space="preserve">                               </w:t>
      </w:r>
      <w:r w:rsidR="005E5B88">
        <w:rPr>
          <w:rFonts w:ascii="宋体" w:hAnsi="宋体"/>
          <w:bCs/>
          <w:iCs/>
          <w:sz w:val="24"/>
        </w:rPr>
        <w:t xml:space="preserve"> </w:t>
      </w:r>
      <w:r>
        <w:rPr>
          <w:rFonts w:ascii="宋体" w:hAnsi="宋体" w:hint="eastAsia"/>
          <w:bCs/>
          <w:iCs/>
          <w:sz w:val="24"/>
        </w:rPr>
        <w:t xml:space="preserve">   证券简称：</w:t>
      </w:r>
      <w:proofErr w:type="gramStart"/>
      <w:r>
        <w:rPr>
          <w:rFonts w:ascii="宋体" w:hAnsi="宋体" w:hint="eastAsia"/>
          <w:bCs/>
          <w:iCs/>
          <w:sz w:val="24"/>
        </w:rPr>
        <w:t>圣农发展</w:t>
      </w:r>
      <w:proofErr w:type="gramEnd"/>
    </w:p>
    <w:p w14:paraId="63660656" w14:textId="77777777" w:rsidR="0002186D" w:rsidRDefault="00AA1750" w:rsidP="00C4463D">
      <w:pPr>
        <w:spacing w:beforeLines="100" w:before="312" w:afterLines="100" w:after="312" w:line="360" w:lineRule="auto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福建圣农发展股份有限公司投资者关系活动记录表</w:t>
      </w:r>
    </w:p>
    <w:p w14:paraId="5C0DF14D" w14:textId="3B8BF087" w:rsidR="0002186D" w:rsidRDefault="00AA1750">
      <w:pPr>
        <w:spacing w:line="400" w:lineRule="exact"/>
        <w:rPr>
          <w:rFonts w:asci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 w:rsidR="005E5B88">
        <w:rPr>
          <w:rFonts w:ascii="宋体" w:hAnsi="宋体"/>
          <w:bCs/>
          <w:iCs/>
          <w:sz w:val="24"/>
          <w:szCs w:val="24"/>
        </w:rPr>
        <w:t>2020</w:t>
      </w:r>
      <w:r w:rsidR="00B41C60">
        <w:rPr>
          <w:rFonts w:ascii="宋体" w:hAnsi="宋体" w:hint="eastAsia"/>
          <w:bCs/>
          <w:iCs/>
          <w:sz w:val="24"/>
          <w:szCs w:val="24"/>
        </w:rPr>
        <w:t>-</w:t>
      </w:r>
      <w:r w:rsidR="00720434">
        <w:rPr>
          <w:rFonts w:ascii="宋体" w:hAnsi="宋体" w:hint="eastAsia"/>
          <w:bCs/>
          <w:iCs/>
          <w:sz w:val="24"/>
          <w:szCs w:val="24"/>
        </w:rPr>
        <w:t>0</w:t>
      </w:r>
      <w:r w:rsidR="005E5B88">
        <w:rPr>
          <w:rFonts w:ascii="宋体" w:hAnsi="宋体"/>
          <w:bCs/>
          <w:iCs/>
          <w:sz w:val="24"/>
          <w:szCs w:val="24"/>
        </w:rPr>
        <w:t>01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02186D" w14:paraId="1FBE8101" w14:textId="77777777" w:rsidTr="00AD0FC5">
        <w:trPr>
          <w:trHeight w:val="2471"/>
          <w:jc w:val="center"/>
        </w:trPr>
        <w:tc>
          <w:tcPr>
            <w:tcW w:w="1908" w:type="dxa"/>
          </w:tcPr>
          <w:p w14:paraId="1DEEEB92" w14:textId="77777777"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71CFF649" w14:textId="77777777"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14:paraId="52283BD7" w14:textId="77777777"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Wingdings 2" w:hAnsi="Wingdings 2"/>
                <w:sz w:val="28"/>
                <w:szCs w:val="28"/>
              </w:rPr>
              <w:t>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6C8C818B" w14:textId="77777777"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6552948D" w14:textId="77777777"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2C19C429" w14:textId="77777777" w:rsidR="0002186D" w:rsidRDefault="00AA175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 w14:paraId="738711B0" w14:textId="77777777" w:rsidR="0002186D" w:rsidRDefault="00AA175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02186D" w14:paraId="2FD1C659" w14:textId="77777777" w:rsidTr="00AD0FC5">
        <w:trPr>
          <w:trHeight w:val="1021"/>
          <w:jc w:val="center"/>
        </w:trPr>
        <w:tc>
          <w:tcPr>
            <w:tcW w:w="1908" w:type="dxa"/>
          </w:tcPr>
          <w:p w14:paraId="6A67C4C6" w14:textId="77777777"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29F4CFB9" w14:textId="6E289D89" w:rsidR="005E5B88" w:rsidRPr="004A2D25" w:rsidRDefault="005E5B88" w:rsidP="00DE304C">
            <w:pPr>
              <w:spacing w:line="400" w:lineRule="atLeast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睿</w:t>
            </w:r>
            <w:proofErr w:type="gramEnd"/>
            <w:r>
              <w:rPr>
                <w:rFonts w:hint="eastAsia"/>
                <w:b/>
              </w:rPr>
              <w:t>远</w:t>
            </w:r>
            <w:r w:rsidR="00AD0FC5">
              <w:rPr>
                <w:rFonts w:hint="eastAsia"/>
                <w:b/>
              </w:rPr>
              <w:t>基金</w:t>
            </w:r>
            <w:r>
              <w:rPr>
                <w:rFonts w:hint="eastAsia"/>
                <w:b/>
              </w:rPr>
              <w:t>：</w:t>
            </w:r>
            <w:r w:rsidR="0047277B" w:rsidRPr="0047277B">
              <w:rPr>
                <w:rFonts w:hint="eastAsia"/>
                <w:b/>
              </w:rPr>
              <w:t>赵枫</w:t>
            </w:r>
            <w:r w:rsidR="0047277B">
              <w:rPr>
                <w:rFonts w:hint="eastAsia"/>
                <w:b/>
              </w:rPr>
              <w:t>、</w:t>
            </w:r>
            <w:r w:rsidR="0047277B" w:rsidRPr="0047277B">
              <w:rPr>
                <w:rFonts w:hint="eastAsia"/>
                <w:b/>
              </w:rPr>
              <w:t>杨</w:t>
            </w:r>
            <w:r w:rsidR="0047277B">
              <w:rPr>
                <w:rFonts w:hint="eastAsia"/>
                <w:b/>
              </w:rPr>
              <w:t>达治、</w:t>
            </w:r>
            <w:r w:rsidR="0047277B" w:rsidRPr="0047277B">
              <w:rPr>
                <w:rFonts w:hint="eastAsia"/>
                <w:b/>
              </w:rPr>
              <w:t>唐倩</w:t>
            </w:r>
            <w:r w:rsidR="0047277B">
              <w:rPr>
                <w:rFonts w:hint="eastAsia"/>
                <w:b/>
              </w:rPr>
              <w:t>、</w:t>
            </w:r>
            <w:r w:rsidR="0047277B" w:rsidRPr="0047277B">
              <w:rPr>
                <w:rFonts w:hint="eastAsia"/>
                <w:b/>
              </w:rPr>
              <w:t>艾菁</w:t>
            </w:r>
            <w:r w:rsidR="0047277B">
              <w:rPr>
                <w:rFonts w:hint="eastAsia"/>
                <w:b/>
              </w:rPr>
              <w:t>、</w:t>
            </w:r>
            <w:r w:rsidR="0047277B" w:rsidRPr="0047277B">
              <w:rPr>
                <w:rFonts w:hint="eastAsia"/>
                <w:b/>
              </w:rPr>
              <w:t>李政隆</w:t>
            </w:r>
            <w:r w:rsidR="0047277B">
              <w:rPr>
                <w:rFonts w:hint="eastAsia"/>
                <w:b/>
              </w:rPr>
              <w:t>、</w:t>
            </w:r>
            <w:r w:rsidR="0047277B" w:rsidRPr="0047277B">
              <w:rPr>
                <w:rFonts w:hint="eastAsia"/>
                <w:b/>
              </w:rPr>
              <w:t>黄云昊</w:t>
            </w:r>
          </w:p>
        </w:tc>
      </w:tr>
      <w:tr w:rsidR="0002186D" w14:paraId="0114BAA6" w14:textId="77777777" w:rsidTr="00AD0FC5">
        <w:trPr>
          <w:trHeight w:val="510"/>
          <w:jc w:val="center"/>
        </w:trPr>
        <w:tc>
          <w:tcPr>
            <w:tcW w:w="1908" w:type="dxa"/>
          </w:tcPr>
          <w:p w14:paraId="1DB30B84" w14:textId="77777777"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78CD8FDB" w14:textId="31B4B7AF" w:rsidR="0002186D" w:rsidRDefault="005E5B88" w:rsidP="004A2D25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</w:t>
            </w:r>
            <w:r w:rsidR="004A2D25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4A2D2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3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02186D" w14:paraId="28C82B8A" w14:textId="77777777" w:rsidTr="00AD0FC5">
        <w:trPr>
          <w:trHeight w:val="510"/>
          <w:jc w:val="center"/>
        </w:trPr>
        <w:tc>
          <w:tcPr>
            <w:tcW w:w="1908" w:type="dxa"/>
          </w:tcPr>
          <w:p w14:paraId="13492FF9" w14:textId="77777777"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79C229BD" w14:textId="77777777"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圣农发展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总部大楼</w:t>
            </w:r>
          </w:p>
        </w:tc>
      </w:tr>
      <w:tr w:rsidR="0002186D" w14:paraId="3BC21066" w14:textId="77777777" w:rsidTr="00AD0FC5">
        <w:trPr>
          <w:trHeight w:val="1021"/>
          <w:jc w:val="center"/>
        </w:trPr>
        <w:tc>
          <w:tcPr>
            <w:tcW w:w="1908" w:type="dxa"/>
          </w:tcPr>
          <w:p w14:paraId="223B1058" w14:textId="77777777"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4EEED72F" w14:textId="62B25132" w:rsidR="00A84869" w:rsidRDefault="00390C47" w:rsidP="00152E16">
            <w:pPr>
              <w:spacing w:line="40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傅芬芳、</w:t>
            </w:r>
            <w:r w:rsidR="00686BA7">
              <w:rPr>
                <w:rFonts w:ascii="宋体" w:hAnsi="宋体" w:hint="eastAsia"/>
                <w:bCs/>
                <w:iCs/>
                <w:sz w:val="24"/>
                <w:szCs w:val="24"/>
              </w:rPr>
              <w:t>廖俊杰</w:t>
            </w:r>
            <w:r w:rsidR="00C4463D">
              <w:rPr>
                <w:rFonts w:ascii="宋体" w:hAnsi="宋体" w:hint="eastAsia"/>
                <w:bCs/>
                <w:iCs/>
                <w:sz w:val="24"/>
                <w:szCs w:val="24"/>
              </w:rPr>
              <w:t>、曾丽梅</w:t>
            </w:r>
          </w:p>
        </w:tc>
      </w:tr>
      <w:tr w:rsidR="0002186D" w14:paraId="653CF286" w14:textId="77777777" w:rsidTr="00AD0FC5">
        <w:trPr>
          <w:trHeight w:val="1757"/>
          <w:jc w:val="center"/>
        </w:trPr>
        <w:tc>
          <w:tcPr>
            <w:tcW w:w="1908" w:type="dxa"/>
            <w:vAlign w:val="center"/>
          </w:tcPr>
          <w:p w14:paraId="1EFBE93B" w14:textId="77777777"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412F3D8C" w14:textId="77777777"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14:paraId="2D1B8087" w14:textId="0D97EC73" w:rsidR="00390C47" w:rsidRPr="00F21E55" w:rsidRDefault="00390C47" w:rsidP="00390C47">
            <w:pPr>
              <w:spacing w:line="360" w:lineRule="auto"/>
              <w:rPr>
                <w:rFonts w:ascii="宋体" w:hAnsi="宋体"/>
                <w:b/>
                <w:iCs/>
                <w:sz w:val="24"/>
                <w:szCs w:val="24"/>
              </w:rPr>
            </w:pPr>
            <w:r w:rsidRPr="00F21E55">
              <w:rPr>
                <w:rFonts w:ascii="宋体" w:hAnsi="宋体" w:hint="eastAsia"/>
                <w:b/>
                <w:iCs/>
                <w:sz w:val="24"/>
                <w:szCs w:val="24"/>
              </w:rPr>
              <w:t>1、来访人员向</w:t>
            </w:r>
            <w:r w:rsidR="00243252" w:rsidRPr="00F21E55">
              <w:rPr>
                <w:rFonts w:ascii="宋体" w:hAnsi="宋体" w:hint="eastAsia"/>
                <w:b/>
                <w:iCs/>
                <w:sz w:val="24"/>
                <w:szCs w:val="24"/>
              </w:rPr>
              <w:t>公司领导了解公司</w:t>
            </w:r>
            <w:r w:rsidRPr="00F21E55">
              <w:rPr>
                <w:rFonts w:ascii="宋体" w:hAnsi="宋体" w:hint="eastAsia"/>
                <w:b/>
                <w:iCs/>
                <w:sz w:val="24"/>
                <w:szCs w:val="24"/>
              </w:rPr>
              <w:t>经营亮点及优势。</w:t>
            </w:r>
          </w:p>
          <w:p w14:paraId="24598EFA" w14:textId="0C0B7FA8" w:rsidR="004408D2" w:rsidRDefault="00390C47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当前，在</w:t>
            </w:r>
            <w:r w:rsidR="00E05A43" w:rsidRPr="00D34008">
              <w:rPr>
                <w:rFonts w:ascii="宋体" w:hAnsi="宋体" w:hint="eastAsia"/>
                <w:bCs/>
                <w:iCs/>
                <w:sz w:val="24"/>
                <w:szCs w:val="24"/>
              </w:rPr>
              <w:t>同行业众多企业已步入亏损阶段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，公司业绩持续跑赢行业，并</w:t>
            </w:r>
            <w:r w:rsidR="0047277B">
              <w:rPr>
                <w:rFonts w:ascii="宋体" w:hAnsi="宋体" w:hint="eastAsia"/>
                <w:bCs/>
                <w:iCs/>
                <w:sz w:val="24"/>
                <w:szCs w:val="24"/>
              </w:rPr>
              <w:t>继续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保持较高盈利水平</w:t>
            </w:r>
            <w:r w:rsidR="0047277B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47277B" w:rsidRPr="0047277B">
              <w:rPr>
                <w:rFonts w:ascii="宋体" w:hAnsi="宋体" w:hint="eastAsia"/>
                <w:bCs/>
                <w:iCs/>
                <w:sz w:val="24"/>
                <w:szCs w:val="24"/>
              </w:rPr>
              <w:t>利润率和同行业差距逐步拉开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。而这一亮丽业绩并非一蹴而就，是建立在公司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多年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深挖内部管理及</w:t>
            </w:r>
            <w:r w:rsidR="00A24E03">
              <w:rPr>
                <w:rFonts w:ascii="宋体" w:hAnsi="宋体" w:hint="eastAsia"/>
                <w:bCs/>
                <w:iCs/>
                <w:sz w:val="24"/>
                <w:szCs w:val="24"/>
              </w:rPr>
              <w:t>严格实施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成本管控的基础上</w:t>
            </w:r>
            <w:r w:rsidR="0024325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A24E03">
              <w:rPr>
                <w:rFonts w:ascii="宋体" w:hAnsi="宋体" w:hint="eastAsia"/>
                <w:bCs/>
                <w:iCs/>
                <w:sz w:val="24"/>
                <w:szCs w:val="24"/>
              </w:rPr>
              <w:t>管理、</w:t>
            </w:r>
            <w:r w:rsidR="00243252">
              <w:rPr>
                <w:rFonts w:ascii="宋体" w:hAnsi="宋体" w:hint="eastAsia"/>
                <w:bCs/>
                <w:iCs/>
                <w:sz w:val="24"/>
                <w:szCs w:val="24"/>
              </w:rPr>
              <w:t>成本及溢价</w:t>
            </w:r>
            <w:r w:rsidR="004408D2">
              <w:rPr>
                <w:rFonts w:ascii="宋体" w:hAnsi="宋体" w:hint="eastAsia"/>
                <w:bCs/>
                <w:iCs/>
                <w:sz w:val="24"/>
                <w:szCs w:val="24"/>
              </w:rPr>
              <w:t>等</w:t>
            </w:r>
            <w:r w:rsidR="00243252">
              <w:rPr>
                <w:rFonts w:ascii="宋体" w:hAnsi="宋体" w:hint="eastAsia"/>
                <w:bCs/>
                <w:iCs/>
                <w:sz w:val="24"/>
                <w:szCs w:val="24"/>
              </w:rPr>
              <w:t>方面</w:t>
            </w:r>
            <w:r w:rsidR="004408D2">
              <w:rPr>
                <w:rFonts w:ascii="宋体" w:hAnsi="宋体" w:hint="eastAsia"/>
                <w:bCs/>
                <w:iCs/>
                <w:sz w:val="24"/>
                <w:szCs w:val="24"/>
              </w:rPr>
              <w:t>均得到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有效提升，具体表现在</w:t>
            </w:r>
            <w:r w:rsidR="004408D2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</w:p>
          <w:p w14:paraId="0A072606" w14:textId="0D9473F5" w:rsidR="004408D2" w:rsidRDefault="004408D2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）</w:t>
            </w:r>
            <w:r w:rsidRPr="00485DEB">
              <w:rPr>
                <w:rFonts w:ascii="宋体" w:hAnsi="宋体" w:hint="eastAsia"/>
                <w:bCs/>
                <w:iCs/>
                <w:sz w:val="24"/>
                <w:szCs w:val="24"/>
              </w:rPr>
              <w:t>在玉米等原料价格不断上涨的背景下，公司成本同比去年仍保持一定比例的降幅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。主要得益于公司</w:t>
            </w:r>
            <w:r w:rsidR="00485DEB" w:rsidRPr="00485DEB">
              <w:rPr>
                <w:rFonts w:ascii="宋体" w:hAnsi="宋体" w:hint="eastAsia"/>
                <w:bCs/>
                <w:iCs/>
                <w:sz w:val="24"/>
                <w:szCs w:val="24"/>
              </w:rPr>
              <w:t>自有种源比例的不断提升</w:t>
            </w:r>
            <w:r w:rsidR="00485DEB">
              <w:rPr>
                <w:rFonts w:ascii="宋体" w:hAnsi="宋体" w:hint="eastAsia"/>
                <w:bCs/>
                <w:iCs/>
                <w:sz w:val="24"/>
                <w:szCs w:val="24"/>
              </w:rPr>
              <w:t>以及多年来持续推进的</w:t>
            </w:r>
            <w:r w:rsidR="00485DEB" w:rsidRPr="00485DEB">
              <w:rPr>
                <w:rFonts w:ascii="宋体" w:hAnsi="宋体" w:hint="eastAsia"/>
                <w:bCs/>
                <w:iCs/>
                <w:sz w:val="24"/>
                <w:szCs w:val="24"/>
              </w:rPr>
              <w:t>精细化管理，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4408D2">
              <w:rPr>
                <w:rFonts w:ascii="宋体" w:hAnsi="宋体" w:hint="eastAsia"/>
                <w:bCs/>
                <w:iCs/>
                <w:sz w:val="24"/>
                <w:szCs w:val="24"/>
              </w:rPr>
              <w:t>一体化产业</w:t>
            </w:r>
            <w:proofErr w:type="gramStart"/>
            <w:r w:rsidRPr="004408D2">
              <w:rPr>
                <w:rFonts w:ascii="宋体" w:hAnsi="宋体" w:hint="eastAsia"/>
                <w:bCs/>
                <w:iCs/>
                <w:sz w:val="24"/>
                <w:szCs w:val="24"/>
              </w:rPr>
              <w:t>链规模</w:t>
            </w:r>
            <w:proofErr w:type="gramEnd"/>
            <w:r w:rsidRPr="004408D2">
              <w:rPr>
                <w:rFonts w:ascii="宋体" w:hAnsi="宋体" w:hint="eastAsia"/>
                <w:bCs/>
                <w:iCs/>
                <w:sz w:val="24"/>
                <w:szCs w:val="24"/>
              </w:rPr>
              <w:t>效应显著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485DEB">
              <w:rPr>
                <w:rFonts w:ascii="宋体" w:hAnsi="宋体" w:hint="eastAsia"/>
                <w:bCs/>
                <w:iCs/>
                <w:sz w:val="24"/>
                <w:szCs w:val="24"/>
              </w:rPr>
              <w:t>生产效率、管理水平得到较大提升</w:t>
            </w:r>
            <w:r w:rsidR="00485DEB" w:rsidRPr="00485DEB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163D027E" w14:textId="5EDE3EE6" w:rsidR="00485DEB" w:rsidRDefault="004408D2" w:rsidP="008828D2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2）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与行业鸡肉产品均价相比，公司鸡肉溢价程度逐年提升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一方面，公司一体化产业</w:t>
            </w:r>
            <w:proofErr w:type="gramStart"/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链</w:t>
            </w:r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有效</w:t>
            </w:r>
            <w:proofErr w:type="gramEnd"/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保障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食品安全</w:t>
            </w:r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及提升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产品价值，尤其是拥有众多国内外的优质客户，这从很大程度上使公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司销售价格</w:t>
            </w:r>
            <w:proofErr w:type="gramStart"/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较行业</w:t>
            </w:r>
            <w:proofErr w:type="gramEnd"/>
            <w:r w:rsidR="00A24E03">
              <w:rPr>
                <w:rFonts w:ascii="宋体" w:hAnsi="宋体" w:hint="eastAsia"/>
                <w:bCs/>
                <w:iCs/>
                <w:sz w:val="24"/>
                <w:szCs w:val="24"/>
              </w:rPr>
              <w:t>鸡肉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平均价格具有溢价。</w:t>
            </w:r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此外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，随着公司熟食板块规模的不断扩大，将进一步强化公司产品的价格优势，进而有效平滑白羽肉鸡行业的周期波动。</w:t>
            </w:r>
          </w:p>
          <w:p w14:paraId="1BECEB0C" w14:textId="77777777" w:rsidR="00485DEB" w:rsidRDefault="00485DEB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4521D648" w14:textId="34B3A019" w:rsidR="00390C47" w:rsidRPr="00390C47" w:rsidRDefault="00390C47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21E55">
              <w:rPr>
                <w:rFonts w:ascii="宋体" w:hAnsi="宋体" w:hint="eastAsia"/>
                <w:b/>
                <w:iCs/>
                <w:sz w:val="24"/>
                <w:szCs w:val="24"/>
              </w:rPr>
              <w:t>2、来访人员</w:t>
            </w:r>
            <w:r w:rsidR="0036696C" w:rsidRPr="00F21E55">
              <w:rPr>
                <w:rFonts w:ascii="宋体" w:hAnsi="宋体" w:hint="eastAsia"/>
                <w:b/>
                <w:iCs/>
                <w:sz w:val="24"/>
                <w:szCs w:val="24"/>
              </w:rPr>
              <w:t>询</w:t>
            </w:r>
            <w:r w:rsidRPr="00F21E55">
              <w:rPr>
                <w:rFonts w:ascii="宋体" w:hAnsi="宋体" w:hint="eastAsia"/>
                <w:b/>
                <w:iCs/>
                <w:sz w:val="24"/>
                <w:szCs w:val="24"/>
              </w:rPr>
              <w:t>问公司领导未来发展规划。</w:t>
            </w:r>
          </w:p>
          <w:p w14:paraId="543480BC" w14:textId="7205DD4C" w:rsidR="00E05A43" w:rsidRDefault="00390C47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未来，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始终秉承熟食+生食双曲线同步发展的战略，</w:t>
            </w:r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并重点发展熟食板块。在积极扩大熟食板块产能的同时，将大幅增加C</w:t>
            </w:r>
            <w:proofErr w:type="gramStart"/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端品牌</w:t>
            </w:r>
            <w:proofErr w:type="gramEnd"/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推广预算，</w:t>
            </w:r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开展多样式品牌推广策略，让消费者</w:t>
            </w:r>
            <w:proofErr w:type="gramStart"/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熟知圣农品牌</w:t>
            </w:r>
            <w:proofErr w:type="gramEnd"/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proofErr w:type="gramStart"/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优享圣</w:t>
            </w:r>
            <w:proofErr w:type="gramEnd"/>
            <w:r w:rsidR="008828D2" w:rsidRP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农产品。</w:t>
            </w:r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另一方面，将从熟食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板块</w:t>
            </w:r>
            <w:r w:rsidR="008828D2">
              <w:rPr>
                <w:rFonts w:ascii="宋体" w:hAnsi="宋体" w:hint="eastAsia"/>
                <w:bCs/>
                <w:iCs/>
                <w:sz w:val="24"/>
                <w:szCs w:val="24"/>
              </w:rPr>
              <w:t>产能扩增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出发，扩大生食板块养殖量，进而有效提升</w:t>
            </w:r>
            <w:r w:rsidR="0036696C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E05A43">
              <w:rPr>
                <w:rFonts w:ascii="宋体" w:hAnsi="宋体" w:hint="eastAsia"/>
                <w:bCs/>
                <w:iCs/>
                <w:sz w:val="24"/>
                <w:szCs w:val="24"/>
              </w:rPr>
              <w:t>生食板块市场占有率及竞争力</w:t>
            </w:r>
            <w:r w:rsidR="00A24E03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66079C53" w14:textId="77777777" w:rsidR="00767B7E" w:rsidRDefault="00767B7E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0F4BFCB0" w14:textId="579B7C01" w:rsidR="000B1F0B" w:rsidRPr="001B6418" w:rsidRDefault="000B1F0B" w:rsidP="00C4463D">
            <w:pPr>
              <w:spacing w:beforeLines="50" w:before="156" w:line="360" w:lineRule="auto"/>
              <w:ind w:firstLineChars="200" w:firstLine="480"/>
              <w:outlineLvl w:val="0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7129A21C" w14:textId="77777777" w:rsidR="0002186D" w:rsidRDefault="00AA1750" w:rsidP="004F5C73">
            <w:pPr>
              <w:spacing w:line="360" w:lineRule="auto"/>
              <w:ind w:firstLine="482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注：所有交流内容均未涉及公司未公开的信息。</w:t>
            </w:r>
          </w:p>
        </w:tc>
      </w:tr>
      <w:tr w:rsidR="0002186D" w14:paraId="1FDE3774" w14:textId="77777777" w:rsidTr="00AD0FC5">
        <w:trPr>
          <w:trHeight w:val="510"/>
          <w:jc w:val="center"/>
        </w:trPr>
        <w:tc>
          <w:tcPr>
            <w:tcW w:w="1908" w:type="dxa"/>
            <w:vAlign w:val="center"/>
          </w:tcPr>
          <w:p w14:paraId="6E30DD50" w14:textId="77777777"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63A72FB6" w14:textId="77777777"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2186D" w14:paraId="4F256E8D" w14:textId="77777777" w:rsidTr="00AD0FC5">
        <w:trPr>
          <w:trHeight w:val="510"/>
          <w:jc w:val="center"/>
        </w:trPr>
        <w:tc>
          <w:tcPr>
            <w:tcW w:w="1908" w:type="dxa"/>
            <w:vAlign w:val="center"/>
          </w:tcPr>
          <w:p w14:paraId="2B022AEB" w14:textId="77777777"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0D3541AE" w14:textId="5049E939" w:rsidR="0002186D" w:rsidRDefault="00D34008" w:rsidP="00C4463D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2020</w:t>
            </w:r>
            <w:r w:rsidR="00C4463D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11</w:t>
            </w:r>
            <w:r w:rsidR="004A2D25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6A0EF5DB" w14:textId="77777777" w:rsidR="00D86F86" w:rsidRDefault="00D86F86">
      <w:pPr>
        <w:spacing w:line="24" w:lineRule="auto"/>
      </w:pPr>
    </w:p>
    <w:sectPr w:rsidR="00D86F86" w:rsidSect="00AD0FC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1AD3" w14:textId="77777777" w:rsidR="009C7D23" w:rsidRDefault="009C7D23">
      <w:r>
        <w:separator/>
      </w:r>
    </w:p>
  </w:endnote>
  <w:endnote w:type="continuationSeparator" w:id="0">
    <w:p w14:paraId="3E3FEC73" w14:textId="77777777" w:rsidR="009C7D23" w:rsidRDefault="009C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81CB" w14:textId="77777777" w:rsidR="009C7D23" w:rsidRDefault="009C7D23">
      <w:r>
        <w:separator/>
      </w:r>
    </w:p>
  </w:footnote>
  <w:footnote w:type="continuationSeparator" w:id="0">
    <w:p w14:paraId="4C8FEDDA" w14:textId="77777777" w:rsidR="009C7D23" w:rsidRDefault="009C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EA7EB" w14:textId="77777777" w:rsidR="0002186D" w:rsidRDefault="0002186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BA"/>
    <w:rsid w:val="00004FF1"/>
    <w:rsid w:val="00012890"/>
    <w:rsid w:val="00021411"/>
    <w:rsid w:val="0002186D"/>
    <w:rsid w:val="00022DCD"/>
    <w:rsid w:val="00024F4F"/>
    <w:rsid w:val="00025ABD"/>
    <w:rsid w:val="0002746D"/>
    <w:rsid w:val="0003047F"/>
    <w:rsid w:val="00034927"/>
    <w:rsid w:val="00045B87"/>
    <w:rsid w:val="00045FA8"/>
    <w:rsid w:val="00046604"/>
    <w:rsid w:val="00051D54"/>
    <w:rsid w:val="00051D8A"/>
    <w:rsid w:val="0005223F"/>
    <w:rsid w:val="000529EA"/>
    <w:rsid w:val="000550CC"/>
    <w:rsid w:val="00055ABA"/>
    <w:rsid w:val="000609AE"/>
    <w:rsid w:val="00070CC9"/>
    <w:rsid w:val="00072C3E"/>
    <w:rsid w:val="00072F85"/>
    <w:rsid w:val="00075AC0"/>
    <w:rsid w:val="00081859"/>
    <w:rsid w:val="00084E6C"/>
    <w:rsid w:val="000944C1"/>
    <w:rsid w:val="00095F3D"/>
    <w:rsid w:val="000A7AE5"/>
    <w:rsid w:val="000B1F0B"/>
    <w:rsid w:val="000B296B"/>
    <w:rsid w:val="000B2E06"/>
    <w:rsid w:val="000C121F"/>
    <w:rsid w:val="000C4DC3"/>
    <w:rsid w:val="000D04FF"/>
    <w:rsid w:val="000D2C44"/>
    <w:rsid w:val="000D5B3F"/>
    <w:rsid w:val="000D66B8"/>
    <w:rsid w:val="000E3035"/>
    <w:rsid w:val="000F1C3A"/>
    <w:rsid w:val="00107441"/>
    <w:rsid w:val="001129FB"/>
    <w:rsid w:val="00114067"/>
    <w:rsid w:val="00114287"/>
    <w:rsid w:val="001155BC"/>
    <w:rsid w:val="00122C52"/>
    <w:rsid w:val="00131F99"/>
    <w:rsid w:val="001354E5"/>
    <w:rsid w:val="0013679D"/>
    <w:rsid w:val="001402F7"/>
    <w:rsid w:val="00140A96"/>
    <w:rsid w:val="001431C0"/>
    <w:rsid w:val="00144117"/>
    <w:rsid w:val="0014461A"/>
    <w:rsid w:val="00150BD2"/>
    <w:rsid w:val="00152E16"/>
    <w:rsid w:val="00154386"/>
    <w:rsid w:val="00157344"/>
    <w:rsid w:val="00171110"/>
    <w:rsid w:val="00173DE5"/>
    <w:rsid w:val="0017522B"/>
    <w:rsid w:val="00177089"/>
    <w:rsid w:val="0018558D"/>
    <w:rsid w:val="0018641A"/>
    <w:rsid w:val="001958CA"/>
    <w:rsid w:val="00196EAA"/>
    <w:rsid w:val="001A69AF"/>
    <w:rsid w:val="001B03A2"/>
    <w:rsid w:val="001B2644"/>
    <w:rsid w:val="001B4271"/>
    <w:rsid w:val="001B4C65"/>
    <w:rsid w:val="001B6418"/>
    <w:rsid w:val="001C1DF0"/>
    <w:rsid w:val="001C5E97"/>
    <w:rsid w:val="001D2589"/>
    <w:rsid w:val="001D44EA"/>
    <w:rsid w:val="001D5918"/>
    <w:rsid w:val="001E45B4"/>
    <w:rsid w:val="001E7EA3"/>
    <w:rsid w:val="001F3A0E"/>
    <w:rsid w:val="001F3C82"/>
    <w:rsid w:val="001F413D"/>
    <w:rsid w:val="001F75B7"/>
    <w:rsid w:val="00201E65"/>
    <w:rsid w:val="002031A4"/>
    <w:rsid w:val="002042F0"/>
    <w:rsid w:val="002147BA"/>
    <w:rsid w:val="002208D8"/>
    <w:rsid w:val="00222524"/>
    <w:rsid w:val="002426DB"/>
    <w:rsid w:val="00243252"/>
    <w:rsid w:val="00253AA7"/>
    <w:rsid w:val="00274435"/>
    <w:rsid w:val="00276645"/>
    <w:rsid w:val="00277911"/>
    <w:rsid w:val="00293DE4"/>
    <w:rsid w:val="00294718"/>
    <w:rsid w:val="002966D8"/>
    <w:rsid w:val="00297320"/>
    <w:rsid w:val="002A2721"/>
    <w:rsid w:val="002D1165"/>
    <w:rsid w:val="002D6164"/>
    <w:rsid w:val="002D6ED8"/>
    <w:rsid w:val="002E2A9D"/>
    <w:rsid w:val="002E34F5"/>
    <w:rsid w:val="002F24A7"/>
    <w:rsid w:val="00304690"/>
    <w:rsid w:val="003401E3"/>
    <w:rsid w:val="00345A6B"/>
    <w:rsid w:val="00361556"/>
    <w:rsid w:val="0036696C"/>
    <w:rsid w:val="003706FD"/>
    <w:rsid w:val="00371324"/>
    <w:rsid w:val="0038782C"/>
    <w:rsid w:val="00390C47"/>
    <w:rsid w:val="00391D6E"/>
    <w:rsid w:val="00397282"/>
    <w:rsid w:val="003B28ED"/>
    <w:rsid w:val="003B58DE"/>
    <w:rsid w:val="003C557D"/>
    <w:rsid w:val="003C7497"/>
    <w:rsid w:val="003D57FF"/>
    <w:rsid w:val="003D72FC"/>
    <w:rsid w:val="003E033E"/>
    <w:rsid w:val="003E1467"/>
    <w:rsid w:val="003E1503"/>
    <w:rsid w:val="003F2537"/>
    <w:rsid w:val="003F6122"/>
    <w:rsid w:val="003F6701"/>
    <w:rsid w:val="003F79E7"/>
    <w:rsid w:val="00416C53"/>
    <w:rsid w:val="00420E90"/>
    <w:rsid w:val="00422E0C"/>
    <w:rsid w:val="0042785A"/>
    <w:rsid w:val="004313C6"/>
    <w:rsid w:val="004408D2"/>
    <w:rsid w:val="00445F16"/>
    <w:rsid w:val="00450A2B"/>
    <w:rsid w:val="00455711"/>
    <w:rsid w:val="00457DDB"/>
    <w:rsid w:val="00461313"/>
    <w:rsid w:val="0046171A"/>
    <w:rsid w:val="00470F42"/>
    <w:rsid w:val="0047277B"/>
    <w:rsid w:val="0048265E"/>
    <w:rsid w:val="00482991"/>
    <w:rsid w:val="00483CBE"/>
    <w:rsid w:val="00484B6E"/>
    <w:rsid w:val="00485DEB"/>
    <w:rsid w:val="004912DB"/>
    <w:rsid w:val="00492338"/>
    <w:rsid w:val="0049372F"/>
    <w:rsid w:val="00496680"/>
    <w:rsid w:val="004969F8"/>
    <w:rsid w:val="004A2D25"/>
    <w:rsid w:val="004A4125"/>
    <w:rsid w:val="004B150E"/>
    <w:rsid w:val="004B26FA"/>
    <w:rsid w:val="004C11E1"/>
    <w:rsid w:val="004C233C"/>
    <w:rsid w:val="004C59AF"/>
    <w:rsid w:val="004D4715"/>
    <w:rsid w:val="004D752A"/>
    <w:rsid w:val="004E171D"/>
    <w:rsid w:val="004E475E"/>
    <w:rsid w:val="004F35CF"/>
    <w:rsid w:val="004F5C73"/>
    <w:rsid w:val="00500FA5"/>
    <w:rsid w:val="00502A19"/>
    <w:rsid w:val="00506F09"/>
    <w:rsid w:val="0051096D"/>
    <w:rsid w:val="0052337D"/>
    <w:rsid w:val="00523D47"/>
    <w:rsid w:val="005257C4"/>
    <w:rsid w:val="005420AC"/>
    <w:rsid w:val="005455A3"/>
    <w:rsid w:val="005474D8"/>
    <w:rsid w:val="00550CFB"/>
    <w:rsid w:val="005531CB"/>
    <w:rsid w:val="00562CAA"/>
    <w:rsid w:val="00565B47"/>
    <w:rsid w:val="0056604C"/>
    <w:rsid w:val="00576CB2"/>
    <w:rsid w:val="00584CC3"/>
    <w:rsid w:val="0058725D"/>
    <w:rsid w:val="0058782B"/>
    <w:rsid w:val="005904C3"/>
    <w:rsid w:val="005936CC"/>
    <w:rsid w:val="005B0562"/>
    <w:rsid w:val="005B157A"/>
    <w:rsid w:val="005B583C"/>
    <w:rsid w:val="005B6E3B"/>
    <w:rsid w:val="005C0969"/>
    <w:rsid w:val="005C2D6E"/>
    <w:rsid w:val="005C5089"/>
    <w:rsid w:val="005C514E"/>
    <w:rsid w:val="005C560D"/>
    <w:rsid w:val="005D023B"/>
    <w:rsid w:val="005D4629"/>
    <w:rsid w:val="005D4D8F"/>
    <w:rsid w:val="005D5E48"/>
    <w:rsid w:val="005D6DF0"/>
    <w:rsid w:val="005E051B"/>
    <w:rsid w:val="005E5B88"/>
    <w:rsid w:val="005E797F"/>
    <w:rsid w:val="00601197"/>
    <w:rsid w:val="006078DA"/>
    <w:rsid w:val="006103B5"/>
    <w:rsid w:val="00614DE2"/>
    <w:rsid w:val="00615A93"/>
    <w:rsid w:val="006279AD"/>
    <w:rsid w:val="00630022"/>
    <w:rsid w:val="006307E3"/>
    <w:rsid w:val="00631F06"/>
    <w:rsid w:val="006358EC"/>
    <w:rsid w:val="0064011D"/>
    <w:rsid w:val="00643E1F"/>
    <w:rsid w:val="006508AF"/>
    <w:rsid w:val="006516E4"/>
    <w:rsid w:val="00652201"/>
    <w:rsid w:val="00654390"/>
    <w:rsid w:val="00663AA7"/>
    <w:rsid w:val="006667F5"/>
    <w:rsid w:val="00677D9C"/>
    <w:rsid w:val="00680DFC"/>
    <w:rsid w:val="00683FCF"/>
    <w:rsid w:val="00684390"/>
    <w:rsid w:val="00686BA7"/>
    <w:rsid w:val="00686F55"/>
    <w:rsid w:val="00692024"/>
    <w:rsid w:val="00692B77"/>
    <w:rsid w:val="00694243"/>
    <w:rsid w:val="006956D4"/>
    <w:rsid w:val="006A07AF"/>
    <w:rsid w:val="006A1696"/>
    <w:rsid w:val="006A75FA"/>
    <w:rsid w:val="006B2814"/>
    <w:rsid w:val="006C04C4"/>
    <w:rsid w:val="006C40E5"/>
    <w:rsid w:val="006C421D"/>
    <w:rsid w:val="006C6208"/>
    <w:rsid w:val="006C6CA2"/>
    <w:rsid w:val="006D330D"/>
    <w:rsid w:val="006D732E"/>
    <w:rsid w:val="006E0E83"/>
    <w:rsid w:val="006E3201"/>
    <w:rsid w:val="006F0DD7"/>
    <w:rsid w:val="006F1FF8"/>
    <w:rsid w:val="00712278"/>
    <w:rsid w:val="00712FA3"/>
    <w:rsid w:val="00715175"/>
    <w:rsid w:val="007174B4"/>
    <w:rsid w:val="00720434"/>
    <w:rsid w:val="0072162F"/>
    <w:rsid w:val="00727584"/>
    <w:rsid w:val="00731AD2"/>
    <w:rsid w:val="00740726"/>
    <w:rsid w:val="007422D2"/>
    <w:rsid w:val="007471BD"/>
    <w:rsid w:val="00753136"/>
    <w:rsid w:val="007556A2"/>
    <w:rsid w:val="00764111"/>
    <w:rsid w:val="00766987"/>
    <w:rsid w:val="00767B7E"/>
    <w:rsid w:val="007735CD"/>
    <w:rsid w:val="007904A8"/>
    <w:rsid w:val="00793262"/>
    <w:rsid w:val="0079457F"/>
    <w:rsid w:val="00795060"/>
    <w:rsid w:val="00796796"/>
    <w:rsid w:val="007A030E"/>
    <w:rsid w:val="007C426D"/>
    <w:rsid w:val="007C451B"/>
    <w:rsid w:val="007D18B9"/>
    <w:rsid w:val="007D546F"/>
    <w:rsid w:val="007E0FF6"/>
    <w:rsid w:val="007E6934"/>
    <w:rsid w:val="007E699C"/>
    <w:rsid w:val="007E6F09"/>
    <w:rsid w:val="007F678D"/>
    <w:rsid w:val="007F6DFE"/>
    <w:rsid w:val="00807063"/>
    <w:rsid w:val="00811154"/>
    <w:rsid w:val="00833016"/>
    <w:rsid w:val="00836BD1"/>
    <w:rsid w:val="00844130"/>
    <w:rsid w:val="008472BB"/>
    <w:rsid w:val="0085327A"/>
    <w:rsid w:val="00857B94"/>
    <w:rsid w:val="00860426"/>
    <w:rsid w:val="00864F5B"/>
    <w:rsid w:val="008658E3"/>
    <w:rsid w:val="00865BD3"/>
    <w:rsid w:val="0086714B"/>
    <w:rsid w:val="008828D2"/>
    <w:rsid w:val="00884654"/>
    <w:rsid w:val="00885194"/>
    <w:rsid w:val="00891B0D"/>
    <w:rsid w:val="008948F4"/>
    <w:rsid w:val="008972A1"/>
    <w:rsid w:val="008C6D75"/>
    <w:rsid w:val="008E0F25"/>
    <w:rsid w:val="008E19A4"/>
    <w:rsid w:val="009157A6"/>
    <w:rsid w:val="00915EA7"/>
    <w:rsid w:val="0092242B"/>
    <w:rsid w:val="0092526C"/>
    <w:rsid w:val="0093350C"/>
    <w:rsid w:val="00944747"/>
    <w:rsid w:val="00953819"/>
    <w:rsid w:val="00964993"/>
    <w:rsid w:val="009701A3"/>
    <w:rsid w:val="009703D9"/>
    <w:rsid w:val="0097510F"/>
    <w:rsid w:val="00983F3B"/>
    <w:rsid w:val="00986E4D"/>
    <w:rsid w:val="009901F3"/>
    <w:rsid w:val="009904CD"/>
    <w:rsid w:val="00995B2F"/>
    <w:rsid w:val="009A6191"/>
    <w:rsid w:val="009A728F"/>
    <w:rsid w:val="009B5C2C"/>
    <w:rsid w:val="009C61C5"/>
    <w:rsid w:val="009C7D23"/>
    <w:rsid w:val="009D3CA3"/>
    <w:rsid w:val="009D466F"/>
    <w:rsid w:val="009D79AC"/>
    <w:rsid w:val="009F0BF9"/>
    <w:rsid w:val="009F2522"/>
    <w:rsid w:val="00A0018A"/>
    <w:rsid w:val="00A171DA"/>
    <w:rsid w:val="00A221CE"/>
    <w:rsid w:val="00A233D8"/>
    <w:rsid w:val="00A24E03"/>
    <w:rsid w:val="00A4122B"/>
    <w:rsid w:val="00A56830"/>
    <w:rsid w:val="00A6347C"/>
    <w:rsid w:val="00A674D1"/>
    <w:rsid w:val="00A702B5"/>
    <w:rsid w:val="00A71A72"/>
    <w:rsid w:val="00A741EE"/>
    <w:rsid w:val="00A84869"/>
    <w:rsid w:val="00A91449"/>
    <w:rsid w:val="00A933E7"/>
    <w:rsid w:val="00AA1750"/>
    <w:rsid w:val="00AB58B5"/>
    <w:rsid w:val="00AC256A"/>
    <w:rsid w:val="00AC3BC3"/>
    <w:rsid w:val="00AC6692"/>
    <w:rsid w:val="00AC6705"/>
    <w:rsid w:val="00AD0FC5"/>
    <w:rsid w:val="00AD10F2"/>
    <w:rsid w:val="00AD4F4B"/>
    <w:rsid w:val="00AD5069"/>
    <w:rsid w:val="00AD6BF0"/>
    <w:rsid w:val="00AE0115"/>
    <w:rsid w:val="00AE2309"/>
    <w:rsid w:val="00AE5407"/>
    <w:rsid w:val="00AF01E3"/>
    <w:rsid w:val="00AF32A1"/>
    <w:rsid w:val="00AF41F8"/>
    <w:rsid w:val="00AF482C"/>
    <w:rsid w:val="00AF6B42"/>
    <w:rsid w:val="00B01314"/>
    <w:rsid w:val="00B11E81"/>
    <w:rsid w:val="00B126BA"/>
    <w:rsid w:val="00B12CB1"/>
    <w:rsid w:val="00B20CF8"/>
    <w:rsid w:val="00B25869"/>
    <w:rsid w:val="00B25A5A"/>
    <w:rsid w:val="00B26D58"/>
    <w:rsid w:val="00B418C2"/>
    <w:rsid w:val="00B41C60"/>
    <w:rsid w:val="00B442F7"/>
    <w:rsid w:val="00B47E6F"/>
    <w:rsid w:val="00B51C97"/>
    <w:rsid w:val="00B57CA5"/>
    <w:rsid w:val="00B57EA1"/>
    <w:rsid w:val="00B60915"/>
    <w:rsid w:val="00B60B19"/>
    <w:rsid w:val="00B63F87"/>
    <w:rsid w:val="00B70D46"/>
    <w:rsid w:val="00B718E1"/>
    <w:rsid w:val="00B728EC"/>
    <w:rsid w:val="00B7490C"/>
    <w:rsid w:val="00B8111A"/>
    <w:rsid w:val="00B83D75"/>
    <w:rsid w:val="00B8625B"/>
    <w:rsid w:val="00B9079C"/>
    <w:rsid w:val="00B926C6"/>
    <w:rsid w:val="00BA2E14"/>
    <w:rsid w:val="00BA33F1"/>
    <w:rsid w:val="00BB1018"/>
    <w:rsid w:val="00BB5183"/>
    <w:rsid w:val="00BB550C"/>
    <w:rsid w:val="00BB7D75"/>
    <w:rsid w:val="00BC1437"/>
    <w:rsid w:val="00BC2B52"/>
    <w:rsid w:val="00BC3938"/>
    <w:rsid w:val="00BC3C23"/>
    <w:rsid w:val="00BD248C"/>
    <w:rsid w:val="00BD67E4"/>
    <w:rsid w:val="00BE16E8"/>
    <w:rsid w:val="00BE2257"/>
    <w:rsid w:val="00BE6D8E"/>
    <w:rsid w:val="00C00606"/>
    <w:rsid w:val="00C07F2A"/>
    <w:rsid w:val="00C1202C"/>
    <w:rsid w:val="00C26033"/>
    <w:rsid w:val="00C274C0"/>
    <w:rsid w:val="00C325E9"/>
    <w:rsid w:val="00C344BB"/>
    <w:rsid w:val="00C37A8E"/>
    <w:rsid w:val="00C4463D"/>
    <w:rsid w:val="00C6790B"/>
    <w:rsid w:val="00C718E3"/>
    <w:rsid w:val="00C7209C"/>
    <w:rsid w:val="00C778F7"/>
    <w:rsid w:val="00C84673"/>
    <w:rsid w:val="00C91143"/>
    <w:rsid w:val="00CA3DC8"/>
    <w:rsid w:val="00CA422B"/>
    <w:rsid w:val="00CA63FD"/>
    <w:rsid w:val="00CB64FE"/>
    <w:rsid w:val="00CC5AFC"/>
    <w:rsid w:val="00CD5C8B"/>
    <w:rsid w:val="00CE41B6"/>
    <w:rsid w:val="00D00F44"/>
    <w:rsid w:val="00D17E3A"/>
    <w:rsid w:val="00D230A7"/>
    <w:rsid w:val="00D3068C"/>
    <w:rsid w:val="00D3373A"/>
    <w:rsid w:val="00D33B94"/>
    <w:rsid w:val="00D34008"/>
    <w:rsid w:val="00D40399"/>
    <w:rsid w:val="00D4168C"/>
    <w:rsid w:val="00D416DB"/>
    <w:rsid w:val="00D430AC"/>
    <w:rsid w:val="00D527C2"/>
    <w:rsid w:val="00D54112"/>
    <w:rsid w:val="00D622B2"/>
    <w:rsid w:val="00D66E2F"/>
    <w:rsid w:val="00D715B2"/>
    <w:rsid w:val="00D71CF8"/>
    <w:rsid w:val="00D72790"/>
    <w:rsid w:val="00D8505A"/>
    <w:rsid w:val="00D86F86"/>
    <w:rsid w:val="00D9138C"/>
    <w:rsid w:val="00D92A93"/>
    <w:rsid w:val="00D94719"/>
    <w:rsid w:val="00DA7A33"/>
    <w:rsid w:val="00DB3E23"/>
    <w:rsid w:val="00DB4D78"/>
    <w:rsid w:val="00DB6A86"/>
    <w:rsid w:val="00DB6BC3"/>
    <w:rsid w:val="00DB72FC"/>
    <w:rsid w:val="00DB7977"/>
    <w:rsid w:val="00DC076F"/>
    <w:rsid w:val="00DC56B2"/>
    <w:rsid w:val="00DC788D"/>
    <w:rsid w:val="00DD43BC"/>
    <w:rsid w:val="00DD7F21"/>
    <w:rsid w:val="00DE304C"/>
    <w:rsid w:val="00DE64B5"/>
    <w:rsid w:val="00E00AB8"/>
    <w:rsid w:val="00E01602"/>
    <w:rsid w:val="00E0419F"/>
    <w:rsid w:val="00E04CAB"/>
    <w:rsid w:val="00E05A43"/>
    <w:rsid w:val="00E103FB"/>
    <w:rsid w:val="00E10E3B"/>
    <w:rsid w:val="00E134A5"/>
    <w:rsid w:val="00E156A3"/>
    <w:rsid w:val="00E203E1"/>
    <w:rsid w:val="00E2660C"/>
    <w:rsid w:val="00E35776"/>
    <w:rsid w:val="00E3670C"/>
    <w:rsid w:val="00E4043B"/>
    <w:rsid w:val="00E42410"/>
    <w:rsid w:val="00E50ED1"/>
    <w:rsid w:val="00E5718F"/>
    <w:rsid w:val="00E57D17"/>
    <w:rsid w:val="00E62511"/>
    <w:rsid w:val="00E63DF1"/>
    <w:rsid w:val="00E64405"/>
    <w:rsid w:val="00E72424"/>
    <w:rsid w:val="00E816BF"/>
    <w:rsid w:val="00E9007C"/>
    <w:rsid w:val="00E901FA"/>
    <w:rsid w:val="00E975F1"/>
    <w:rsid w:val="00EA1872"/>
    <w:rsid w:val="00EA1B69"/>
    <w:rsid w:val="00EA3B6E"/>
    <w:rsid w:val="00EA7006"/>
    <w:rsid w:val="00EB1F29"/>
    <w:rsid w:val="00EB1FF2"/>
    <w:rsid w:val="00EB6277"/>
    <w:rsid w:val="00EB770D"/>
    <w:rsid w:val="00EC3D38"/>
    <w:rsid w:val="00EC4BB1"/>
    <w:rsid w:val="00EC528F"/>
    <w:rsid w:val="00ED055A"/>
    <w:rsid w:val="00ED0658"/>
    <w:rsid w:val="00ED61D7"/>
    <w:rsid w:val="00EE3CD0"/>
    <w:rsid w:val="00F0117D"/>
    <w:rsid w:val="00F06EF2"/>
    <w:rsid w:val="00F21720"/>
    <w:rsid w:val="00F21E55"/>
    <w:rsid w:val="00F307A6"/>
    <w:rsid w:val="00F400BF"/>
    <w:rsid w:val="00F45DA2"/>
    <w:rsid w:val="00F46B07"/>
    <w:rsid w:val="00F519AB"/>
    <w:rsid w:val="00F534C3"/>
    <w:rsid w:val="00F54550"/>
    <w:rsid w:val="00F55AF4"/>
    <w:rsid w:val="00F72C03"/>
    <w:rsid w:val="00F762CF"/>
    <w:rsid w:val="00F7661A"/>
    <w:rsid w:val="00F77B2F"/>
    <w:rsid w:val="00F8339D"/>
    <w:rsid w:val="00F83E5E"/>
    <w:rsid w:val="00F93A83"/>
    <w:rsid w:val="00FB7A48"/>
    <w:rsid w:val="00FC22C3"/>
    <w:rsid w:val="00FD0243"/>
    <w:rsid w:val="00FE07EE"/>
    <w:rsid w:val="00FE2C6F"/>
    <w:rsid w:val="00FE554E"/>
    <w:rsid w:val="00FE73E9"/>
    <w:rsid w:val="00FF25DE"/>
    <w:rsid w:val="0C50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655E39"/>
  <w15:docId w15:val="{F4657D8D-0525-405F-B8B2-4687F1F2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link w:val="a7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B41C60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AD0FC5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D0FC5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AD0FC5"/>
    <w:rPr>
      <w:rFonts w:ascii="Times New Roman" w:hAnsi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0FC5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D0FC5"/>
    <w:rPr>
      <w:rFonts w:ascii="Times New Roman" w:hAnsi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621E3A-38FD-4B08-80A4-865617574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133</Words>
  <Characters>764</Characters>
  <Application>Microsoft Office Word</Application>
  <DocSecurity>0</DocSecurity>
  <Lines>6</Lines>
  <Paragraphs>1</Paragraphs>
  <ScaleCrop>false</ScaleCrop>
  <Company>Sky123.Org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廖俊杰</dc:creator>
  <cp:lastModifiedBy>zeng lm</cp:lastModifiedBy>
  <cp:revision>10</cp:revision>
  <dcterms:created xsi:type="dcterms:W3CDTF">2020-11-03T00:28:00Z</dcterms:created>
  <dcterms:modified xsi:type="dcterms:W3CDTF">2020-11-04T00:18:00Z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