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36FE" w14:textId="77777777" w:rsidR="006E7A91" w:rsidRPr="00A30798" w:rsidRDefault="001B0E67" w:rsidP="006E7A91">
      <w:pPr>
        <w:spacing w:beforeLines="50" w:before="156" w:afterLines="50" w:after="156" w:line="400" w:lineRule="exact"/>
        <w:rPr>
          <w:rFonts w:ascii="宋体" w:hAnsi="宋体"/>
          <w:bCs/>
          <w:iCs/>
          <w:sz w:val="24"/>
        </w:rPr>
      </w:pPr>
      <w:r w:rsidRPr="00A30798">
        <w:rPr>
          <w:rFonts w:ascii="宋体" w:hAnsi="宋体" w:hint="eastAsia"/>
          <w:bCs/>
          <w:iCs/>
          <w:sz w:val="24"/>
        </w:rPr>
        <w:t>证券代码：华大基因</w:t>
      </w:r>
      <w:r w:rsidR="006E7A91" w:rsidRPr="00A30798">
        <w:rPr>
          <w:rFonts w:ascii="宋体" w:hAnsi="宋体" w:hint="eastAsia"/>
          <w:bCs/>
          <w:iCs/>
          <w:sz w:val="24"/>
        </w:rPr>
        <w:t xml:space="preserve">                                证券简称：</w:t>
      </w:r>
      <w:r w:rsidRPr="00A30798">
        <w:rPr>
          <w:rFonts w:ascii="宋体" w:hAnsi="宋体" w:hint="eastAsia"/>
          <w:bCs/>
          <w:iCs/>
          <w:sz w:val="24"/>
        </w:rPr>
        <w:t>300676</w:t>
      </w:r>
    </w:p>
    <w:p w14:paraId="58A968CB" w14:textId="77777777" w:rsidR="006E7A91" w:rsidRPr="00A30798" w:rsidRDefault="001B0E67" w:rsidP="006E7A91">
      <w:pPr>
        <w:spacing w:beforeLines="50" w:before="156" w:afterLines="50" w:after="156" w:line="400" w:lineRule="exact"/>
        <w:jc w:val="center"/>
        <w:rPr>
          <w:rFonts w:ascii="宋体" w:hAnsi="宋体"/>
          <w:b/>
          <w:bCs/>
          <w:iCs/>
          <w:sz w:val="32"/>
          <w:szCs w:val="32"/>
        </w:rPr>
      </w:pPr>
      <w:r w:rsidRPr="00A30798">
        <w:rPr>
          <w:rFonts w:ascii="宋体" w:hAnsi="宋体" w:hint="eastAsia"/>
          <w:b/>
          <w:bCs/>
          <w:iCs/>
          <w:sz w:val="32"/>
          <w:szCs w:val="32"/>
        </w:rPr>
        <w:t>深圳华大基因</w:t>
      </w:r>
      <w:r w:rsidR="006E7A91" w:rsidRPr="00A30798">
        <w:rPr>
          <w:rFonts w:ascii="宋体" w:hAnsi="宋体" w:hint="eastAsia"/>
          <w:b/>
          <w:bCs/>
          <w:iCs/>
          <w:sz w:val="32"/>
          <w:szCs w:val="32"/>
        </w:rPr>
        <w:t>股份有限公司投资者关系活动记录表</w:t>
      </w:r>
    </w:p>
    <w:p w14:paraId="76260843" w14:textId="1D8AD367" w:rsidR="006E7A91" w:rsidRPr="00A30798" w:rsidRDefault="006E7A91" w:rsidP="006E7A91">
      <w:pPr>
        <w:spacing w:line="400" w:lineRule="exact"/>
        <w:rPr>
          <w:rFonts w:ascii="宋体" w:hAnsi="宋体"/>
          <w:bCs/>
          <w:iCs/>
          <w:sz w:val="24"/>
        </w:rPr>
      </w:pPr>
      <w:r w:rsidRPr="00A30798">
        <w:rPr>
          <w:rFonts w:ascii="宋体" w:hAnsi="宋体" w:hint="eastAsia"/>
          <w:bCs/>
          <w:iCs/>
          <w:sz w:val="24"/>
        </w:rPr>
        <w:t xml:space="preserve">                                                        编号：</w:t>
      </w:r>
      <w:r w:rsidR="004A34CC" w:rsidRPr="00A30798">
        <w:rPr>
          <w:rFonts w:ascii="宋体" w:hAnsi="宋体"/>
          <w:bCs/>
          <w:iCs/>
          <w:sz w:val="24"/>
        </w:rPr>
        <w:t>20</w:t>
      </w:r>
      <w:r w:rsidR="009436D4" w:rsidRPr="00A30798">
        <w:rPr>
          <w:rFonts w:ascii="宋体" w:hAnsi="宋体"/>
          <w:bCs/>
          <w:iCs/>
          <w:sz w:val="24"/>
        </w:rPr>
        <w:t>20</w:t>
      </w:r>
      <w:r w:rsidR="004A34CC" w:rsidRPr="00A30798">
        <w:rPr>
          <w:rFonts w:ascii="宋体" w:hAnsi="宋体"/>
          <w:bCs/>
          <w:iCs/>
          <w:sz w:val="24"/>
        </w:rPr>
        <w:t>-</w:t>
      </w:r>
      <w:r w:rsidR="00573F24" w:rsidRPr="00A30798">
        <w:rPr>
          <w:rFonts w:ascii="宋体" w:hAnsi="宋体"/>
          <w:bCs/>
          <w:iCs/>
          <w:sz w:val="24"/>
        </w:rPr>
        <w:t>0</w:t>
      </w:r>
      <w:r w:rsidR="007228B3" w:rsidRPr="00A30798">
        <w:rPr>
          <w:rFonts w:ascii="宋体" w:hAnsi="宋体"/>
          <w:bCs/>
          <w:iCs/>
          <w:sz w:val="24"/>
        </w:rPr>
        <w:t>0</w:t>
      </w:r>
      <w:r w:rsidR="002C71D7" w:rsidRPr="00A30798">
        <w:rPr>
          <w:rFonts w:ascii="宋体" w:hAnsi="宋体"/>
          <w:bCs/>
          <w:iCs/>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6432"/>
      </w:tblGrid>
      <w:tr w:rsidR="00A30798" w:rsidRPr="00A30798" w14:paraId="73E9C423" w14:textId="77777777" w:rsidTr="006E7A91">
        <w:tc>
          <w:tcPr>
            <w:tcW w:w="1908" w:type="dxa"/>
            <w:tcBorders>
              <w:top w:val="single" w:sz="4" w:space="0" w:color="auto"/>
              <w:left w:val="single" w:sz="4" w:space="0" w:color="auto"/>
              <w:bottom w:val="single" w:sz="4" w:space="0" w:color="auto"/>
              <w:right w:val="single" w:sz="4" w:space="0" w:color="auto"/>
            </w:tcBorders>
          </w:tcPr>
          <w:p w14:paraId="2D1F977D" w14:textId="20A47280" w:rsidR="006E7A91" w:rsidRPr="00A30798" w:rsidRDefault="006E7A91">
            <w:pPr>
              <w:spacing w:line="480" w:lineRule="atLeast"/>
              <w:rPr>
                <w:rFonts w:ascii="宋体" w:hAnsi="宋体"/>
                <w:bCs/>
                <w:iCs/>
                <w:szCs w:val="21"/>
              </w:rPr>
            </w:pPr>
            <w:r w:rsidRPr="00A30798">
              <w:rPr>
                <w:rFonts w:ascii="宋体" w:hAnsi="宋体" w:hint="eastAsia"/>
                <w:bCs/>
                <w:iCs/>
                <w:szCs w:val="21"/>
              </w:rPr>
              <w:t>投资者关系活动类别</w:t>
            </w:r>
          </w:p>
        </w:tc>
        <w:tc>
          <w:tcPr>
            <w:tcW w:w="6614" w:type="dxa"/>
            <w:tcBorders>
              <w:top w:val="single" w:sz="4" w:space="0" w:color="auto"/>
              <w:left w:val="single" w:sz="4" w:space="0" w:color="auto"/>
              <w:bottom w:val="single" w:sz="4" w:space="0" w:color="auto"/>
              <w:right w:val="single" w:sz="4" w:space="0" w:color="auto"/>
            </w:tcBorders>
            <w:hideMark/>
          </w:tcPr>
          <w:p w14:paraId="30035101" w14:textId="44C38A89" w:rsidR="006E7A91" w:rsidRPr="00A30798" w:rsidRDefault="00316619">
            <w:pPr>
              <w:spacing w:line="480" w:lineRule="atLeast"/>
              <w:rPr>
                <w:rFonts w:ascii="宋体" w:hAnsi="宋体"/>
                <w:bCs/>
                <w:iCs/>
                <w:szCs w:val="21"/>
              </w:rPr>
            </w:pPr>
            <w:r w:rsidRPr="00A30798">
              <w:rPr>
                <w:rFonts w:ascii="宋体" w:hAnsi="宋体" w:hint="eastAsia"/>
                <w:bCs/>
                <w:iCs/>
                <w:szCs w:val="21"/>
              </w:rPr>
              <w:t>√</w:t>
            </w:r>
            <w:r w:rsidR="006E7A91" w:rsidRPr="00A30798">
              <w:rPr>
                <w:rFonts w:ascii="宋体" w:hAnsi="宋体" w:hint="eastAsia"/>
                <w:szCs w:val="21"/>
              </w:rPr>
              <w:t xml:space="preserve">特定对象调研        </w:t>
            </w:r>
            <w:r w:rsidR="006E7A91" w:rsidRPr="00A30798">
              <w:rPr>
                <w:rFonts w:ascii="宋体" w:hAnsi="宋体" w:hint="eastAsia"/>
                <w:bCs/>
                <w:iCs/>
                <w:szCs w:val="21"/>
              </w:rPr>
              <w:t>□</w:t>
            </w:r>
            <w:r w:rsidR="006E7A91" w:rsidRPr="00A30798">
              <w:rPr>
                <w:rFonts w:ascii="宋体" w:hAnsi="宋体" w:hint="eastAsia"/>
                <w:szCs w:val="21"/>
              </w:rPr>
              <w:t>分析师会议</w:t>
            </w:r>
          </w:p>
          <w:p w14:paraId="0A476EDB" w14:textId="0941F4A8" w:rsidR="006E7A91" w:rsidRPr="00A30798" w:rsidRDefault="006E7A91">
            <w:pPr>
              <w:spacing w:line="480" w:lineRule="atLeast"/>
              <w:rPr>
                <w:rFonts w:ascii="宋体" w:hAnsi="宋体"/>
                <w:bCs/>
                <w:iCs/>
                <w:szCs w:val="21"/>
              </w:rPr>
            </w:pPr>
            <w:r w:rsidRPr="00A30798">
              <w:rPr>
                <w:rFonts w:ascii="宋体" w:hAnsi="宋体" w:hint="eastAsia"/>
                <w:bCs/>
                <w:iCs/>
                <w:szCs w:val="21"/>
              </w:rPr>
              <w:t>□</w:t>
            </w:r>
            <w:r w:rsidRPr="00A30798">
              <w:rPr>
                <w:rFonts w:ascii="宋体" w:hAnsi="宋体" w:hint="eastAsia"/>
                <w:szCs w:val="21"/>
              </w:rPr>
              <w:t xml:space="preserve">媒体采访            </w:t>
            </w:r>
            <w:r w:rsidR="00316619" w:rsidRPr="00A30798">
              <w:rPr>
                <w:rFonts w:ascii="宋体" w:hAnsi="宋体" w:hint="eastAsia"/>
                <w:bCs/>
                <w:iCs/>
                <w:szCs w:val="21"/>
              </w:rPr>
              <w:t>□</w:t>
            </w:r>
            <w:r w:rsidRPr="00A30798">
              <w:rPr>
                <w:rFonts w:ascii="宋体" w:hAnsi="宋体" w:hint="eastAsia"/>
                <w:szCs w:val="21"/>
              </w:rPr>
              <w:t>业绩说明会</w:t>
            </w:r>
          </w:p>
          <w:p w14:paraId="717472B7"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t>□</w:t>
            </w:r>
            <w:r w:rsidRPr="00A30798">
              <w:rPr>
                <w:rFonts w:ascii="宋体" w:hAnsi="宋体" w:hint="eastAsia"/>
                <w:szCs w:val="21"/>
              </w:rPr>
              <w:t xml:space="preserve">新闻发布会          </w:t>
            </w:r>
            <w:r w:rsidRPr="00A30798">
              <w:rPr>
                <w:rFonts w:ascii="宋体" w:hAnsi="宋体" w:hint="eastAsia"/>
                <w:bCs/>
                <w:iCs/>
                <w:szCs w:val="21"/>
              </w:rPr>
              <w:t>□</w:t>
            </w:r>
            <w:r w:rsidRPr="00A30798">
              <w:rPr>
                <w:rFonts w:ascii="宋体" w:hAnsi="宋体" w:hint="eastAsia"/>
                <w:szCs w:val="21"/>
              </w:rPr>
              <w:t>路演活动</w:t>
            </w:r>
          </w:p>
          <w:p w14:paraId="1B61C84D" w14:textId="4719AEF5" w:rsidR="006E7A91" w:rsidRPr="00A30798" w:rsidRDefault="00C90390" w:rsidP="00BF0CFA">
            <w:pPr>
              <w:tabs>
                <w:tab w:val="left" w:pos="2202"/>
                <w:tab w:val="center" w:pos="3199"/>
              </w:tabs>
              <w:spacing w:line="480" w:lineRule="atLeast"/>
              <w:rPr>
                <w:rFonts w:ascii="宋体" w:hAnsi="宋体"/>
                <w:bCs/>
                <w:iCs/>
                <w:szCs w:val="21"/>
              </w:rPr>
            </w:pPr>
            <w:r w:rsidRPr="00A30798">
              <w:rPr>
                <w:rFonts w:ascii="宋体" w:hAnsi="宋体" w:hint="eastAsia"/>
                <w:bCs/>
                <w:iCs/>
                <w:szCs w:val="21"/>
              </w:rPr>
              <w:t>□</w:t>
            </w:r>
            <w:r w:rsidR="006E7A91" w:rsidRPr="00A30798">
              <w:rPr>
                <w:rFonts w:ascii="宋体" w:hAnsi="宋体" w:hint="eastAsia"/>
                <w:szCs w:val="21"/>
              </w:rPr>
              <w:t>现场参观</w:t>
            </w:r>
            <w:r w:rsidR="006E7A91" w:rsidRPr="00A30798">
              <w:rPr>
                <w:rFonts w:ascii="宋体" w:hAnsi="宋体" w:hint="eastAsia"/>
                <w:bCs/>
                <w:iCs/>
                <w:szCs w:val="21"/>
              </w:rPr>
              <w:tab/>
            </w:r>
          </w:p>
          <w:p w14:paraId="114DE228" w14:textId="4FB89E41" w:rsidR="006E7A91" w:rsidRPr="00A30798" w:rsidRDefault="00316619">
            <w:pPr>
              <w:tabs>
                <w:tab w:val="center" w:pos="3199"/>
              </w:tabs>
              <w:spacing w:line="480" w:lineRule="atLeast"/>
              <w:rPr>
                <w:rFonts w:ascii="宋体" w:hAnsi="宋体"/>
                <w:bCs/>
                <w:iCs/>
                <w:szCs w:val="21"/>
              </w:rPr>
            </w:pPr>
            <w:r w:rsidRPr="00A30798">
              <w:rPr>
                <w:rFonts w:ascii="宋体" w:hAnsi="宋体" w:hint="eastAsia"/>
                <w:bCs/>
                <w:iCs/>
                <w:szCs w:val="21"/>
              </w:rPr>
              <w:t>□</w:t>
            </w:r>
            <w:r w:rsidR="003D00C7" w:rsidRPr="00A30798">
              <w:rPr>
                <w:rFonts w:ascii="宋体" w:hAnsi="宋体" w:hint="eastAsia"/>
                <w:szCs w:val="21"/>
              </w:rPr>
              <w:t>其他</w:t>
            </w:r>
            <w:r w:rsidR="00C90390" w:rsidRPr="00A30798">
              <w:rPr>
                <w:rFonts w:ascii="宋体" w:hAnsi="宋体" w:hint="eastAsia"/>
                <w:szCs w:val="21"/>
              </w:rPr>
              <w:t>（电话交流）</w:t>
            </w:r>
          </w:p>
        </w:tc>
      </w:tr>
      <w:tr w:rsidR="00A30798" w:rsidRPr="00A30798" w14:paraId="247BC239"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6A1667FA"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789FC5FF" w14:textId="50B73C35" w:rsidR="006E7A91" w:rsidRPr="00A30798" w:rsidRDefault="00316619" w:rsidP="00D10982">
            <w:pPr>
              <w:spacing w:beforeLines="50" w:before="156" w:afterLines="50" w:after="156"/>
              <w:rPr>
                <w:rFonts w:ascii="宋体" w:hAnsi="宋体"/>
                <w:bCs/>
                <w:iCs/>
                <w:szCs w:val="21"/>
              </w:rPr>
            </w:pPr>
            <w:proofErr w:type="gramStart"/>
            <w:r w:rsidRPr="00A30798">
              <w:rPr>
                <w:rFonts w:ascii="宋体" w:hAnsi="宋体" w:hint="eastAsia"/>
                <w:bCs/>
                <w:iCs/>
                <w:szCs w:val="21"/>
              </w:rPr>
              <w:t>浙商证券</w:t>
            </w:r>
            <w:proofErr w:type="gramEnd"/>
            <w:r w:rsidRPr="00A30798">
              <w:rPr>
                <w:rFonts w:ascii="宋体" w:hAnsi="宋体" w:hint="eastAsia"/>
                <w:bCs/>
                <w:iCs/>
                <w:szCs w:val="21"/>
              </w:rPr>
              <w:t>：高超</w:t>
            </w:r>
          </w:p>
        </w:tc>
      </w:tr>
      <w:tr w:rsidR="00A30798" w:rsidRPr="00A30798" w14:paraId="13919B98"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3AD6BE7A"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5B5629E2" w14:textId="10857762" w:rsidR="006E7A91" w:rsidRPr="00A30798" w:rsidRDefault="00C91F91" w:rsidP="00DB5CEB">
            <w:pPr>
              <w:spacing w:beforeLines="50" w:before="156" w:afterLines="50" w:after="156"/>
              <w:rPr>
                <w:rFonts w:ascii="宋体" w:hAnsi="宋体"/>
                <w:bCs/>
                <w:iCs/>
                <w:szCs w:val="21"/>
              </w:rPr>
            </w:pPr>
            <w:r w:rsidRPr="00A30798">
              <w:rPr>
                <w:rFonts w:ascii="宋体" w:hAnsi="宋体" w:hint="eastAsia"/>
                <w:bCs/>
                <w:iCs/>
                <w:szCs w:val="21"/>
              </w:rPr>
              <w:t>2</w:t>
            </w:r>
            <w:r w:rsidRPr="00A30798">
              <w:rPr>
                <w:rFonts w:ascii="宋体" w:hAnsi="宋体"/>
                <w:bCs/>
                <w:iCs/>
                <w:szCs w:val="21"/>
              </w:rPr>
              <w:t>0</w:t>
            </w:r>
            <w:r w:rsidR="003062A8" w:rsidRPr="00A30798">
              <w:rPr>
                <w:rFonts w:ascii="宋体" w:hAnsi="宋体"/>
                <w:bCs/>
                <w:iCs/>
                <w:szCs w:val="21"/>
              </w:rPr>
              <w:t>20</w:t>
            </w:r>
            <w:r w:rsidRPr="00A30798">
              <w:rPr>
                <w:rFonts w:ascii="宋体" w:hAnsi="宋体" w:hint="eastAsia"/>
                <w:bCs/>
                <w:iCs/>
                <w:szCs w:val="21"/>
              </w:rPr>
              <w:t>年</w:t>
            </w:r>
            <w:r w:rsidR="003B40F4" w:rsidRPr="00A30798">
              <w:rPr>
                <w:rFonts w:ascii="宋体" w:hAnsi="宋体"/>
                <w:bCs/>
                <w:iCs/>
                <w:szCs w:val="21"/>
              </w:rPr>
              <w:t>1</w:t>
            </w:r>
            <w:r w:rsidR="00316619" w:rsidRPr="00A30798">
              <w:rPr>
                <w:rFonts w:ascii="宋体" w:hAnsi="宋体"/>
                <w:bCs/>
                <w:iCs/>
                <w:szCs w:val="21"/>
              </w:rPr>
              <w:t>1</w:t>
            </w:r>
            <w:r w:rsidRPr="00A30798">
              <w:rPr>
                <w:rFonts w:ascii="宋体" w:hAnsi="宋体" w:hint="eastAsia"/>
                <w:bCs/>
                <w:iCs/>
                <w:szCs w:val="21"/>
              </w:rPr>
              <w:t>月</w:t>
            </w:r>
            <w:r w:rsidR="00232C87" w:rsidRPr="00A30798">
              <w:rPr>
                <w:rFonts w:ascii="宋体" w:hAnsi="宋体" w:hint="eastAsia"/>
                <w:bCs/>
                <w:iCs/>
                <w:szCs w:val="21"/>
              </w:rPr>
              <w:t>3</w:t>
            </w:r>
            <w:r w:rsidRPr="00A30798">
              <w:rPr>
                <w:rFonts w:ascii="宋体" w:hAnsi="宋体" w:hint="eastAsia"/>
                <w:bCs/>
                <w:iCs/>
                <w:szCs w:val="21"/>
              </w:rPr>
              <w:t xml:space="preserve">日 </w:t>
            </w:r>
            <w:r w:rsidR="003062A8" w:rsidRPr="00A30798">
              <w:rPr>
                <w:rFonts w:ascii="宋体" w:hAnsi="宋体"/>
                <w:bCs/>
                <w:iCs/>
                <w:szCs w:val="21"/>
              </w:rPr>
              <w:t>1</w:t>
            </w:r>
            <w:r w:rsidR="00316619" w:rsidRPr="00A30798">
              <w:rPr>
                <w:rFonts w:ascii="宋体" w:hAnsi="宋体"/>
                <w:bCs/>
                <w:iCs/>
                <w:szCs w:val="21"/>
              </w:rPr>
              <w:t>5</w:t>
            </w:r>
            <w:r w:rsidR="003062A8" w:rsidRPr="00A30798">
              <w:rPr>
                <w:rFonts w:ascii="宋体" w:hAnsi="宋体" w:hint="eastAsia"/>
                <w:bCs/>
                <w:iCs/>
                <w:szCs w:val="21"/>
              </w:rPr>
              <w:t>:</w:t>
            </w:r>
            <w:r w:rsidR="003D00C7" w:rsidRPr="00A30798">
              <w:rPr>
                <w:rFonts w:ascii="宋体" w:hAnsi="宋体"/>
                <w:bCs/>
                <w:iCs/>
                <w:szCs w:val="21"/>
              </w:rPr>
              <w:t>0</w:t>
            </w:r>
            <w:r w:rsidR="003062A8" w:rsidRPr="00A30798">
              <w:rPr>
                <w:rFonts w:ascii="宋体" w:hAnsi="宋体"/>
                <w:bCs/>
                <w:iCs/>
                <w:szCs w:val="21"/>
              </w:rPr>
              <w:t>0</w:t>
            </w:r>
            <w:r w:rsidR="003062A8" w:rsidRPr="00A30798">
              <w:rPr>
                <w:rFonts w:ascii="宋体" w:hAnsi="宋体" w:hint="eastAsia"/>
                <w:bCs/>
                <w:iCs/>
                <w:szCs w:val="21"/>
              </w:rPr>
              <w:t>-</w:t>
            </w:r>
            <w:r w:rsidR="003062A8" w:rsidRPr="00A30798">
              <w:rPr>
                <w:rFonts w:ascii="宋体" w:hAnsi="宋体"/>
                <w:bCs/>
                <w:iCs/>
                <w:szCs w:val="21"/>
              </w:rPr>
              <w:t>1</w:t>
            </w:r>
            <w:r w:rsidR="00316619" w:rsidRPr="00A30798">
              <w:rPr>
                <w:rFonts w:ascii="宋体" w:hAnsi="宋体"/>
                <w:bCs/>
                <w:iCs/>
                <w:szCs w:val="21"/>
              </w:rPr>
              <w:t>6</w:t>
            </w:r>
            <w:r w:rsidR="003062A8" w:rsidRPr="00A30798">
              <w:rPr>
                <w:rFonts w:ascii="宋体" w:hAnsi="宋体" w:hint="eastAsia"/>
                <w:bCs/>
                <w:iCs/>
                <w:szCs w:val="21"/>
              </w:rPr>
              <w:t>:</w:t>
            </w:r>
            <w:r w:rsidR="003062A8" w:rsidRPr="00A30798">
              <w:rPr>
                <w:rFonts w:ascii="宋体" w:hAnsi="宋体"/>
                <w:bCs/>
                <w:iCs/>
                <w:szCs w:val="21"/>
              </w:rPr>
              <w:t>00</w:t>
            </w:r>
          </w:p>
        </w:tc>
      </w:tr>
      <w:tr w:rsidR="00A30798" w:rsidRPr="00A30798" w14:paraId="67AB41CF"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540ADD8D"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t>地点</w:t>
            </w:r>
          </w:p>
        </w:tc>
        <w:tc>
          <w:tcPr>
            <w:tcW w:w="6614" w:type="dxa"/>
            <w:tcBorders>
              <w:top w:val="single" w:sz="4" w:space="0" w:color="auto"/>
              <w:left w:val="single" w:sz="4" w:space="0" w:color="auto"/>
              <w:bottom w:val="single" w:sz="4" w:space="0" w:color="auto"/>
              <w:right w:val="single" w:sz="4" w:space="0" w:color="auto"/>
            </w:tcBorders>
            <w:vAlign w:val="center"/>
          </w:tcPr>
          <w:p w14:paraId="65E6F0A8" w14:textId="1D8F76A9" w:rsidR="006E7A91" w:rsidRPr="00A30798" w:rsidRDefault="003D00C7" w:rsidP="00DB5CEB">
            <w:pPr>
              <w:spacing w:beforeLines="50" w:before="156" w:afterLines="50" w:after="156"/>
              <w:rPr>
                <w:rFonts w:ascii="宋体" w:hAnsi="宋体"/>
                <w:bCs/>
                <w:iCs/>
                <w:szCs w:val="21"/>
              </w:rPr>
            </w:pPr>
            <w:r w:rsidRPr="00A30798">
              <w:rPr>
                <w:rFonts w:ascii="宋体" w:hAnsi="宋体" w:hint="eastAsia"/>
                <w:bCs/>
                <w:iCs/>
                <w:szCs w:val="21"/>
              </w:rPr>
              <w:t>公司参会地点：</w:t>
            </w:r>
            <w:r w:rsidR="00336210" w:rsidRPr="00A30798">
              <w:rPr>
                <w:rFonts w:hint="eastAsia"/>
                <w:szCs w:val="21"/>
                <w:shd w:val="clear" w:color="auto" w:fill="FFFFFF"/>
              </w:rPr>
              <w:t>广东省深圳市盐田</w:t>
            </w:r>
            <w:proofErr w:type="gramStart"/>
            <w:r w:rsidR="00336210" w:rsidRPr="00A30798">
              <w:rPr>
                <w:rFonts w:hint="eastAsia"/>
                <w:szCs w:val="21"/>
                <w:shd w:val="clear" w:color="auto" w:fill="FFFFFF"/>
              </w:rPr>
              <w:t>区</w:t>
            </w:r>
            <w:r w:rsidR="003B40F4" w:rsidRPr="00A30798">
              <w:rPr>
                <w:rFonts w:ascii="宋体" w:hAnsi="宋体" w:hint="eastAsia"/>
                <w:bCs/>
                <w:iCs/>
                <w:szCs w:val="21"/>
              </w:rPr>
              <w:t>洪安三</w:t>
            </w:r>
            <w:proofErr w:type="gramEnd"/>
            <w:r w:rsidR="003B40F4" w:rsidRPr="00A30798">
              <w:rPr>
                <w:rFonts w:ascii="宋体" w:hAnsi="宋体" w:hint="eastAsia"/>
                <w:bCs/>
                <w:iCs/>
                <w:szCs w:val="21"/>
              </w:rPr>
              <w:t>街21号华大基因会议室</w:t>
            </w:r>
          </w:p>
        </w:tc>
      </w:tr>
      <w:tr w:rsidR="00A30798" w:rsidRPr="00A30798" w14:paraId="214AA7A2"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300887CE"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2EB64390" w14:textId="0C0520AD" w:rsidR="006E7A91" w:rsidRPr="00A30798" w:rsidRDefault="00316619" w:rsidP="003B40F4">
            <w:pPr>
              <w:spacing w:beforeLines="50" w:before="156" w:afterLines="50" w:after="156"/>
              <w:rPr>
                <w:rFonts w:ascii="宋体" w:hAnsi="宋体"/>
                <w:bCs/>
                <w:iCs/>
                <w:szCs w:val="21"/>
              </w:rPr>
            </w:pPr>
            <w:r w:rsidRPr="00A30798">
              <w:rPr>
                <w:rFonts w:ascii="宋体" w:hAnsi="宋体" w:hint="eastAsia"/>
                <w:bCs/>
                <w:iCs/>
                <w:szCs w:val="21"/>
              </w:rPr>
              <w:t xml:space="preserve">证券部 </w:t>
            </w:r>
            <w:proofErr w:type="gramStart"/>
            <w:r w:rsidRPr="00A30798">
              <w:rPr>
                <w:rFonts w:ascii="宋体" w:hAnsi="宋体" w:hint="eastAsia"/>
                <w:bCs/>
                <w:iCs/>
                <w:szCs w:val="21"/>
              </w:rPr>
              <w:t>宋丹伦</w:t>
            </w:r>
            <w:proofErr w:type="gramEnd"/>
            <w:r w:rsidRPr="00A30798">
              <w:rPr>
                <w:rFonts w:ascii="宋体" w:hAnsi="宋体" w:hint="eastAsia"/>
                <w:bCs/>
                <w:iCs/>
                <w:szCs w:val="21"/>
              </w:rPr>
              <w:t xml:space="preserve"> 邹美娟</w:t>
            </w:r>
          </w:p>
        </w:tc>
      </w:tr>
      <w:tr w:rsidR="00A30798" w:rsidRPr="00A30798" w14:paraId="1A159031" w14:textId="77777777" w:rsidTr="006E7A91">
        <w:tc>
          <w:tcPr>
            <w:tcW w:w="1908" w:type="dxa"/>
            <w:tcBorders>
              <w:top w:val="single" w:sz="4" w:space="0" w:color="auto"/>
              <w:left w:val="single" w:sz="4" w:space="0" w:color="auto"/>
              <w:bottom w:val="single" w:sz="4" w:space="0" w:color="auto"/>
              <w:right w:val="single" w:sz="4" w:space="0" w:color="auto"/>
            </w:tcBorders>
            <w:vAlign w:val="center"/>
          </w:tcPr>
          <w:p w14:paraId="4FD12A93" w14:textId="1B666DB2" w:rsidR="006E7A91" w:rsidRPr="00A30798" w:rsidRDefault="006E7A91">
            <w:pPr>
              <w:spacing w:line="480" w:lineRule="atLeast"/>
              <w:rPr>
                <w:rFonts w:ascii="宋体" w:hAnsi="宋体"/>
                <w:bCs/>
                <w:iCs/>
                <w:szCs w:val="21"/>
              </w:rPr>
            </w:pPr>
            <w:r w:rsidRPr="00A30798">
              <w:rPr>
                <w:rFonts w:ascii="宋体" w:hAnsi="宋体" w:hint="eastAsia"/>
                <w:bCs/>
                <w:iCs/>
                <w:szCs w:val="21"/>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14:paraId="35D2A21B" w14:textId="77777777" w:rsidR="00316619" w:rsidRPr="00A30798" w:rsidRDefault="00316619" w:rsidP="00316619">
            <w:pPr>
              <w:widowControl/>
              <w:shd w:val="clear" w:color="auto" w:fill="FFFFFF"/>
              <w:spacing w:line="480" w:lineRule="atLeast"/>
              <w:rPr>
                <w:rFonts w:ascii="微软雅黑" w:eastAsia="微软雅黑" w:hAnsi="微软雅黑" w:cs="宋体"/>
                <w:kern w:val="0"/>
                <w:sz w:val="24"/>
              </w:rPr>
            </w:pPr>
            <w:r w:rsidRPr="00A30798">
              <w:rPr>
                <w:rFonts w:ascii="宋体" w:hAnsi="宋体" w:cs="宋体" w:hint="eastAsia"/>
                <w:b/>
                <w:bCs/>
                <w:kern w:val="0"/>
                <w:szCs w:val="21"/>
              </w:rPr>
              <w:t>一、华大基因运营情况介绍</w:t>
            </w:r>
          </w:p>
          <w:p w14:paraId="6CA1A412" w14:textId="0ECEB441" w:rsidR="00316619" w:rsidRPr="00A30798" w:rsidRDefault="00316619" w:rsidP="00316619">
            <w:pPr>
              <w:widowControl/>
              <w:shd w:val="clear" w:color="auto" w:fill="FFFFFF"/>
              <w:spacing w:line="480" w:lineRule="atLeast"/>
              <w:ind w:firstLine="420"/>
              <w:rPr>
                <w:rFonts w:ascii="微软雅黑" w:eastAsia="微软雅黑" w:hAnsi="微软雅黑" w:cs="宋体"/>
                <w:kern w:val="0"/>
                <w:sz w:val="24"/>
              </w:rPr>
            </w:pPr>
            <w:r w:rsidRPr="00A30798">
              <w:rPr>
                <w:rFonts w:ascii="宋体" w:hAnsi="宋体" w:cs="宋体" w:hint="eastAsia"/>
                <w:kern w:val="0"/>
                <w:szCs w:val="21"/>
              </w:rPr>
              <w:t>公司证券部工作人员详细介绍了公司发展历程、各业务板块主要产品情况和2020年前三季度公司经营业绩及相关成果。</w:t>
            </w:r>
          </w:p>
          <w:p w14:paraId="10204492" w14:textId="65BA3B04" w:rsidR="00316619" w:rsidRPr="00A30798" w:rsidRDefault="00316619" w:rsidP="00232C87">
            <w:pPr>
              <w:widowControl/>
              <w:shd w:val="clear" w:color="auto" w:fill="FFFFFF"/>
              <w:spacing w:line="480" w:lineRule="atLeast"/>
              <w:rPr>
                <w:rFonts w:ascii="宋体" w:hAnsi="宋体" w:cs="宋体"/>
                <w:b/>
                <w:bCs/>
                <w:kern w:val="0"/>
                <w:szCs w:val="21"/>
              </w:rPr>
            </w:pPr>
            <w:r w:rsidRPr="00A30798">
              <w:rPr>
                <w:rFonts w:ascii="宋体" w:hAnsi="宋体" w:cs="宋体" w:hint="eastAsia"/>
                <w:b/>
                <w:bCs/>
                <w:kern w:val="0"/>
                <w:szCs w:val="21"/>
              </w:rPr>
              <w:t>二、关于投资者问题及回复</w:t>
            </w:r>
          </w:p>
          <w:p w14:paraId="663FE940" w14:textId="5C8A1A91" w:rsidR="009F3FD0" w:rsidRPr="00A30798" w:rsidRDefault="001D397F" w:rsidP="00697A85">
            <w:pPr>
              <w:spacing w:line="360" w:lineRule="auto"/>
              <w:ind w:firstLine="420"/>
              <w:rPr>
                <w:b/>
                <w:bCs/>
              </w:rPr>
            </w:pPr>
            <w:r w:rsidRPr="00A30798">
              <w:rPr>
                <w:rFonts w:hint="eastAsia"/>
                <w:b/>
                <w:bCs/>
              </w:rPr>
              <w:t>1</w:t>
            </w:r>
            <w:r w:rsidR="0064456C" w:rsidRPr="00A30798">
              <w:rPr>
                <w:rFonts w:hint="eastAsia"/>
                <w:b/>
                <w:bCs/>
              </w:rPr>
              <w:t>、</w:t>
            </w:r>
            <w:r w:rsidRPr="00A30798">
              <w:rPr>
                <w:rFonts w:hint="eastAsia"/>
                <w:b/>
                <w:bCs/>
              </w:rPr>
              <w:t>公司新冠</w:t>
            </w:r>
            <w:r w:rsidR="00023B1E" w:rsidRPr="00A30798">
              <w:rPr>
                <w:rFonts w:hint="eastAsia"/>
                <w:b/>
                <w:bCs/>
              </w:rPr>
              <w:t>病毒检测相关</w:t>
            </w:r>
            <w:r w:rsidRPr="00A30798">
              <w:rPr>
                <w:rFonts w:hint="eastAsia"/>
                <w:b/>
                <w:bCs/>
              </w:rPr>
              <w:t>产品的市场竞争力主要有哪些？</w:t>
            </w:r>
          </w:p>
          <w:p w14:paraId="4DB25EBD" w14:textId="392A0504" w:rsidR="00F47188" w:rsidRPr="00A30798" w:rsidRDefault="001D397F" w:rsidP="00697A85">
            <w:pPr>
              <w:spacing w:line="360" w:lineRule="auto"/>
              <w:ind w:firstLine="420"/>
            </w:pPr>
            <w:r w:rsidRPr="00A30798">
              <w:rPr>
                <w:rFonts w:hint="eastAsia"/>
              </w:rPr>
              <w:t>答：首先，公司</w:t>
            </w:r>
            <w:r w:rsidR="0064456C" w:rsidRPr="00A30798">
              <w:rPr>
                <w:rFonts w:hint="eastAsia"/>
              </w:rPr>
              <w:t>新型冠状（以下简称“新冠”）</w:t>
            </w:r>
            <w:r w:rsidR="00D4770C" w:rsidRPr="00A30798">
              <w:rPr>
                <w:rFonts w:hint="eastAsia"/>
              </w:rPr>
              <w:t>病毒</w:t>
            </w:r>
            <w:r w:rsidRPr="00A30798">
              <w:rPr>
                <w:rFonts w:hint="eastAsia"/>
              </w:rPr>
              <w:t>检测试剂盒准确度较高，临床评价积极，获多个国家或地区相关资质及认证。</w:t>
            </w:r>
            <w:r w:rsidR="007D25F4" w:rsidRPr="00A30798">
              <w:rPr>
                <w:rFonts w:hint="eastAsia"/>
              </w:rPr>
              <w:t>基于在基因组学及感染防控领域多年经验积累，</w:t>
            </w:r>
            <w:r w:rsidRPr="00A30798">
              <w:rPr>
                <w:rFonts w:hint="eastAsia"/>
              </w:rPr>
              <w:t>新冠疫情爆发后，公司第一时间完成了多款新冠病毒检测试剂盒的研发，相关产品获得了中国、欧盟、美国、日本、澳大利亚、新加坡、加拿大等国家和地区的相关资质及认证，并率先进入</w:t>
            </w:r>
            <w:r w:rsidRPr="00A30798">
              <w:rPr>
                <w:rFonts w:hint="eastAsia"/>
              </w:rPr>
              <w:t>WHO EUL</w:t>
            </w:r>
            <w:r w:rsidRPr="00A30798">
              <w:rPr>
                <w:rFonts w:hint="eastAsia"/>
              </w:rPr>
              <w:t>（世界卫生组织应急使用清单）。</w:t>
            </w:r>
          </w:p>
          <w:p w14:paraId="118AAAA4" w14:textId="77777777" w:rsidR="00506BA0" w:rsidRPr="00A30798" w:rsidRDefault="001D397F" w:rsidP="00506BA0">
            <w:pPr>
              <w:spacing w:line="360" w:lineRule="auto"/>
              <w:ind w:firstLineChars="200" w:firstLine="420"/>
              <w:rPr>
                <w:rFonts w:ascii="宋体" w:hAnsi="宋体"/>
                <w:szCs w:val="21"/>
              </w:rPr>
            </w:pPr>
            <w:r w:rsidRPr="00A30798">
              <w:rPr>
                <w:rFonts w:hint="eastAsia"/>
              </w:rPr>
              <w:t>其次，</w:t>
            </w:r>
            <w:r w:rsidR="00506BA0" w:rsidRPr="00A30798">
              <w:rPr>
                <w:rFonts w:ascii="宋体" w:hAnsi="宋体" w:hint="eastAsia"/>
                <w:szCs w:val="21"/>
              </w:rPr>
              <w:t>除新冠病毒检测试剂盒外，市场对新冠病毒的检测服务需求量亦大幅度增长。为解决各地区新冠病毒检测通量不足的问题，公</w:t>
            </w:r>
            <w:r w:rsidR="00506BA0" w:rsidRPr="00A30798">
              <w:rPr>
                <w:rFonts w:ascii="宋体" w:hAnsi="宋体" w:hint="eastAsia"/>
                <w:szCs w:val="21"/>
              </w:rPr>
              <w:lastRenderedPageBreak/>
              <w:t>司推出了“火眼”实验室一体化综合解决方案服务，为落地“火眼”的地区输出检测技术和设备，并为当地实验室人员提供培训和技术支持等，“火眼”实验室在全球各地批量建成并高效助力各国疫情防控工作。</w:t>
            </w:r>
          </w:p>
          <w:p w14:paraId="0E9F2D5D" w14:textId="2BA4C44F" w:rsidR="001D397F" w:rsidRPr="00A30798" w:rsidRDefault="00F15FEF" w:rsidP="00697A85">
            <w:pPr>
              <w:spacing w:line="360" w:lineRule="auto"/>
              <w:ind w:firstLine="420"/>
            </w:pPr>
            <w:r w:rsidRPr="00A30798">
              <w:rPr>
                <w:rFonts w:hint="eastAsia"/>
              </w:rPr>
              <w:t>再次，</w:t>
            </w:r>
            <w:r w:rsidR="00506BA0" w:rsidRPr="00A30798">
              <w:rPr>
                <w:rFonts w:ascii="宋体" w:hAnsi="宋体" w:hint="eastAsia"/>
                <w:kern w:val="0"/>
                <w:szCs w:val="21"/>
              </w:rPr>
              <w:t>为降低国际贸易的不确定性影响以及培育当地市场，公司率先在海外投资设厂，以非洲为例，公司在埃塞俄比亚投资建设的新冠病毒检测试剂盒生产厂已正式投产，待疫情结束后，还可以用于生产其他类型的检测试剂。海外投资设厂有助于加快推进公司国际化战略的实施，增强公司盈利能力和竞争实力，为公司持续健康发展提供支撑，有利于公司巩固和提升行业市场地位。</w:t>
            </w:r>
          </w:p>
          <w:p w14:paraId="466A2D5B" w14:textId="7610A7AF" w:rsidR="0067640A" w:rsidRPr="00A30798" w:rsidRDefault="00D32739" w:rsidP="00A30798">
            <w:pPr>
              <w:spacing w:line="360" w:lineRule="auto"/>
              <w:ind w:firstLine="420"/>
              <w:rPr>
                <w:b/>
                <w:bCs/>
                <w:szCs w:val="21"/>
              </w:rPr>
            </w:pPr>
            <w:r w:rsidRPr="00A30798">
              <w:rPr>
                <w:b/>
                <w:bCs/>
              </w:rPr>
              <w:t>2</w:t>
            </w:r>
            <w:r w:rsidR="0064456C" w:rsidRPr="00A30798">
              <w:rPr>
                <w:rFonts w:hint="eastAsia"/>
                <w:b/>
                <w:bCs/>
              </w:rPr>
              <w:t>、</w:t>
            </w:r>
            <w:r w:rsidR="0067640A" w:rsidRPr="00A30798">
              <w:rPr>
                <w:rFonts w:hint="eastAsia"/>
                <w:b/>
                <w:bCs/>
                <w:szCs w:val="21"/>
              </w:rPr>
              <w:t>公司全球火眼实验室的布局及运营情况，以及未来可拓展的检测服务品类及储备？</w:t>
            </w:r>
          </w:p>
          <w:p w14:paraId="561FB9CA" w14:textId="77E122B7" w:rsidR="003855C4" w:rsidRPr="00A30798" w:rsidRDefault="0067640A" w:rsidP="0018748A">
            <w:pPr>
              <w:spacing w:line="360" w:lineRule="auto"/>
              <w:ind w:firstLine="420"/>
              <w:rPr>
                <w:rFonts w:asciiTheme="majorEastAsia" w:eastAsiaTheme="majorEastAsia" w:hAnsiTheme="majorEastAsia"/>
              </w:rPr>
            </w:pPr>
            <w:r w:rsidRPr="00A30798">
              <w:rPr>
                <w:rFonts w:asciiTheme="majorEastAsia" w:eastAsiaTheme="majorEastAsia" w:hAnsiTheme="majorEastAsia" w:hint="eastAsia"/>
              </w:rPr>
              <w:t>答：</w:t>
            </w:r>
            <w:r w:rsidR="003855C4" w:rsidRPr="00A30798">
              <w:rPr>
                <w:rFonts w:asciiTheme="majorEastAsia" w:eastAsiaTheme="majorEastAsia" w:hAnsiTheme="majorEastAsia" w:hint="eastAsia"/>
              </w:rPr>
              <w:t>截至2</w:t>
            </w:r>
            <w:r w:rsidR="003855C4" w:rsidRPr="00A30798">
              <w:rPr>
                <w:rFonts w:asciiTheme="majorEastAsia" w:eastAsiaTheme="majorEastAsia" w:hAnsiTheme="majorEastAsia"/>
              </w:rPr>
              <w:t>020</w:t>
            </w:r>
            <w:r w:rsidR="003855C4" w:rsidRPr="00A30798">
              <w:rPr>
                <w:rFonts w:asciiTheme="majorEastAsia" w:eastAsiaTheme="majorEastAsia" w:hAnsiTheme="majorEastAsia" w:hint="eastAsia"/>
              </w:rPr>
              <w:t>年6月3</w:t>
            </w:r>
            <w:r w:rsidR="003855C4" w:rsidRPr="00A30798">
              <w:rPr>
                <w:rFonts w:asciiTheme="majorEastAsia" w:eastAsiaTheme="majorEastAsia" w:hAnsiTheme="majorEastAsia"/>
              </w:rPr>
              <w:t>0</w:t>
            </w:r>
            <w:r w:rsidR="003855C4" w:rsidRPr="00A30798">
              <w:rPr>
                <w:rFonts w:asciiTheme="majorEastAsia" w:eastAsiaTheme="majorEastAsia" w:hAnsiTheme="majorEastAsia" w:hint="eastAsia"/>
              </w:rPr>
              <w:t>日，公司在海外运营“火眼”实验室58个，分布在全球17个国家或地区</w:t>
            </w:r>
            <w:r w:rsidR="00651259" w:rsidRPr="00A30798">
              <w:rPr>
                <w:rFonts w:asciiTheme="majorEastAsia" w:eastAsiaTheme="majorEastAsia" w:hAnsiTheme="majorEastAsia" w:hint="eastAsia"/>
              </w:rPr>
              <w:t>。</w:t>
            </w:r>
            <w:r w:rsidR="003855C4" w:rsidRPr="00A30798">
              <w:rPr>
                <w:rFonts w:asciiTheme="majorEastAsia" w:eastAsiaTheme="majorEastAsia" w:hAnsiTheme="majorEastAsia" w:hint="eastAsia"/>
              </w:rPr>
              <w:t>本次疫情带来的不仅仅是新冠疫情业务，更是凸显了预防医学的重要性，唤醒了大家对防大于治的公共卫生理念，让其真正深入人心。</w:t>
            </w:r>
          </w:p>
          <w:p w14:paraId="535021DD" w14:textId="10C775E8" w:rsidR="0067640A" w:rsidRPr="00A30798" w:rsidRDefault="003855C4" w:rsidP="0018748A">
            <w:pPr>
              <w:spacing w:line="360" w:lineRule="auto"/>
              <w:ind w:firstLine="420"/>
              <w:rPr>
                <w:rFonts w:asciiTheme="majorEastAsia" w:eastAsiaTheme="majorEastAsia" w:hAnsiTheme="majorEastAsia"/>
              </w:rPr>
            </w:pPr>
            <w:r w:rsidRPr="00A30798">
              <w:rPr>
                <w:rFonts w:asciiTheme="majorEastAsia" w:eastAsiaTheme="majorEastAsia" w:hAnsiTheme="majorEastAsia" w:hint="eastAsia"/>
              </w:rPr>
              <w:t>目前，公司致力于通过“火眼”实验室进行技术、产品、服务的输出，深化全球业务布局，推动“火眼”实验室在其他上呼吸道传染性疾病的防控，与当地医疗机构及公共卫生系统一起探索“火眼”实验室在生育健康、肿瘤防控等领域的应用。</w:t>
            </w:r>
          </w:p>
          <w:p w14:paraId="4F02F011" w14:textId="68C5E81E" w:rsidR="00514E28" w:rsidRPr="00A30798" w:rsidRDefault="00514E28" w:rsidP="0018748A">
            <w:pPr>
              <w:spacing w:line="360" w:lineRule="auto"/>
              <w:ind w:firstLine="420"/>
              <w:rPr>
                <w:rFonts w:asciiTheme="majorEastAsia" w:eastAsiaTheme="majorEastAsia" w:hAnsiTheme="majorEastAsia"/>
                <w:b/>
                <w:bCs/>
              </w:rPr>
            </w:pPr>
            <w:r w:rsidRPr="00A30798">
              <w:rPr>
                <w:rFonts w:asciiTheme="majorEastAsia" w:eastAsiaTheme="majorEastAsia" w:hAnsiTheme="majorEastAsia"/>
                <w:b/>
                <w:bCs/>
              </w:rPr>
              <w:t>3、</w:t>
            </w:r>
            <w:r w:rsidRPr="00A30798">
              <w:rPr>
                <w:rFonts w:asciiTheme="majorEastAsia" w:eastAsiaTheme="majorEastAsia" w:hAnsiTheme="majorEastAsia" w:hint="eastAsia"/>
                <w:b/>
                <w:bCs/>
              </w:rPr>
              <w:t>宏基因组检测的应用领域及优势有哪些？</w:t>
            </w:r>
          </w:p>
          <w:p w14:paraId="0B66C7C7" w14:textId="47C5D65A" w:rsidR="00514E28" w:rsidRPr="00A30798" w:rsidRDefault="00514E28" w:rsidP="0018748A">
            <w:pPr>
              <w:spacing w:line="360" w:lineRule="auto"/>
              <w:ind w:firstLine="420"/>
              <w:rPr>
                <w:rFonts w:asciiTheme="majorEastAsia" w:eastAsiaTheme="majorEastAsia" w:hAnsiTheme="majorEastAsia"/>
              </w:rPr>
            </w:pPr>
            <w:r w:rsidRPr="00A30798">
              <w:rPr>
                <w:rFonts w:asciiTheme="majorEastAsia" w:eastAsiaTheme="majorEastAsia" w:hAnsiTheme="majorEastAsia" w:hint="eastAsia"/>
              </w:rPr>
              <w:t>答：近年来新发病原的出现、耐药病原微生物的增多以及免疫抑制宿主的增加，均在一定程度上加大了感染性疾病的诊断及治疗难度，尤其是重症感染，其起病急、进展快、病原体复杂，短时间内能否明确致病病原至关重要。公司利用宏基因组学等多个技术平台对疑难危重感染进行检测和分析，建立了多种病原检测的技术与产品体系，成为临床诊断的重要辅助手段。</w:t>
            </w:r>
          </w:p>
          <w:p w14:paraId="6EEC5BF7" w14:textId="77777777" w:rsidR="00A30798" w:rsidRPr="00A30798" w:rsidRDefault="0028082A" w:rsidP="00697A85">
            <w:pPr>
              <w:spacing w:line="360" w:lineRule="auto"/>
              <w:ind w:firstLine="420"/>
              <w:rPr>
                <w:szCs w:val="21"/>
                <w:shd w:val="clear" w:color="auto" w:fill="FFFFFF"/>
              </w:rPr>
            </w:pPr>
            <w:r w:rsidRPr="00A30798">
              <w:rPr>
                <w:rFonts w:asciiTheme="majorEastAsia" w:eastAsiaTheme="majorEastAsia" w:hAnsiTheme="majorEastAsia" w:hint="eastAsia"/>
              </w:rPr>
              <w:t>基于宏基因组学的</w:t>
            </w:r>
            <w:proofErr w:type="spellStart"/>
            <w:r w:rsidRPr="00A30798">
              <w:rPr>
                <w:rFonts w:asciiTheme="majorEastAsia" w:eastAsiaTheme="majorEastAsia" w:hAnsiTheme="majorEastAsia" w:hint="eastAsia"/>
              </w:rPr>
              <w:t>PMseq</w:t>
            </w:r>
            <w:proofErr w:type="spellEnd"/>
            <w:r w:rsidRPr="00A30798">
              <w:rPr>
                <w:rFonts w:asciiTheme="majorEastAsia" w:eastAsiaTheme="majorEastAsia" w:hAnsiTheme="majorEastAsia" w:hint="eastAsia"/>
              </w:rPr>
              <w:t>®病原微生物高通量基因检测作为公司的主力产品，可对感染标本直接进行高通量测序，通过微生物专用数</w:t>
            </w:r>
            <w:r w:rsidRPr="00A30798">
              <w:rPr>
                <w:rFonts w:asciiTheme="majorEastAsia" w:eastAsiaTheme="majorEastAsia" w:hAnsiTheme="majorEastAsia" w:hint="eastAsia"/>
              </w:rPr>
              <w:lastRenderedPageBreak/>
              <w:t>据库比对和智能化算法分析，获得疑似致病微生物的种属信息，并提供全面深入的报告分析解读，为疑难危重感染提供快速精准诊断依据，促进抗生素的合理应用。今年，公司针对</w:t>
            </w:r>
            <w:proofErr w:type="spellStart"/>
            <w:r w:rsidRPr="00A30798">
              <w:rPr>
                <w:rFonts w:asciiTheme="majorEastAsia" w:eastAsiaTheme="majorEastAsia" w:hAnsiTheme="majorEastAsia" w:hint="eastAsia"/>
              </w:rPr>
              <w:t>P</w:t>
            </w:r>
            <w:bookmarkStart w:id="0" w:name="_GoBack"/>
            <w:bookmarkEnd w:id="0"/>
            <w:r w:rsidRPr="00A30798">
              <w:rPr>
                <w:rFonts w:asciiTheme="majorEastAsia" w:eastAsiaTheme="majorEastAsia" w:hAnsiTheme="majorEastAsia" w:hint="eastAsia"/>
              </w:rPr>
              <w:t>Mseq</w:t>
            </w:r>
            <w:proofErr w:type="spellEnd"/>
            <w:r w:rsidRPr="00A30798">
              <w:rPr>
                <w:rFonts w:asciiTheme="majorEastAsia" w:eastAsiaTheme="majorEastAsia" w:hAnsiTheme="majorEastAsia" w:hint="eastAsia"/>
              </w:rPr>
              <w:t>®病原微生物高通量基因检测系列产品进行了深入优化，根据不同病原类型（DNA或RNA病原体）以及不同的检测灵敏度，从血流感染、中枢神经系统感染、呼吸系统感染及局</w:t>
            </w:r>
            <w:proofErr w:type="gramStart"/>
            <w:r w:rsidRPr="00A30798">
              <w:rPr>
                <w:rFonts w:asciiTheme="majorEastAsia" w:eastAsiaTheme="majorEastAsia" w:hAnsiTheme="majorEastAsia" w:hint="eastAsia"/>
              </w:rPr>
              <w:t>灶感染四</w:t>
            </w:r>
            <w:proofErr w:type="gramEnd"/>
            <w:r w:rsidRPr="00A30798">
              <w:rPr>
                <w:rFonts w:asciiTheme="majorEastAsia" w:eastAsiaTheme="majorEastAsia" w:hAnsiTheme="majorEastAsia" w:hint="eastAsia"/>
              </w:rPr>
              <w:t>大症候群维度，针对不同标本类型，细化升级出基础版/高敏版的</w:t>
            </w:r>
            <w:proofErr w:type="spellStart"/>
            <w:r w:rsidRPr="00A30798">
              <w:rPr>
                <w:rFonts w:asciiTheme="majorEastAsia" w:eastAsiaTheme="majorEastAsia" w:hAnsiTheme="majorEastAsia" w:hint="eastAsia"/>
              </w:rPr>
              <w:t>PMseq</w:t>
            </w:r>
            <w:proofErr w:type="spellEnd"/>
            <w:r w:rsidRPr="00A30798">
              <w:rPr>
                <w:rFonts w:asciiTheme="majorEastAsia" w:eastAsiaTheme="majorEastAsia" w:hAnsiTheme="majorEastAsia" w:hint="eastAsia"/>
              </w:rPr>
              <w:t>®-DNA、</w:t>
            </w:r>
            <w:proofErr w:type="spellStart"/>
            <w:r w:rsidRPr="00A30798">
              <w:rPr>
                <w:rFonts w:asciiTheme="majorEastAsia" w:eastAsiaTheme="majorEastAsia" w:hAnsiTheme="majorEastAsia" w:hint="eastAsia"/>
              </w:rPr>
              <w:t>PMseq</w:t>
            </w:r>
            <w:proofErr w:type="spellEnd"/>
            <w:r w:rsidRPr="00A30798">
              <w:rPr>
                <w:rFonts w:asciiTheme="majorEastAsia" w:eastAsiaTheme="majorEastAsia" w:hAnsiTheme="majorEastAsia" w:hint="eastAsia"/>
              </w:rPr>
              <w:t>®-RNA、</w:t>
            </w:r>
            <w:proofErr w:type="spellStart"/>
            <w:r w:rsidRPr="00A30798">
              <w:rPr>
                <w:rFonts w:asciiTheme="majorEastAsia" w:eastAsiaTheme="majorEastAsia" w:hAnsiTheme="majorEastAsia" w:hint="eastAsia"/>
              </w:rPr>
              <w:t>PMseq</w:t>
            </w:r>
            <w:proofErr w:type="spellEnd"/>
            <w:r w:rsidRPr="00A30798">
              <w:rPr>
                <w:rFonts w:asciiTheme="majorEastAsia" w:eastAsiaTheme="majorEastAsia" w:hAnsiTheme="majorEastAsia" w:hint="eastAsia"/>
              </w:rPr>
              <w:t>®-DNA+RNA病原微生物高通量基因检测产品</w:t>
            </w:r>
            <w:r w:rsidR="002C71D7" w:rsidRPr="00A30798">
              <w:rPr>
                <w:rFonts w:asciiTheme="majorEastAsia" w:eastAsiaTheme="majorEastAsia" w:hAnsiTheme="majorEastAsia" w:hint="eastAsia"/>
              </w:rPr>
              <w:t>，</w:t>
            </w:r>
            <w:r w:rsidR="002C71D7" w:rsidRPr="00A30798">
              <w:rPr>
                <w:rFonts w:hint="eastAsia"/>
                <w:szCs w:val="21"/>
                <w:shd w:val="clear" w:color="auto" w:fill="FFFFFF"/>
              </w:rPr>
              <w:t>满足临床多样化的需求。</w:t>
            </w:r>
          </w:p>
          <w:p w14:paraId="53F4FCCB" w14:textId="48FB6206" w:rsidR="0067640A" w:rsidRPr="00A30798" w:rsidRDefault="003F22AF" w:rsidP="00697A85">
            <w:pPr>
              <w:spacing w:line="360" w:lineRule="auto"/>
              <w:ind w:firstLine="420"/>
              <w:rPr>
                <w:rFonts w:asciiTheme="majorEastAsia" w:eastAsiaTheme="majorEastAsia" w:hAnsiTheme="majorEastAsia"/>
                <w:b/>
                <w:bCs/>
              </w:rPr>
            </w:pPr>
            <w:r w:rsidRPr="00A30798">
              <w:t>4</w:t>
            </w:r>
            <w:r w:rsidR="0064456C" w:rsidRPr="00A30798">
              <w:rPr>
                <w:rFonts w:hint="eastAsia"/>
                <w:b/>
                <w:bCs/>
              </w:rPr>
              <w:t>、</w:t>
            </w:r>
            <w:r w:rsidR="003855C4" w:rsidRPr="00A30798">
              <w:rPr>
                <w:rFonts w:asciiTheme="majorEastAsia" w:eastAsiaTheme="majorEastAsia" w:hAnsiTheme="majorEastAsia" w:hint="eastAsia"/>
                <w:b/>
                <w:bCs/>
              </w:rPr>
              <w:t>肿瘤伴随诊断和早</w:t>
            </w:r>
            <w:proofErr w:type="gramStart"/>
            <w:r w:rsidR="003855C4" w:rsidRPr="00A30798">
              <w:rPr>
                <w:rFonts w:asciiTheme="majorEastAsia" w:eastAsiaTheme="majorEastAsia" w:hAnsiTheme="majorEastAsia" w:hint="eastAsia"/>
                <w:b/>
                <w:bCs/>
              </w:rPr>
              <w:t>筛方面</w:t>
            </w:r>
            <w:proofErr w:type="gramEnd"/>
            <w:r w:rsidR="003855C4" w:rsidRPr="00A30798">
              <w:rPr>
                <w:rFonts w:asciiTheme="majorEastAsia" w:eastAsiaTheme="majorEastAsia" w:hAnsiTheme="majorEastAsia" w:hint="eastAsia"/>
                <w:b/>
                <w:bCs/>
              </w:rPr>
              <w:t>的布局是怎样的？</w:t>
            </w:r>
          </w:p>
          <w:p w14:paraId="3A30CC54" w14:textId="3815413C" w:rsidR="003855C4" w:rsidRPr="00A30798" w:rsidRDefault="003855C4" w:rsidP="00D26114">
            <w:pPr>
              <w:spacing w:line="360" w:lineRule="auto"/>
              <w:ind w:firstLine="420"/>
              <w:rPr>
                <w:rFonts w:asciiTheme="majorEastAsia" w:eastAsiaTheme="majorEastAsia" w:hAnsiTheme="majorEastAsia"/>
              </w:rPr>
            </w:pPr>
            <w:r w:rsidRPr="00A30798">
              <w:rPr>
                <w:rFonts w:asciiTheme="majorEastAsia" w:eastAsiaTheme="majorEastAsia" w:hAnsiTheme="majorEastAsia" w:hint="eastAsia"/>
              </w:rPr>
              <w:t>答：在肿瘤防控业务领域，公司在肿瘤基因检测的临床应用上处于行业领先水平。公司基于自主可控的测序平台和技术体系，从预防、早筛、诊疗、监测四个维</w:t>
            </w:r>
            <w:proofErr w:type="gramStart"/>
            <w:r w:rsidRPr="00A30798">
              <w:rPr>
                <w:rFonts w:asciiTheme="majorEastAsia" w:eastAsiaTheme="majorEastAsia" w:hAnsiTheme="majorEastAsia" w:hint="eastAsia"/>
              </w:rPr>
              <w:t>度建立</w:t>
            </w:r>
            <w:proofErr w:type="gramEnd"/>
            <w:r w:rsidRPr="00A30798">
              <w:rPr>
                <w:rFonts w:asciiTheme="majorEastAsia" w:eastAsiaTheme="majorEastAsia" w:hAnsiTheme="majorEastAsia" w:hint="eastAsia"/>
              </w:rPr>
              <w:t>了肿瘤基因检测的闭环产品线，在肿瘤防控业务领域的影响力日趋显著，以具有自主知识产权的核心检测技术及分析算法助力肿瘤精准医疗，实现对患者的普惠。</w:t>
            </w:r>
            <w:r w:rsidRPr="00A30798">
              <w:rPr>
                <w:rFonts w:asciiTheme="majorEastAsia" w:eastAsiaTheme="majorEastAsia" w:hAnsiTheme="majorEastAsia"/>
              </w:rPr>
              <w:t>2020</w:t>
            </w:r>
            <w:r w:rsidRPr="00A30798">
              <w:rPr>
                <w:rFonts w:asciiTheme="majorEastAsia" w:eastAsiaTheme="majorEastAsia" w:hAnsiTheme="majorEastAsia" w:hint="eastAsia"/>
              </w:rPr>
              <w:t>年第三季度，公司发布了肝癌早</w:t>
            </w:r>
            <w:proofErr w:type="gramStart"/>
            <w:r w:rsidRPr="00A30798">
              <w:rPr>
                <w:rFonts w:asciiTheme="majorEastAsia" w:eastAsiaTheme="majorEastAsia" w:hAnsiTheme="majorEastAsia" w:hint="eastAsia"/>
              </w:rPr>
              <w:t>筛产品</w:t>
            </w:r>
            <w:proofErr w:type="gramEnd"/>
            <w:r w:rsidRPr="00A30798">
              <w:rPr>
                <w:rFonts w:asciiTheme="majorEastAsia" w:eastAsiaTheme="majorEastAsia" w:hAnsiTheme="majorEastAsia" w:hint="eastAsia"/>
              </w:rPr>
              <w:t>——华甘宁、肠癌组织用药指导产品——华常安和定制化实体瘤监测产品——华见微，进一步完善了公司产品矩阵，提升整体竞争力。</w:t>
            </w:r>
          </w:p>
          <w:p w14:paraId="09DF2C43" w14:textId="77777777" w:rsidR="00477ED1" w:rsidRPr="00A30798" w:rsidRDefault="003855C4" w:rsidP="00D26114">
            <w:pPr>
              <w:spacing w:line="360" w:lineRule="auto"/>
              <w:ind w:firstLine="420"/>
              <w:rPr>
                <w:rFonts w:asciiTheme="majorEastAsia" w:eastAsiaTheme="majorEastAsia" w:hAnsiTheme="majorEastAsia"/>
              </w:rPr>
            </w:pPr>
            <w:r w:rsidRPr="00A30798">
              <w:rPr>
                <w:rFonts w:asciiTheme="majorEastAsia" w:eastAsiaTheme="majorEastAsia" w:hAnsiTheme="majorEastAsia" w:hint="eastAsia"/>
              </w:rPr>
              <w:t>未来，公司计划围绕肿瘤</w:t>
            </w:r>
            <w:proofErr w:type="gramStart"/>
            <w:r w:rsidRPr="00A30798">
              <w:rPr>
                <w:rFonts w:asciiTheme="majorEastAsia" w:eastAsiaTheme="majorEastAsia" w:hAnsiTheme="majorEastAsia" w:hint="eastAsia"/>
              </w:rPr>
              <w:t>早筛早诊</w:t>
            </w:r>
            <w:proofErr w:type="gramEnd"/>
            <w:r w:rsidRPr="00A30798">
              <w:rPr>
                <w:rFonts w:asciiTheme="majorEastAsia" w:eastAsiaTheme="majorEastAsia" w:hAnsiTheme="majorEastAsia" w:hint="eastAsia"/>
              </w:rPr>
              <w:t>、治疗指导、预后管理全面发力，持续优化现有技术流程、缩短检测周期并提升检测精准度，完善相关产品的临床有效性数据，扩大高通量测序整体解决方案和设备的市场推广，加快成熟产品的试剂盒申报，继续加速构建和完善中国人的肿瘤基因变异数据库和解读数据库，助力肿瘤的精准诊疗。</w:t>
            </w:r>
          </w:p>
          <w:p w14:paraId="6489EB52" w14:textId="04CCCB50" w:rsidR="00D32739" w:rsidRPr="00A30798" w:rsidRDefault="00477ED1" w:rsidP="009B2C6D">
            <w:pPr>
              <w:spacing w:line="360" w:lineRule="auto"/>
              <w:ind w:firstLine="420"/>
              <w:rPr>
                <w:rFonts w:asciiTheme="majorEastAsia" w:eastAsiaTheme="majorEastAsia" w:hAnsiTheme="majorEastAsia"/>
              </w:rPr>
            </w:pPr>
            <w:r w:rsidRPr="00A30798">
              <w:rPr>
                <w:rFonts w:asciiTheme="majorEastAsia" w:eastAsiaTheme="majorEastAsia" w:hAnsiTheme="majorEastAsia" w:hint="eastAsia"/>
              </w:rPr>
              <w:t>另一方面，</w:t>
            </w:r>
            <w:r w:rsidR="00A00EF0" w:rsidRPr="00A30798">
              <w:rPr>
                <w:rFonts w:asciiTheme="majorEastAsia" w:eastAsiaTheme="majorEastAsia" w:hAnsiTheme="majorEastAsia" w:hint="eastAsia"/>
              </w:rPr>
              <w:t>随着肿瘤的临床治疗手段日益丰富，也对肿瘤的分子病理诊断提出了更多的思考和更高的要求。治疗手段多样化，也要求分子病理诊断更全面，更精准，更高效。</w:t>
            </w:r>
            <w:r w:rsidRPr="00A30798">
              <w:rPr>
                <w:rFonts w:asciiTheme="majorEastAsia" w:eastAsiaTheme="majorEastAsia" w:hAnsiTheme="majorEastAsia" w:hint="eastAsia"/>
              </w:rPr>
              <w:t>公司</w:t>
            </w:r>
            <w:r w:rsidR="00A00EF0" w:rsidRPr="00A30798">
              <w:rPr>
                <w:rFonts w:asciiTheme="majorEastAsia" w:eastAsiaTheme="majorEastAsia" w:hAnsiTheme="majorEastAsia" w:hint="eastAsia"/>
              </w:rPr>
              <w:t>不仅仅关注分子病理技术，更致力于从实验室质量管理体系建设、技术转移、软硬件建设、人员培训等方面，提供整体解决方案和专业的全方位的服务，助力医院的肿瘤分子病理实验室建设。</w:t>
            </w:r>
          </w:p>
        </w:tc>
      </w:tr>
      <w:tr w:rsidR="00A30798" w:rsidRPr="00A30798" w14:paraId="324E4572" w14:textId="77777777" w:rsidTr="006E7A91">
        <w:tc>
          <w:tcPr>
            <w:tcW w:w="1908" w:type="dxa"/>
            <w:tcBorders>
              <w:top w:val="single" w:sz="4" w:space="0" w:color="auto"/>
              <w:left w:val="single" w:sz="4" w:space="0" w:color="auto"/>
              <w:bottom w:val="single" w:sz="4" w:space="0" w:color="auto"/>
              <w:right w:val="single" w:sz="4" w:space="0" w:color="auto"/>
            </w:tcBorders>
            <w:vAlign w:val="center"/>
            <w:hideMark/>
          </w:tcPr>
          <w:p w14:paraId="484974C1"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4510D87E" w14:textId="77777777" w:rsidR="006E7A91" w:rsidRPr="00A30798" w:rsidRDefault="00C91F91">
            <w:pPr>
              <w:spacing w:line="480" w:lineRule="atLeast"/>
              <w:rPr>
                <w:rFonts w:ascii="宋体" w:hAnsi="宋体"/>
                <w:bCs/>
                <w:iCs/>
                <w:szCs w:val="21"/>
              </w:rPr>
            </w:pPr>
            <w:r w:rsidRPr="00A30798">
              <w:rPr>
                <w:rFonts w:ascii="宋体" w:hAnsi="宋体" w:hint="eastAsia"/>
                <w:bCs/>
                <w:iCs/>
                <w:szCs w:val="21"/>
              </w:rPr>
              <w:t>无</w:t>
            </w:r>
          </w:p>
        </w:tc>
      </w:tr>
      <w:tr w:rsidR="006E7A91" w:rsidRPr="00A30798" w14:paraId="61607600" w14:textId="77777777" w:rsidTr="006E7A91">
        <w:tc>
          <w:tcPr>
            <w:tcW w:w="1908" w:type="dxa"/>
            <w:tcBorders>
              <w:top w:val="single" w:sz="4" w:space="0" w:color="auto"/>
              <w:left w:val="single" w:sz="4" w:space="0" w:color="auto"/>
              <w:bottom w:val="single" w:sz="4" w:space="0" w:color="auto"/>
              <w:right w:val="single" w:sz="4" w:space="0" w:color="auto"/>
            </w:tcBorders>
            <w:vAlign w:val="center"/>
            <w:hideMark/>
          </w:tcPr>
          <w:p w14:paraId="7FCB00ED" w14:textId="77777777" w:rsidR="006E7A91" w:rsidRPr="00A30798" w:rsidRDefault="006E7A91">
            <w:pPr>
              <w:spacing w:line="480" w:lineRule="atLeast"/>
              <w:rPr>
                <w:rFonts w:ascii="宋体" w:hAnsi="宋体"/>
                <w:bCs/>
                <w:iCs/>
                <w:szCs w:val="21"/>
              </w:rPr>
            </w:pPr>
            <w:r w:rsidRPr="00A30798">
              <w:rPr>
                <w:rFonts w:ascii="宋体" w:hAnsi="宋体" w:hint="eastAsia"/>
                <w:bCs/>
                <w:iCs/>
                <w:szCs w:val="21"/>
              </w:rPr>
              <w:lastRenderedPageBreak/>
              <w:t>日期</w:t>
            </w:r>
          </w:p>
        </w:tc>
        <w:tc>
          <w:tcPr>
            <w:tcW w:w="6614" w:type="dxa"/>
            <w:tcBorders>
              <w:top w:val="single" w:sz="4" w:space="0" w:color="auto"/>
              <w:left w:val="single" w:sz="4" w:space="0" w:color="auto"/>
              <w:bottom w:val="single" w:sz="4" w:space="0" w:color="auto"/>
              <w:right w:val="single" w:sz="4" w:space="0" w:color="auto"/>
            </w:tcBorders>
          </w:tcPr>
          <w:p w14:paraId="29EF6E1F" w14:textId="50FF057F" w:rsidR="006E7A91" w:rsidRPr="00A30798" w:rsidRDefault="00C91F91">
            <w:pPr>
              <w:spacing w:line="480" w:lineRule="atLeast"/>
              <w:rPr>
                <w:rFonts w:ascii="宋体" w:hAnsi="宋体"/>
                <w:bCs/>
                <w:iCs/>
                <w:szCs w:val="21"/>
              </w:rPr>
            </w:pPr>
            <w:r w:rsidRPr="00A30798">
              <w:rPr>
                <w:rFonts w:ascii="宋体" w:hAnsi="宋体" w:hint="eastAsia"/>
                <w:bCs/>
                <w:iCs/>
                <w:szCs w:val="21"/>
              </w:rPr>
              <w:t>2</w:t>
            </w:r>
            <w:r w:rsidRPr="00A30798">
              <w:rPr>
                <w:rFonts w:ascii="宋体" w:hAnsi="宋体"/>
                <w:bCs/>
                <w:iCs/>
                <w:szCs w:val="21"/>
              </w:rPr>
              <w:t>0</w:t>
            </w:r>
            <w:r w:rsidR="00FA6960" w:rsidRPr="00A30798">
              <w:rPr>
                <w:rFonts w:ascii="宋体" w:hAnsi="宋体"/>
                <w:bCs/>
                <w:iCs/>
                <w:szCs w:val="21"/>
              </w:rPr>
              <w:t>20</w:t>
            </w:r>
            <w:r w:rsidRPr="00A30798">
              <w:rPr>
                <w:rFonts w:ascii="宋体" w:hAnsi="宋体" w:hint="eastAsia"/>
                <w:bCs/>
                <w:iCs/>
                <w:szCs w:val="21"/>
              </w:rPr>
              <w:t>年</w:t>
            </w:r>
            <w:r w:rsidR="00AE4443" w:rsidRPr="00A30798">
              <w:rPr>
                <w:rFonts w:ascii="宋体" w:hAnsi="宋体"/>
                <w:bCs/>
                <w:iCs/>
                <w:szCs w:val="21"/>
              </w:rPr>
              <w:t>1</w:t>
            </w:r>
            <w:r w:rsidR="00316619" w:rsidRPr="00A30798">
              <w:rPr>
                <w:rFonts w:ascii="宋体" w:hAnsi="宋体"/>
                <w:bCs/>
                <w:iCs/>
                <w:szCs w:val="21"/>
              </w:rPr>
              <w:t>1</w:t>
            </w:r>
            <w:r w:rsidRPr="00A30798">
              <w:rPr>
                <w:rFonts w:ascii="宋体" w:hAnsi="宋体" w:hint="eastAsia"/>
                <w:bCs/>
                <w:iCs/>
                <w:szCs w:val="21"/>
              </w:rPr>
              <w:t>月</w:t>
            </w:r>
            <w:r w:rsidR="00D26114" w:rsidRPr="00A30798">
              <w:rPr>
                <w:rFonts w:ascii="宋体" w:hAnsi="宋体"/>
                <w:bCs/>
                <w:iCs/>
                <w:szCs w:val="21"/>
              </w:rPr>
              <w:t>3</w:t>
            </w:r>
            <w:r w:rsidRPr="00A30798">
              <w:rPr>
                <w:rFonts w:ascii="宋体" w:hAnsi="宋体" w:hint="eastAsia"/>
                <w:bCs/>
                <w:iCs/>
                <w:szCs w:val="21"/>
              </w:rPr>
              <w:t>日</w:t>
            </w:r>
          </w:p>
        </w:tc>
      </w:tr>
    </w:tbl>
    <w:p w14:paraId="0CB7A6FB" w14:textId="77777777" w:rsidR="00BE7EA1" w:rsidRPr="00A30798" w:rsidRDefault="00BE7EA1">
      <w:pPr>
        <w:rPr>
          <w:szCs w:val="21"/>
        </w:rPr>
      </w:pPr>
    </w:p>
    <w:sectPr w:rsidR="00BE7EA1" w:rsidRPr="00A30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62E0" w14:textId="77777777" w:rsidR="00324496" w:rsidRDefault="00324496" w:rsidP="006E7A91">
      <w:r>
        <w:separator/>
      </w:r>
    </w:p>
  </w:endnote>
  <w:endnote w:type="continuationSeparator" w:id="0">
    <w:p w14:paraId="60EDF881" w14:textId="77777777" w:rsidR="00324496" w:rsidRDefault="00324496" w:rsidP="006E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0AE0" w14:textId="77777777" w:rsidR="00324496" w:rsidRDefault="00324496" w:rsidP="006E7A91">
      <w:r>
        <w:separator/>
      </w:r>
    </w:p>
  </w:footnote>
  <w:footnote w:type="continuationSeparator" w:id="0">
    <w:p w14:paraId="6DE9ACEC" w14:textId="77777777" w:rsidR="00324496" w:rsidRDefault="00324496" w:rsidP="006E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E4F"/>
      </v:shape>
    </w:pict>
  </w:numPicBullet>
  <w:abstractNum w:abstractNumId="0" w15:restartNumberingAfterBreak="0">
    <w:nsid w:val="690A7B30"/>
    <w:multiLevelType w:val="hybridMultilevel"/>
    <w:tmpl w:val="2AC8A302"/>
    <w:lvl w:ilvl="0" w:tplc="50E828CA">
      <w:start w:val="1"/>
      <w:numFmt w:val="japaneseCounting"/>
      <w:lvlText w:val="%1、"/>
      <w:lvlJc w:val="left"/>
      <w:pPr>
        <w:ind w:left="870" w:hanging="45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69523F4A"/>
    <w:multiLevelType w:val="hybridMultilevel"/>
    <w:tmpl w:val="F2A429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78911940"/>
    <w:multiLevelType w:val="hybridMultilevel"/>
    <w:tmpl w:val="D7965626"/>
    <w:lvl w:ilvl="0" w:tplc="6106A36C">
      <w:start w:val="1"/>
      <w:numFmt w:val="decimal"/>
      <w:lvlText w:val="%1."/>
      <w:lvlJc w:val="left"/>
      <w:pPr>
        <w:ind w:left="420"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E7A91"/>
    <w:rsid w:val="0000057E"/>
    <w:rsid w:val="00005124"/>
    <w:rsid w:val="00006145"/>
    <w:rsid w:val="0001116A"/>
    <w:rsid w:val="00021E82"/>
    <w:rsid w:val="000237EE"/>
    <w:rsid w:val="00023B1E"/>
    <w:rsid w:val="00031B60"/>
    <w:rsid w:val="00042EF0"/>
    <w:rsid w:val="0004547C"/>
    <w:rsid w:val="00050802"/>
    <w:rsid w:val="00057078"/>
    <w:rsid w:val="00062627"/>
    <w:rsid w:val="000732CA"/>
    <w:rsid w:val="00075EA7"/>
    <w:rsid w:val="00076487"/>
    <w:rsid w:val="00082614"/>
    <w:rsid w:val="00085BD1"/>
    <w:rsid w:val="00087964"/>
    <w:rsid w:val="000904B9"/>
    <w:rsid w:val="000915AB"/>
    <w:rsid w:val="000A08A5"/>
    <w:rsid w:val="000A6DFB"/>
    <w:rsid w:val="000B600A"/>
    <w:rsid w:val="000C3943"/>
    <w:rsid w:val="000C4113"/>
    <w:rsid w:val="000C64FA"/>
    <w:rsid w:val="000D0F76"/>
    <w:rsid w:val="000D780B"/>
    <w:rsid w:val="000D7A65"/>
    <w:rsid w:val="001030FF"/>
    <w:rsid w:val="0011165C"/>
    <w:rsid w:val="00111E17"/>
    <w:rsid w:val="00131652"/>
    <w:rsid w:val="00133E93"/>
    <w:rsid w:val="0013505C"/>
    <w:rsid w:val="0013569A"/>
    <w:rsid w:val="0014524C"/>
    <w:rsid w:val="00156A41"/>
    <w:rsid w:val="00157A90"/>
    <w:rsid w:val="001632C3"/>
    <w:rsid w:val="001656BC"/>
    <w:rsid w:val="001751D2"/>
    <w:rsid w:val="00177C23"/>
    <w:rsid w:val="00182E19"/>
    <w:rsid w:val="0018430B"/>
    <w:rsid w:val="00184F9C"/>
    <w:rsid w:val="0018748A"/>
    <w:rsid w:val="001A34B3"/>
    <w:rsid w:val="001B0E67"/>
    <w:rsid w:val="001B17FC"/>
    <w:rsid w:val="001B5407"/>
    <w:rsid w:val="001C3731"/>
    <w:rsid w:val="001D079A"/>
    <w:rsid w:val="001D397F"/>
    <w:rsid w:val="001E25F6"/>
    <w:rsid w:val="001E2D7D"/>
    <w:rsid w:val="001E4B1D"/>
    <w:rsid w:val="001F4AD6"/>
    <w:rsid w:val="001F4F7E"/>
    <w:rsid w:val="001F5A56"/>
    <w:rsid w:val="00202188"/>
    <w:rsid w:val="002039F3"/>
    <w:rsid w:val="00207029"/>
    <w:rsid w:val="00210385"/>
    <w:rsid w:val="0022170E"/>
    <w:rsid w:val="00222591"/>
    <w:rsid w:val="00223512"/>
    <w:rsid w:val="0023096B"/>
    <w:rsid w:val="002324AB"/>
    <w:rsid w:val="00232C87"/>
    <w:rsid w:val="00237CE4"/>
    <w:rsid w:val="0024446A"/>
    <w:rsid w:val="00245514"/>
    <w:rsid w:val="00247851"/>
    <w:rsid w:val="00251B78"/>
    <w:rsid w:val="00256F8E"/>
    <w:rsid w:val="002616FE"/>
    <w:rsid w:val="0026724E"/>
    <w:rsid w:val="0028082A"/>
    <w:rsid w:val="00284B5F"/>
    <w:rsid w:val="00285FAB"/>
    <w:rsid w:val="0028680E"/>
    <w:rsid w:val="0029773D"/>
    <w:rsid w:val="002A0B4E"/>
    <w:rsid w:val="002A391B"/>
    <w:rsid w:val="002B229C"/>
    <w:rsid w:val="002B4F28"/>
    <w:rsid w:val="002C52DF"/>
    <w:rsid w:val="002C65DE"/>
    <w:rsid w:val="002C71D7"/>
    <w:rsid w:val="002E23CA"/>
    <w:rsid w:val="002F7A87"/>
    <w:rsid w:val="00304871"/>
    <w:rsid w:val="003051FD"/>
    <w:rsid w:val="003062A8"/>
    <w:rsid w:val="003144D7"/>
    <w:rsid w:val="00316619"/>
    <w:rsid w:val="00324496"/>
    <w:rsid w:val="00331966"/>
    <w:rsid w:val="003338FB"/>
    <w:rsid w:val="00334087"/>
    <w:rsid w:val="00336210"/>
    <w:rsid w:val="00344FBD"/>
    <w:rsid w:val="00353FC6"/>
    <w:rsid w:val="003542BE"/>
    <w:rsid w:val="00366CBD"/>
    <w:rsid w:val="003734BF"/>
    <w:rsid w:val="00380731"/>
    <w:rsid w:val="003830FD"/>
    <w:rsid w:val="00384534"/>
    <w:rsid w:val="003855C4"/>
    <w:rsid w:val="003863CF"/>
    <w:rsid w:val="003909A2"/>
    <w:rsid w:val="00393047"/>
    <w:rsid w:val="003A380F"/>
    <w:rsid w:val="003B1183"/>
    <w:rsid w:val="003B3D57"/>
    <w:rsid w:val="003B40F4"/>
    <w:rsid w:val="003B4D2E"/>
    <w:rsid w:val="003B6F45"/>
    <w:rsid w:val="003D00C7"/>
    <w:rsid w:val="003D0298"/>
    <w:rsid w:val="003D437C"/>
    <w:rsid w:val="003D5B2B"/>
    <w:rsid w:val="003E0791"/>
    <w:rsid w:val="003E3C47"/>
    <w:rsid w:val="003E4058"/>
    <w:rsid w:val="003E6A9F"/>
    <w:rsid w:val="003F22AF"/>
    <w:rsid w:val="003F57A4"/>
    <w:rsid w:val="003F72EE"/>
    <w:rsid w:val="00403C00"/>
    <w:rsid w:val="00414A65"/>
    <w:rsid w:val="00420242"/>
    <w:rsid w:val="004246DC"/>
    <w:rsid w:val="00436B10"/>
    <w:rsid w:val="00441FE7"/>
    <w:rsid w:val="00450AA6"/>
    <w:rsid w:val="00460C9C"/>
    <w:rsid w:val="00463C3C"/>
    <w:rsid w:val="00465104"/>
    <w:rsid w:val="004677C1"/>
    <w:rsid w:val="00473A29"/>
    <w:rsid w:val="00477497"/>
    <w:rsid w:val="00477ED1"/>
    <w:rsid w:val="00486ED0"/>
    <w:rsid w:val="00490114"/>
    <w:rsid w:val="004A34CC"/>
    <w:rsid w:val="004B67CE"/>
    <w:rsid w:val="004F3F92"/>
    <w:rsid w:val="005006A6"/>
    <w:rsid w:val="00506BA0"/>
    <w:rsid w:val="00514E28"/>
    <w:rsid w:val="00524B36"/>
    <w:rsid w:val="00532B97"/>
    <w:rsid w:val="00540D57"/>
    <w:rsid w:val="0054126C"/>
    <w:rsid w:val="0054425D"/>
    <w:rsid w:val="00554A79"/>
    <w:rsid w:val="00556A11"/>
    <w:rsid w:val="00571324"/>
    <w:rsid w:val="00573F24"/>
    <w:rsid w:val="0057614F"/>
    <w:rsid w:val="00584A1F"/>
    <w:rsid w:val="0058769E"/>
    <w:rsid w:val="00596072"/>
    <w:rsid w:val="005A186D"/>
    <w:rsid w:val="005A41D0"/>
    <w:rsid w:val="005A681E"/>
    <w:rsid w:val="005E3E9E"/>
    <w:rsid w:val="005F12FC"/>
    <w:rsid w:val="005F3296"/>
    <w:rsid w:val="00600009"/>
    <w:rsid w:val="00613C5F"/>
    <w:rsid w:val="0064456C"/>
    <w:rsid w:val="00651259"/>
    <w:rsid w:val="00651D06"/>
    <w:rsid w:val="00660485"/>
    <w:rsid w:val="006657C2"/>
    <w:rsid w:val="006672F7"/>
    <w:rsid w:val="00667FF2"/>
    <w:rsid w:val="00670BB8"/>
    <w:rsid w:val="00671517"/>
    <w:rsid w:val="00672889"/>
    <w:rsid w:val="0067536F"/>
    <w:rsid w:val="0067640A"/>
    <w:rsid w:val="00680567"/>
    <w:rsid w:val="00691DA2"/>
    <w:rsid w:val="006959FB"/>
    <w:rsid w:val="00697A85"/>
    <w:rsid w:val="00697AD2"/>
    <w:rsid w:val="006A6219"/>
    <w:rsid w:val="006B334C"/>
    <w:rsid w:val="006C1E4F"/>
    <w:rsid w:val="006C23D4"/>
    <w:rsid w:val="006C38FE"/>
    <w:rsid w:val="006C5542"/>
    <w:rsid w:val="006C6698"/>
    <w:rsid w:val="006D01DB"/>
    <w:rsid w:val="006D448A"/>
    <w:rsid w:val="006E26EF"/>
    <w:rsid w:val="006E5C73"/>
    <w:rsid w:val="006E5D27"/>
    <w:rsid w:val="006E7A91"/>
    <w:rsid w:val="006F7675"/>
    <w:rsid w:val="007015B6"/>
    <w:rsid w:val="00705583"/>
    <w:rsid w:val="007065FC"/>
    <w:rsid w:val="007210D0"/>
    <w:rsid w:val="007228B3"/>
    <w:rsid w:val="00724AB2"/>
    <w:rsid w:val="007308FE"/>
    <w:rsid w:val="00735BB2"/>
    <w:rsid w:val="007372EE"/>
    <w:rsid w:val="00737F5F"/>
    <w:rsid w:val="00742F41"/>
    <w:rsid w:val="007439D3"/>
    <w:rsid w:val="00754E77"/>
    <w:rsid w:val="00773819"/>
    <w:rsid w:val="00776035"/>
    <w:rsid w:val="007777A7"/>
    <w:rsid w:val="00780240"/>
    <w:rsid w:val="00781547"/>
    <w:rsid w:val="00787584"/>
    <w:rsid w:val="007A1698"/>
    <w:rsid w:val="007A38A1"/>
    <w:rsid w:val="007B53D8"/>
    <w:rsid w:val="007B73E8"/>
    <w:rsid w:val="007C2D13"/>
    <w:rsid w:val="007C3887"/>
    <w:rsid w:val="007D25F4"/>
    <w:rsid w:val="007F197D"/>
    <w:rsid w:val="007F2871"/>
    <w:rsid w:val="007F612A"/>
    <w:rsid w:val="00805104"/>
    <w:rsid w:val="008137A0"/>
    <w:rsid w:val="00821D90"/>
    <w:rsid w:val="008353C8"/>
    <w:rsid w:val="00840C4A"/>
    <w:rsid w:val="008428E8"/>
    <w:rsid w:val="00853DB3"/>
    <w:rsid w:val="00860BC0"/>
    <w:rsid w:val="00865617"/>
    <w:rsid w:val="008673A1"/>
    <w:rsid w:val="00873550"/>
    <w:rsid w:val="00883BEF"/>
    <w:rsid w:val="00896FBC"/>
    <w:rsid w:val="008A31EE"/>
    <w:rsid w:val="008A62EE"/>
    <w:rsid w:val="008A7212"/>
    <w:rsid w:val="008B2C10"/>
    <w:rsid w:val="008B4CDE"/>
    <w:rsid w:val="008E1CE5"/>
    <w:rsid w:val="008E6127"/>
    <w:rsid w:val="008E7880"/>
    <w:rsid w:val="008F2AF5"/>
    <w:rsid w:val="009047C4"/>
    <w:rsid w:val="00904C6C"/>
    <w:rsid w:val="00906BB7"/>
    <w:rsid w:val="00907631"/>
    <w:rsid w:val="00922AAC"/>
    <w:rsid w:val="0092684F"/>
    <w:rsid w:val="0093670B"/>
    <w:rsid w:val="009436D4"/>
    <w:rsid w:val="0094407F"/>
    <w:rsid w:val="0094524E"/>
    <w:rsid w:val="00951396"/>
    <w:rsid w:val="009513BD"/>
    <w:rsid w:val="00952D76"/>
    <w:rsid w:val="009619F9"/>
    <w:rsid w:val="009648F8"/>
    <w:rsid w:val="009772AC"/>
    <w:rsid w:val="00991452"/>
    <w:rsid w:val="00994D77"/>
    <w:rsid w:val="009A323F"/>
    <w:rsid w:val="009B2C6D"/>
    <w:rsid w:val="009B2FEC"/>
    <w:rsid w:val="009B3101"/>
    <w:rsid w:val="009C72FC"/>
    <w:rsid w:val="009D0339"/>
    <w:rsid w:val="009D2D4C"/>
    <w:rsid w:val="009D7151"/>
    <w:rsid w:val="009D794A"/>
    <w:rsid w:val="009E2A3D"/>
    <w:rsid w:val="009F3FD0"/>
    <w:rsid w:val="00A00EF0"/>
    <w:rsid w:val="00A04308"/>
    <w:rsid w:val="00A061AC"/>
    <w:rsid w:val="00A17957"/>
    <w:rsid w:val="00A21692"/>
    <w:rsid w:val="00A30798"/>
    <w:rsid w:val="00A434C3"/>
    <w:rsid w:val="00A47222"/>
    <w:rsid w:val="00A60D7B"/>
    <w:rsid w:val="00A61F41"/>
    <w:rsid w:val="00A71701"/>
    <w:rsid w:val="00A7447A"/>
    <w:rsid w:val="00A81E2B"/>
    <w:rsid w:val="00A85650"/>
    <w:rsid w:val="00A85B21"/>
    <w:rsid w:val="00A85EF9"/>
    <w:rsid w:val="00A97D7E"/>
    <w:rsid w:val="00AA0EA1"/>
    <w:rsid w:val="00AA5EF2"/>
    <w:rsid w:val="00AB1CAB"/>
    <w:rsid w:val="00AB55B5"/>
    <w:rsid w:val="00AD1F3E"/>
    <w:rsid w:val="00AD53B9"/>
    <w:rsid w:val="00AE4443"/>
    <w:rsid w:val="00AF47C4"/>
    <w:rsid w:val="00AF786F"/>
    <w:rsid w:val="00B048B8"/>
    <w:rsid w:val="00B07C28"/>
    <w:rsid w:val="00B109E4"/>
    <w:rsid w:val="00B116EF"/>
    <w:rsid w:val="00B13152"/>
    <w:rsid w:val="00B17CD9"/>
    <w:rsid w:val="00B415F8"/>
    <w:rsid w:val="00B42030"/>
    <w:rsid w:val="00B447E5"/>
    <w:rsid w:val="00B46D5D"/>
    <w:rsid w:val="00B52180"/>
    <w:rsid w:val="00B614CF"/>
    <w:rsid w:val="00B64B46"/>
    <w:rsid w:val="00B71B0C"/>
    <w:rsid w:val="00B75ED5"/>
    <w:rsid w:val="00B853A4"/>
    <w:rsid w:val="00B8657D"/>
    <w:rsid w:val="00B87EA3"/>
    <w:rsid w:val="00B9009B"/>
    <w:rsid w:val="00B92B0B"/>
    <w:rsid w:val="00B9340A"/>
    <w:rsid w:val="00B94FD4"/>
    <w:rsid w:val="00BA0380"/>
    <w:rsid w:val="00BA3AE5"/>
    <w:rsid w:val="00BA61FE"/>
    <w:rsid w:val="00BB247C"/>
    <w:rsid w:val="00BB2891"/>
    <w:rsid w:val="00BB5170"/>
    <w:rsid w:val="00BC0E14"/>
    <w:rsid w:val="00BD1256"/>
    <w:rsid w:val="00BD1963"/>
    <w:rsid w:val="00BD4E2E"/>
    <w:rsid w:val="00BE1354"/>
    <w:rsid w:val="00BE2A83"/>
    <w:rsid w:val="00BE3668"/>
    <w:rsid w:val="00BE7EA1"/>
    <w:rsid w:val="00BF0CFA"/>
    <w:rsid w:val="00C03886"/>
    <w:rsid w:val="00C1012C"/>
    <w:rsid w:val="00C1242C"/>
    <w:rsid w:val="00C15FA2"/>
    <w:rsid w:val="00C20976"/>
    <w:rsid w:val="00C338C0"/>
    <w:rsid w:val="00C35FA5"/>
    <w:rsid w:val="00C36222"/>
    <w:rsid w:val="00C4276A"/>
    <w:rsid w:val="00C45A73"/>
    <w:rsid w:val="00C517F3"/>
    <w:rsid w:val="00C51BF2"/>
    <w:rsid w:val="00C53AFD"/>
    <w:rsid w:val="00C57921"/>
    <w:rsid w:val="00C63866"/>
    <w:rsid w:val="00C64495"/>
    <w:rsid w:val="00C66360"/>
    <w:rsid w:val="00C718B1"/>
    <w:rsid w:val="00C90390"/>
    <w:rsid w:val="00C91F91"/>
    <w:rsid w:val="00C96CAF"/>
    <w:rsid w:val="00CA3E75"/>
    <w:rsid w:val="00CB480F"/>
    <w:rsid w:val="00CC1B66"/>
    <w:rsid w:val="00CC7FBC"/>
    <w:rsid w:val="00CD22DD"/>
    <w:rsid w:val="00CD2C40"/>
    <w:rsid w:val="00CD7D58"/>
    <w:rsid w:val="00CE0F62"/>
    <w:rsid w:val="00CF1F88"/>
    <w:rsid w:val="00CF6C69"/>
    <w:rsid w:val="00CF771F"/>
    <w:rsid w:val="00D05592"/>
    <w:rsid w:val="00D05A9F"/>
    <w:rsid w:val="00D10982"/>
    <w:rsid w:val="00D23880"/>
    <w:rsid w:val="00D26114"/>
    <w:rsid w:val="00D31F1D"/>
    <w:rsid w:val="00D32078"/>
    <w:rsid w:val="00D32739"/>
    <w:rsid w:val="00D4770C"/>
    <w:rsid w:val="00D62F7C"/>
    <w:rsid w:val="00D668EE"/>
    <w:rsid w:val="00D66A58"/>
    <w:rsid w:val="00D82D70"/>
    <w:rsid w:val="00D832AE"/>
    <w:rsid w:val="00D934A1"/>
    <w:rsid w:val="00D94636"/>
    <w:rsid w:val="00DA49F5"/>
    <w:rsid w:val="00DB5CEB"/>
    <w:rsid w:val="00DB6597"/>
    <w:rsid w:val="00DE072D"/>
    <w:rsid w:val="00DE7686"/>
    <w:rsid w:val="00DF127A"/>
    <w:rsid w:val="00E04FB0"/>
    <w:rsid w:val="00E257C1"/>
    <w:rsid w:val="00E33210"/>
    <w:rsid w:val="00E45CEC"/>
    <w:rsid w:val="00E47538"/>
    <w:rsid w:val="00E518C0"/>
    <w:rsid w:val="00E51B3D"/>
    <w:rsid w:val="00E601E9"/>
    <w:rsid w:val="00E734BB"/>
    <w:rsid w:val="00E82223"/>
    <w:rsid w:val="00E8774B"/>
    <w:rsid w:val="00E877BE"/>
    <w:rsid w:val="00E93A39"/>
    <w:rsid w:val="00E9537E"/>
    <w:rsid w:val="00E96857"/>
    <w:rsid w:val="00EA4B6A"/>
    <w:rsid w:val="00EA4D0A"/>
    <w:rsid w:val="00EA5468"/>
    <w:rsid w:val="00EA7657"/>
    <w:rsid w:val="00EB0CD0"/>
    <w:rsid w:val="00EB201D"/>
    <w:rsid w:val="00EB5DBA"/>
    <w:rsid w:val="00EC24AE"/>
    <w:rsid w:val="00EC54C7"/>
    <w:rsid w:val="00ED3FE6"/>
    <w:rsid w:val="00EE5C73"/>
    <w:rsid w:val="00EE6444"/>
    <w:rsid w:val="00EF5275"/>
    <w:rsid w:val="00F00D03"/>
    <w:rsid w:val="00F04232"/>
    <w:rsid w:val="00F126BA"/>
    <w:rsid w:val="00F12CFB"/>
    <w:rsid w:val="00F15FEF"/>
    <w:rsid w:val="00F20CEA"/>
    <w:rsid w:val="00F421F7"/>
    <w:rsid w:val="00F42AFF"/>
    <w:rsid w:val="00F43626"/>
    <w:rsid w:val="00F46FBD"/>
    <w:rsid w:val="00F47188"/>
    <w:rsid w:val="00F6010C"/>
    <w:rsid w:val="00F610E7"/>
    <w:rsid w:val="00F665A0"/>
    <w:rsid w:val="00F66FCE"/>
    <w:rsid w:val="00F80135"/>
    <w:rsid w:val="00F839CA"/>
    <w:rsid w:val="00F907F0"/>
    <w:rsid w:val="00F91532"/>
    <w:rsid w:val="00F91EA3"/>
    <w:rsid w:val="00F924A9"/>
    <w:rsid w:val="00FA2AFD"/>
    <w:rsid w:val="00FA2CDF"/>
    <w:rsid w:val="00FA531E"/>
    <w:rsid w:val="00FA6960"/>
    <w:rsid w:val="00FC0A29"/>
    <w:rsid w:val="00FC0E3C"/>
    <w:rsid w:val="00FD46BF"/>
    <w:rsid w:val="00FF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636B"/>
  <w15:docId w15:val="{01531982-95DA-489C-A196-8724AE0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A91"/>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EE6444"/>
    <w:pPr>
      <w:keepNext/>
      <w:keepLines/>
      <w:outlineLvl w:val="1"/>
    </w:pPr>
    <w:rPr>
      <w:rFonts w:asciiTheme="majorHAnsi" w:eastAsia="华文仿宋"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7A91"/>
    <w:rPr>
      <w:sz w:val="18"/>
      <w:szCs w:val="18"/>
    </w:rPr>
  </w:style>
  <w:style w:type="paragraph" w:styleId="a5">
    <w:name w:val="footer"/>
    <w:basedOn w:val="a"/>
    <w:link w:val="a6"/>
    <w:uiPriority w:val="99"/>
    <w:unhideWhenUsed/>
    <w:rsid w:val="006E7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7A91"/>
    <w:rPr>
      <w:sz w:val="18"/>
      <w:szCs w:val="18"/>
    </w:rPr>
  </w:style>
  <w:style w:type="paragraph" w:styleId="a7">
    <w:name w:val="Balloon Text"/>
    <w:basedOn w:val="a"/>
    <w:link w:val="a8"/>
    <w:uiPriority w:val="99"/>
    <w:semiHidden/>
    <w:unhideWhenUsed/>
    <w:rsid w:val="007A1698"/>
    <w:rPr>
      <w:sz w:val="18"/>
      <w:szCs w:val="18"/>
    </w:rPr>
  </w:style>
  <w:style w:type="character" w:customStyle="1" w:styleId="a8">
    <w:name w:val="批注框文本 字符"/>
    <w:basedOn w:val="a0"/>
    <w:link w:val="a7"/>
    <w:uiPriority w:val="99"/>
    <w:semiHidden/>
    <w:rsid w:val="007A1698"/>
    <w:rPr>
      <w:rFonts w:ascii="Times New Roman" w:eastAsia="宋体" w:hAnsi="Times New Roman" w:cs="Times New Roman"/>
      <w:sz w:val="18"/>
      <w:szCs w:val="18"/>
    </w:rPr>
  </w:style>
  <w:style w:type="character" w:styleId="a9">
    <w:name w:val="annotation reference"/>
    <w:basedOn w:val="a0"/>
    <w:uiPriority w:val="99"/>
    <w:semiHidden/>
    <w:unhideWhenUsed/>
    <w:rsid w:val="00B447E5"/>
    <w:rPr>
      <w:sz w:val="21"/>
      <w:szCs w:val="21"/>
    </w:rPr>
  </w:style>
  <w:style w:type="paragraph" w:styleId="aa">
    <w:name w:val="annotation text"/>
    <w:basedOn w:val="a"/>
    <w:link w:val="ab"/>
    <w:uiPriority w:val="99"/>
    <w:semiHidden/>
    <w:unhideWhenUsed/>
    <w:rsid w:val="00B447E5"/>
    <w:pPr>
      <w:jc w:val="left"/>
    </w:pPr>
  </w:style>
  <w:style w:type="character" w:customStyle="1" w:styleId="ab">
    <w:name w:val="批注文字 字符"/>
    <w:basedOn w:val="a0"/>
    <w:link w:val="aa"/>
    <w:uiPriority w:val="99"/>
    <w:semiHidden/>
    <w:rsid w:val="00B447E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B447E5"/>
    <w:rPr>
      <w:b/>
      <w:bCs/>
    </w:rPr>
  </w:style>
  <w:style w:type="character" w:customStyle="1" w:styleId="ad">
    <w:name w:val="批注主题 字符"/>
    <w:basedOn w:val="ab"/>
    <w:link w:val="ac"/>
    <w:uiPriority w:val="99"/>
    <w:semiHidden/>
    <w:rsid w:val="00B447E5"/>
    <w:rPr>
      <w:rFonts w:ascii="Times New Roman" w:eastAsia="宋体" w:hAnsi="Times New Roman" w:cs="Times New Roman"/>
      <w:b/>
      <w:bCs/>
      <w:szCs w:val="24"/>
    </w:rPr>
  </w:style>
  <w:style w:type="paragraph" w:styleId="ae">
    <w:name w:val="List Paragraph"/>
    <w:basedOn w:val="a"/>
    <w:uiPriority w:val="34"/>
    <w:qFormat/>
    <w:rsid w:val="00057078"/>
    <w:pPr>
      <w:ind w:firstLineChars="200" w:firstLine="420"/>
    </w:pPr>
  </w:style>
  <w:style w:type="paragraph" w:styleId="af">
    <w:name w:val="Normal (Web)"/>
    <w:basedOn w:val="a"/>
    <w:uiPriority w:val="99"/>
    <w:unhideWhenUsed/>
    <w:rsid w:val="00247851"/>
    <w:pPr>
      <w:widowControl/>
      <w:spacing w:before="100" w:beforeAutospacing="1" w:after="100" w:afterAutospacing="1"/>
      <w:jc w:val="left"/>
    </w:pPr>
    <w:rPr>
      <w:rFonts w:ascii="宋体" w:hAnsi="宋体" w:cs="宋体"/>
      <w:kern w:val="0"/>
      <w:sz w:val="24"/>
    </w:rPr>
  </w:style>
  <w:style w:type="character" w:styleId="af0">
    <w:name w:val="Strong"/>
    <w:basedOn w:val="a0"/>
    <w:uiPriority w:val="22"/>
    <w:qFormat/>
    <w:rsid w:val="003D5B2B"/>
    <w:rPr>
      <w:b/>
      <w:bCs/>
    </w:rPr>
  </w:style>
  <w:style w:type="character" w:customStyle="1" w:styleId="20">
    <w:name w:val="标题 2 字符"/>
    <w:basedOn w:val="a0"/>
    <w:link w:val="2"/>
    <w:uiPriority w:val="9"/>
    <w:rsid w:val="00EE6444"/>
    <w:rPr>
      <w:rFonts w:asciiTheme="majorHAnsi" w:eastAsia="华文仿宋" w:hAnsiTheme="majorHAnsi"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114">
      <w:bodyDiv w:val="1"/>
      <w:marLeft w:val="0"/>
      <w:marRight w:val="0"/>
      <w:marTop w:val="0"/>
      <w:marBottom w:val="0"/>
      <w:divBdr>
        <w:top w:val="none" w:sz="0" w:space="0" w:color="auto"/>
        <w:left w:val="none" w:sz="0" w:space="0" w:color="auto"/>
        <w:bottom w:val="none" w:sz="0" w:space="0" w:color="auto"/>
        <w:right w:val="none" w:sz="0" w:space="0" w:color="auto"/>
      </w:divBdr>
    </w:div>
    <w:div w:id="272132350">
      <w:bodyDiv w:val="1"/>
      <w:marLeft w:val="0"/>
      <w:marRight w:val="0"/>
      <w:marTop w:val="0"/>
      <w:marBottom w:val="0"/>
      <w:divBdr>
        <w:top w:val="none" w:sz="0" w:space="0" w:color="auto"/>
        <w:left w:val="none" w:sz="0" w:space="0" w:color="auto"/>
        <w:bottom w:val="none" w:sz="0" w:space="0" w:color="auto"/>
        <w:right w:val="none" w:sz="0" w:space="0" w:color="auto"/>
      </w:divBdr>
    </w:div>
    <w:div w:id="278147485">
      <w:bodyDiv w:val="1"/>
      <w:marLeft w:val="0"/>
      <w:marRight w:val="0"/>
      <w:marTop w:val="0"/>
      <w:marBottom w:val="0"/>
      <w:divBdr>
        <w:top w:val="none" w:sz="0" w:space="0" w:color="auto"/>
        <w:left w:val="none" w:sz="0" w:space="0" w:color="auto"/>
        <w:bottom w:val="none" w:sz="0" w:space="0" w:color="auto"/>
        <w:right w:val="none" w:sz="0" w:space="0" w:color="auto"/>
      </w:divBdr>
    </w:div>
    <w:div w:id="359430572">
      <w:bodyDiv w:val="1"/>
      <w:marLeft w:val="0"/>
      <w:marRight w:val="0"/>
      <w:marTop w:val="0"/>
      <w:marBottom w:val="0"/>
      <w:divBdr>
        <w:top w:val="none" w:sz="0" w:space="0" w:color="auto"/>
        <w:left w:val="none" w:sz="0" w:space="0" w:color="auto"/>
        <w:bottom w:val="none" w:sz="0" w:space="0" w:color="auto"/>
        <w:right w:val="none" w:sz="0" w:space="0" w:color="auto"/>
      </w:divBdr>
    </w:div>
    <w:div w:id="380835960">
      <w:bodyDiv w:val="1"/>
      <w:marLeft w:val="0"/>
      <w:marRight w:val="0"/>
      <w:marTop w:val="0"/>
      <w:marBottom w:val="0"/>
      <w:divBdr>
        <w:top w:val="none" w:sz="0" w:space="0" w:color="auto"/>
        <w:left w:val="none" w:sz="0" w:space="0" w:color="auto"/>
        <w:bottom w:val="none" w:sz="0" w:space="0" w:color="auto"/>
        <w:right w:val="none" w:sz="0" w:space="0" w:color="auto"/>
      </w:divBdr>
    </w:div>
    <w:div w:id="428430498">
      <w:bodyDiv w:val="1"/>
      <w:marLeft w:val="0"/>
      <w:marRight w:val="0"/>
      <w:marTop w:val="0"/>
      <w:marBottom w:val="0"/>
      <w:divBdr>
        <w:top w:val="none" w:sz="0" w:space="0" w:color="auto"/>
        <w:left w:val="none" w:sz="0" w:space="0" w:color="auto"/>
        <w:bottom w:val="none" w:sz="0" w:space="0" w:color="auto"/>
        <w:right w:val="none" w:sz="0" w:space="0" w:color="auto"/>
      </w:divBdr>
    </w:div>
    <w:div w:id="474374110">
      <w:bodyDiv w:val="1"/>
      <w:marLeft w:val="0"/>
      <w:marRight w:val="0"/>
      <w:marTop w:val="0"/>
      <w:marBottom w:val="0"/>
      <w:divBdr>
        <w:top w:val="none" w:sz="0" w:space="0" w:color="auto"/>
        <w:left w:val="none" w:sz="0" w:space="0" w:color="auto"/>
        <w:bottom w:val="none" w:sz="0" w:space="0" w:color="auto"/>
        <w:right w:val="none" w:sz="0" w:space="0" w:color="auto"/>
      </w:divBdr>
    </w:div>
    <w:div w:id="479884926">
      <w:bodyDiv w:val="1"/>
      <w:marLeft w:val="0"/>
      <w:marRight w:val="0"/>
      <w:marTop w:val="0"/>
      <w:marBottom w:val="0"/>
      <w:divBdr>
        <w:top w:val="none" w:sz="0" w:space="0" w:color="auto"/>
        <w:left w:val="none" w:sz="0" w:space="0" w:color="auto"/>
        <w:bottom w:val="none" w:sz="0" w:space="0" w:color="auto"/>
        <w:right w:val="none" w:sz="0" w:space="0" w:color="auto"/>
      </w:divBdr>
    </w:div>
    <w:div w:id="483938135">
      <w:bodyDiv w:val="1"/>
      <w:marLeft w:val="0"/>
      <w:marRight w:val="0"/>
      <w:marTop w:val="0"/>
      <w:marBottom w:val="0"/>
      <w:divBdr>
        <w:top w:val="none" w:sz="0" w:space="0" w:color="auto"/>
        <w:left w:val="none" w:sz="0" w:space="0" w:color="auto"/>
        <w:bottom w:val="none" w:sz="0" w:space="0" w:color="auto"/>
        <w:right w:val="none" w:sz="0" w:space="0" w:color="auto"/>
      </w:divBdr>
    </w:div>
    <w:div w:id="568662261">
      <w:bodyDiv w:val="1"/>
      <w:marLeft w:val="0"/>
      <w:marRight w:val="0"/>
      <w:marTop w:val="0"/>
      <w:marBottom w:val="0"/>
      <w:divBdr>
        <w:top w:val="none" w:sz="0" w:space="0" w:color="auto"/>
        <w:left w:val="none" w:sz="0" w:space="0" w:color="auto"/>
        <w:bottom w:val="none" w:sz="0" w:space="0" w:color="auto"/>
        <w:right w:val="none" w:sz="0" w:space="0" w:color="auto"/>
      </w:divBdr>
    </w:div>
    <w:div w:id="583497689">
      <w:bodyDiv w:val="1"/>
      <w:marLeft w:val="0"/>
      <w:marRight w:val="0"/>
      <w:marTop w:val="0"/>
      <w:marBottom w:val="0"/>
      <w:divBdr>
        <w:top w:val="none" w:sz="0" w:space="0" w:color="auto"/>
        <w:left w:val="none" w:sz="0" w:space="0" w:color="auto"/>
        <w:bottom w:val="none" w:sz="0" w:space="0" w:color="auto"/>
        <w:right w:val="none" w:sz="0" w:space="0" w:color="auto"/>
      </w:divBdr>
    </w:div>
    <w:div w:id="621769467">
      <w:bodyDiv w:val="1"/>
      <w:marLeft w:val="0"/>
      <w:marRight w:val="0"/>
      <w:marTop w:val="0"/>
      <w:marBottom w:val="0"/>
      <w:divBdr>
        <w:top w:val="none" w:sz="0" w:space="0" w:color="auto"/>
        <w:left w:val="none" w:sz="0" w:space="0" w:color="auto"/>
        <w:bottom w:val="none" w:sz="0" w:space="0" w:color="auto"/>
        <w:right w:val="none" w:sz="0" w:space="0" w:color="auto"/>
      </w:divBdr>
    </w:div>
    <w:div w:id="640310886">
      <w:bodyDiv w:val="1"/>
      <w:marLeft w:val="0"/>
      <w:marRight w:val="0"/>
      <w:marTop w:val="0"/>
      <w:marBottom w:val="0"/>
      <w:divBdr>
        <w:top w:val="none" w:sz="0" w:space="0" w:color="auto"/>
        <w:left w:val="none" w:sz="0" w:space="0" w:color="auto"/>
        <w:bottom w:val="none" w:sz="0" w:space="0" w:color="auto"/>
        <w:right w:val="none" w:sz="0" w:space="0" w:color="auto"/>
      </w:divBdr>
    </w:div>
    <w:div w:id="643127212">
      <w:bodyDiv w:val="1"/>
      <w:marLeft w:val="0"/>
      <w:marRight w:val="0"/>
      <w:marTop w:val="0"/>
      <w:marBottom w:val="0"/>
      <w:divBdr>
        <w:top w:val="none" w:sz="0" w:space="0" w:color="auto"/>
        <w:left w:val="none" w:sz="0" w:space="0" w:color="auto"/>
        <w:bottom w:val="none" w:sz="0" w:space="0" w:color="auto"/>
        <w:right w:val="none" w:sz="0" w:space="0" w:color="auto"/>
      </w:divBdr>
    </w:div>
    <w:div w:id="755245027">
      <w:bodyDiv w:val="1"/>
      <w:marLeft w:val="0"/>
      <w:marRight w:val="0"/>
      <w:marTop w:val="0"/>
      <w:marBottom w:val="0"/>
      <w:divBdr>
        <w:top w:val="none" w:sz="0" w:space="0" w:color="auto"/>
        <w:left w:val="none" w:sz="0" w:space="0" w:color="auto"/>
        <w:bottom w:val="none" w:sz="0" w:space="0" w:color="auto"/>
        <w:right w:val="none" w:sz="0" w:space="0" w:color="auto"/>
      </w:divBdr>
    </w:div>
    <w:div w:id="763038909">
      <w:bodyDiv w:val="1"/>
      <w:marLeft w:val="0"/>
      <w:marRight w:val="0"/>
      <w:marTop w:val="0"/>
      <w:marBottom w:val="0"/>
      <w:divBdr>
        <w:top w:val="none" w:sz="0" w:space="0" w:color="auto"/>
        <w:left w:val="none" w:sz="0" w:space="0" w:color="auto"/>
        <w:bottom w:val="none" w:sz="0" w:space="0" w:color="auto"/>
        <w:right w:val="none" w:sz="0" w:space="0" w:color="auto"/>
      </w:divBdr>
    </w:div>
    <w:div w:id="884758580">
      <w:bodyDiv w:val="1"/>
      <w:marLeft w:val="0"/>
      <w:marRight w:val="0"/>
      <w:marTop w:val="0"/>
      <w:marBottom w:val="0"/>
      <w:divBdr>
        <w:top w:val="none" w:sz="0" w:space="0" w:color="auto"/>
        <w:left w:val="none" w:sz="0" w:space="0" w:color="auto"/>
        <w:bottom w:val="none" w:sz="0" w:space="0" w:color="auto"/>
        <w:right w:val="none" w:sz="0" w:space="0" w:color="auto"/>
      </w:divBdr>
    </w:div>
    <w:div w:id="923343002">
      <w:bodyDiv w:val="1"/>
      <w:marLeft w:val="0"/>
      <w:marRight w:val="0"/>
      <w:marTop w:val="0"/>
      <w:marBottom w:val="0"/>
      <w:divBdr>
        <w:top w:val="none" w:sz="0" w:space="0" w:color="auto"/>
        <w:left w:val="none" w:sz="0" w:space="0" w:color="auto"/>
        <w:bottom w:val="none" w:sz="0" w:space="0" w:color="auto"/>
        <w:right w:val="none" w:sz="0" w:space="0" w:color="auto"/>
      </w:divBdr>
    </w:div>
    <w:div w:id="938607679">
      <w:bodyDiv w:val="1"/>
      <w:marLeft w:val="0"/>
      <w:marRight w:val="0"/>
      <w:marTop w:val="0"/>
      <w:marBottom w:val="0"/>
      <w:divBdr>
        <w:top w:val="none" w:sz="0" w:space="0" w:color="auto"/>
        <w:left w:val="none" w:sz="0" w:space="0" w:color="auto"/>
        <w:bottom w:val="none" w:sz="0" w:space="0" w:color="auto"/>
        <w:right w:val="none" w:sz="0" w:space="0" w:color="auto"/>
      </w:divBdr>
    </w:div>
    <w:div w:id="1022436807">
      <w:bodyDiv w:val="1"/>
      <w:marLeft w:val="0"/>
      <w:marRight w:val="0"/>
      <w:marTop w:val="0"/>
      <w:marBottom w:val="0"/>
      <w:divBdr>
        <w:top w:val="none" w:sz="0" w:space="0" w:color="auto"/>
        <w:left w:val="none" w:sz="0" w:space="0" w:color="auto"/>
        <w:bottom w:val="none" w:sz="0" w:space="0" w:color="auto"/>
        <w:right w:val="none" w:sz="0" w:space="0" w:color="auto"/>
      </w:divBdr>
    </w:div>
    <w:div w:id="1133060732">
      <w:bodyDiv w:val="1"/>
      <w:marLeft w:val="0"/>
      <w:marRight w:val="0"/>
      <w:marTop w:val="0"/>
      <w:marBottom w:val="0"/>
      <w:divBdr>
        <w:top w:val="none" w:sz="0" w:space="0" w:color="auto"/>
        <w:left w:val="none" w:sz="0" w:space="0" w:color="auto"/>
        <w:bottom w:val="none" w:sz="0" w:space="0" w:color="auto"/>
        <w:right w:val="none" w:sz="0" w:space="0" w:color="auto"/>
      </w:divBdr>
    </w:div>
    <w:div w:id="1186292476">
      <w:bodyDiv w:val="1"/>
      <w:marLeft w:val="0"/>
      <w:marRight w:val="0"/>
      <w:marTop w:val="0"/>
      <w:marBottom w:val="0"/>
      <w:divBdr>
        <w:top w:val="none" w:sz="0" w:space="0" w:color="auto"/>
        <w:left w:val="none" w:sz="0" w:space="0" w:color="auto"/>
        <w:bottom w:val="none" w:sz="0" w:space="0" w:color="auto"/>
        <w:right w:val="none" w:sz="0" w:space="0" w:color="auto"/>
      </w:divBdr>
    </w:div>
    <w:div w:id="1552109450">
      <w:bodyDiv w:val="1"/>
      <w:marLeft w:val="0"/>
      <w:marRight w:val="0"/>
      <w:marTop w:val="0"/>
      <w:marBottom w:val="0"/>
      <w:divBdr>
        <w:top w:val="none" w:sz="0" w:space="0" w:color="auto"/>
        <w:left w:val="none" w:sz="0" w:space="0" w:color="auto"/>
        <w:bottom w:val="none" w:sz="0" w:space="0" w:color="auto"/>
        <w:right w:val="none" w:sz="0" w:space="0" w:color="auto"/>
      </w:divBdr>
    </w:div>
    <w:div w:id="1627657597">
      <w:bodyDiv w:val="1"/>
      <w:marLeft w:val="0"/>
      <w:marRight w:val="0"/>
      <w:marTop w:val="0"/>
      <w:marBottom w:val="0"/>
      <w:divBdr>
        <w:top w:val="none" w:sz="0" w:space="0" w:color="auto"/>
        <w:left w:val="none" w:sz="0" w:space="0" w:color="auto"/>
        <w:bottom w:val="none" w:sz="0" w:space="0" w:color="auto"/>
        <w:right w:val="none" w:sz="0" w:space="0" w:color="auto"/>
      </w:divBdr>
    </w:div>
    <w:div w:id="1697582954">
      <w:bodyDiv w:val="1"/>
      <w:marLeft w:val="0"/>
      <w:marRight w:val="0"/>
      <w:marTop w:val="0"/>
      <w:marBottom w:val="0"/>
      <w:divBdr>
        <w:top w:val="none" w:sz="0" w:space="0" w:color="auto"/>
        <w:left w:val="none" w:sz="0" w:space="0" w:color="auto"/>
        <w:bottom w:val="none" w:sz="0" w:space="0" w:color="auto"/>
        <w:right w:val="none" w:sz="0" w:space="0" w:color="auto"/>
      </w:divBdr>
    </w:div>
    <w:div w:id="1765615887">
      <w:bodyDiv w:val="1"/>
      <w:marLeft w:val="0"/>
      <w:marRight w:val="0"/>
      <w:marTop w:val="0"/>
      <w:marBottom w:val="0"/>
      <w:divBdr>
        <w:top w:val="none" w:sz="0" w:space="0" w:color="auto"/>
        <w:left w:val="none" w:sz="0" w:space="0" w:color="auto"/>
        <w:bottom w:val="none" w:sz="0" w:space="0" w:color="auto"/>
        <w:right w:val="none" w:sz="0" w:space="0" w:color="auto"/>
      </w:divBdr>
    </w:div>
    <w:div w:id="1835485826">
      <w:bodyDiv w:val="1"/>
      <w:marLeft w:val="0"/>
      <w:marRight w:val="0"/>
      <w:marTop w:val="0"/>
      <w:marBottom w:val="0"/>
      <w:divBdr>
        <w:top w:val="none" w:sz="0" w:space="0" w:color="auto"/>
        <w:left w:val="none" w:sz="0" w:space="0" w:color="auto"/>
        <w:bottom w:val="none" w:sz="0" w:space="0" w:color="auto"/>
        <w:right w:val="none" w:sz="0" w:space="0" w:color="auto"/>
      </w:divBdr>
    </w:div>
    <w:div w:id="2004501220">
      <w:bodyDiv w:val="1"/>
      <w:marLeft w:val="0"/>
      <w:marRight w:val="0"/>
      <w:marTop w:val="0"/>
      <w:marBottom w:val="0"/>
      <w:divBdr>
        <w:top w:val="none" w:sz="0" w:space="0" w:color="auto"/>
        <w:left w:val="none" w:sz="0" w:space="0" w:color="auto"/>
        <w:bottom w:val="none" w:sz="0" w:space="0" w:color="auto"/>
        <w:right w:val="none" w:sz="0" w:space="0" w:color="auto"/>
      </w:divBdr>
    </w:div>
    <w:div w:id="2058509098">
      <w:bodyDiv w:val="1"/>
      <w:marLeft w:val="0"/>
      <w:marRight w:val="0"/>
      <w:marTop w:val="0"/>
      <w:marBottom w:val="0"/>
      <w:divBdr>
        <w:top w:val="none" w:sz="0" w:space="0" w:color="auto"/>
        <w:left w:val="none" w:sz="0" w:space="0" w:color="auto"/>
        <w:bottom w:val="none" w:sz="0" w:space="0" w:color="auto"/>
        <w:right w:val="none" w:sz="0" w:space="0" w:color="auto"/>
      </w:divBdr>
    </w:div>
    <w:div w:id="206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988D-8532-483B-ACC9-66ECD983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345</Words>
  <Characters>1971</Characters>
  <Application>Microsoft Office Word</Application>
  <DocSecurity>0</DocSecurity>
  <Lines>16</Lines>
  <Paragraphs>4</Paragraphs>
  <ScaleCrop>false</ScaleCrop>
  <Company>zzz</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dc:creator>
  <cp:keywords/>
  <dc:description/>
  <cp:lastModifiedBy>宋丹伦(Danlun Song)</cp:lastModifiedBy>
  <cp:revision>2</cp:revision>
  <dcterms:created xsi:type="dcterms:W3CDTF">2020-11-03T14:13:00Z</dcterms:created>
  <dcterms:modified xsi:type="dcterms:W3CDTF">2020-11-03T14:13:00Z</dcterms:modified>
</cp:coreProperties>
</file>