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64DFB" w14:textId="1A0334A5" w:rsidR="00107DB3" w:rsidRPr="00FE3214" w:rsidRDefault="00107DB3" w:rsidP="00FE3214">
      <w:pPr>
        <w:spacing w:after="0" w:line="360" w:lineRule="auto"/>
      </w:pPr>
      <w:bookmarkStart w:id="0" w:name="_GoBack"/>
      <w:bookmarkEnd w:id="0"/>
      <w:r w:rsidRPr="00825AC4">
        <w:rPr>
          <w:rFonts w:hint="eastAsia"/>
        </w:rPr>
        <w:t>证券代码：</w:t>
      </w:r>
      <w:r w:rsidRPr="00763660">
        <w:rPr>
          <w:rFonts w:ascii="Times New Roman" w:hAnsi="Times New Roman"/>
        </w:rPr>
        <w:t>300613</w:t>
      </w:r>
      <w:r w:rsidRPr="00825AC4">
        <w:t xml:space="preserve">                                            </w:t>
      </w:r>
      <w:r w:rsidR="00F96D48">
        <w:rPr>
          <w:rFonts w:hint="eastAsia"/>
        </w:rPr>
        <w:t xml:space="preserve"> </w:t>
      </w:r>
      <w:r w:rsidRPr="00825AC4">
        <w:rPr>
          <w:rFonts w:hint="eastAsia"/>
        </w:rPr>
        <w:t>证券简称：</w:t>
      </w:r>
      <w:r>
        <w:rPr>
          <w:rFonts w:hint="eastAsia"/>
        </w:rPr>
        <w:t>富瀚微</w:t>
      </w:r>
    </w:p>
    <w:p w14:paraId="4B8A4CF5" w14:textId="77777777" w:rsidR="00107DB3" w:rsidRDefault="00107DB3" w:rsidP="00FE3214">
      <w:pPr>
        <w:spacing w:after="0" w:line="360" w:lineRule="auto"/>
        <w:ind w:firstLineChars="300" w:firstLine="840"/>
        <w:rPr>
          <w:rFonts w:ascii="宋体" w:cs="宋体"/>
          <w:noProof/>
          <w:spacing w:val="-2"/>
          <w:w w:val="98"/>
          <w:sz w:val="28"/>
        </w:rPr>
      </w:pPr>
      <w:r w:rsidRPr="00825AC4">
        <w:rPr>
          <w:rFonts w:ascii="宋体" w:hAnsi="宋体" w:cs="宋体" w:hint="eastAsia"/>
          <w:noProof/>
          <w:sz w:val="28"/>
        </w:rPr>
        <w:t>上海</w:t>
      </w:r>
      <w:r>
        <w:rPr>
          <w:rFonts w:ascii="宋体" w:hAnsi="宋体" w:cs="宋体" w:hint="eastAsia"/>
          <w:noProof/>
          <w:sz w:val="28"/>
        </w:rPr>
        <w:t>富瀚微电子</w:t>
      </w:r>
      <w:r w:rsidRPr="00825AC4">
        <w:rPr>
          <w:rFonts w:ascii="宋体" w:hAnsi="宋体" w:cs="宋体" w:hint="eastAsia"/>
          <w:noProof/>
          <w:sz w:val="28"/>
        </w:rPr>
        <w:t>股份有限公司</w:t>
      </w:r>
      <w:r w:rsidRPr="00825AC4">
        <w:rPr>
          <w:rFonts w:ascii="宋体" w:hAnsi="宋体" w:cs="宋体" w:hint="eastAsia"/>
          <w:noProof/>
          <w:spacing w:val="-1"/>
          <w:w w:val="98"/>
          <w:sz w:val="28"/>
        </w:rPr>
        <w:t>投资者关系活动记</w:t>
      </w:r>
      <w:r w:rsidRPr="00825AC4">
        <w:rPr>
          <w:rFonts w:ascii="宋体" w:hAnsi="宋体" w:cs="宋体" w:hint="eastAsia"/>
          <w:noProof/>
          <w:spacing w:val="-2"/>
          <w:w w:val="98"/>
          <w:sz w:val="28"/>
        </w:rPr>
        <w:t>录表</w:t>
      </w:r>
    </w:p>
    <w:p w14:paraId="13B72461" w14:textId="60DEE9C5" w:rsidR="00107DB3" w:rsidRPr="00763660" w:rsidRDefault="00A9211C" w:rsidP="00FE3214">
      <w:pPr>
        <w:spacing w:after="0" w:line="360" w:lineRule="auto"/>
        <w:ind w:firstLineChars="300" w:firstLine="603"/>
        <w:jc w:val="right"/>
        <w:rPr>
          <w:rFonts w:ascii="Times New Roman" w:hAnsi="Times New Roman"/>
          <w:noProof/>
          <w:szCs w:val="21"/>
        </w:rPr>
      </w:pPr>
      <w:r>
        <w:rPr>
          <w:rFonts w:ascii="宋体" w:hAnsi="宋体" w:cs="宋体" w:hint="eastAsia"/>
          <w:noProof/>
          <w:spacing w:val="-2"/>
          <w:w w:val="98"/>
          <w:szCs w:val="21"/>
        </w:rPr>
        <w:t xml:space="preserve">  </w:t>
      </w:r>
      <w:r w:rsidR="00107DB3" w:rsidRPr="00FE3214">
        <w:rPr>
          <w:rFonts w:ascii="宋体" w:hAnsi="宋体" w:cs="宋体" w:hint="eastAsia"/>
          <w:noProof/>
          <w:spacing w:val="-2"/>
          <w:w w:val="98"/>
          <w:szCs w:val="21"/>
        </w:rPr>
        <w:t>编号：</w:t>
      </w:r>
      <w:r w:rsidR="00107DB3">
        <w:rPr>
          <w:rFonts w:ascii="Times New Roman" w:hAnsi="Times New Roman"/>
          <w:noProof/>
          <w:spacing w:val="-2"/>
          <w:w w:val="98"/>
          <w:szCs w:val="21"/>
        </w:rPr>
        <w:t>20</w:t>
      </w:r>
      <w:r w:rsidR="00A032C3">
        <w:rPr>
          <w:rFonts w:ascii="Times New Roman" w:hAnsi="Times New Roman" w:hint="eastAsia"/>
          <w:noProof/>
          <w:spacing w:val="-2"/>
          <w:w w:val="98"/>
          <w:szCs w:val="21"/>
        </w:rPr>
        <w:t>20</w:t>
      </w:r>
      <w:r w:rsidR="00107DB3" w:rsidRPr="00763660">
        <w:rPr>
          <w:rFonts w:ascii="Times New Roman" w:hAnsi="Times New Roman"/>
          <w:noProof/>
          <w:spacing w:val="-2"/>
          <w:w w:val="98"/>
          <w:szCs w:val="21"/>
        </w:rPr>
        <w:t>-00</w:t>
      </w:r>
      <w:r w:rsidR="00704C5D">
        <w:rPr>
          <w:rFonts w:ascii="Times New Roman" w:hAnsi="Times New Roman" w:hint="eastAsia"/>
          <w:noProof/>
          <w:spacing w:val="-2"/>
          <w:w w:val="98"/>
          <w:szCs w:val="21"/>
        </w:rPr>
        <w:t>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71"/>
      </w:tblGrid>
      <w:tr w:rsidR="00107DB3" w:rsidRPr="00974890" w14:paraId="66C37504" w14:textId="77777777" w:rsidTr="00A9211C">
        <w:tc>
          <w:tcPr>
            <w:tcW w:w="1951" w:type="dxa"/>
          </w:tcPr>
          <w:p w14:paraId="73FB5AC0" w14:textId="77777777"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0CD57CD3" w14:textId="77777777"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7371" w:type="dxa"/>
          </w:tcPr>
          <w:p w14:paraId="752274E7" w14:textId="77777777" w:rsidR="00107DB3" w:rsidRPr="00974890" w:rsidRDefault="00107DB3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Wingdings" w:cs="宋体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" w:char="F0FE"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□分析师会议</w:t>
            </w:r>
          </w:p>
          <w:p w14:paraId="45EBC258" w14:textId="77777777" w:rsidR="00107DB3" w:rsidRPr="00974890" w:rsidRDefault="00107DB3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14:paraId="008B90B3" w14:textId="40B14231" w:rsidR="00107DB3" w:rsidRPr="00974890" w:rsidRDefault="00107DB3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="00CA266B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</w:t>
            </w:r>
            <w:r w:rsidR="00CA266B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□路演活动</w:t>
            </w:r>
          </w:p>
          <w:p w14:paraId="3D6F0299" w14:textId="3A111AC1" w:rsidR="00107DB3" w:rsidRPr="00CA266B" w:rsidRDefault="00107DB3" w:rsidP="00CA266B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974890"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  <w:tab/>
            </w:r>
            <w:r w:rsidR="00CA266B"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□其他</w:t>
            </w:r>
          </w:p>
        </w:tc>
      </w:tr>
      <w:tr w:rsidR="00107DB3" w:rsidRPr="00974890" w14:paraId="4225FBE7" w14:textId="77777777" w:rsidTr="00A9211C">
        <w:trPr>
          <w:trHeight w:val="2192"/>
        </w:trPr>
        <w:tc>
          <w:tcPr>
            <w:tcW w:w="1951" w:type="dxa"/>
          </w:tcPr>
          <w:p w14:paraId="736CF557" w14:textId="77777777"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371" w:type="dxa"/>
          </w:tcPr>
          <w:p w14:paraId="0401E955" w14:textId="77777777" w:rsidR="001439E6" w:rsidRPr="001439E6" w:rsidRDefault="001439E6" w:rsidP="001439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439E6">
              <w:rPr>
                <w:rFonts w:ascii="Times New Roman" w:hAnsi="Times New Roman" w:hint="eastAsia"/>
                <w:sz w:val="24"/>
              </w:rPr>
              <w:t>国元证券</w:t>
            </w:r>
            <w:proofErr w:type="gramEnd"/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r w:rsidRPr="001439E6">
              <w:rPr>
                <w:rFonts w:ascii="Times New Roman" w:hAnsi="Times New Roman" w:hint="eastAsia"/>
                <w:sz w:val="24"/>
              </w:rPr>
              <w:t>贺茂飞</w:t>
            </w:r>
            <w:r w:rsidRPr="001439E6">
              <w:rPr>
                <w:rFonts w:ascii="Times New Roman" w:hAnsi="Times New Roman" w:hint="eastAsia"/>
                <w:sz w:val="24"/>
              </w:rPr>
              <w:t>   </w:t>
            </w:r>
            <w:r w:rsidRPr="001439E6">
              <w:rPr>
                <w:rFonts w:ascii="Times New Roman" w:hAnsi="Times New Roman" w:hint="eastAsia"/>
                <w:sz w:val="24"/>
              </w:rPr>
              <w:t>西部证券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r w:rsidRPr="001439E6">
              <w:rPr>
                <w:rFonts w:ascii="Times New Roman" w:hAnsi="Times New Roman" w:hint="eastAsia"/>
                <w:sz w:val="24"/>
              </w:rPr>
              <w:t>兰飞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    </w:t>
            </w:r>
            <w:r w:rsidRPr="001439E6">
              <w:rPr>
                <w:rFonts w:ascii="Times New Roman" w:hAnsi="Times New Roman" w:hint="eastAsia"/>
                <w:sz w:val="24"/>
              </w:rPr>
              <w:t>西南证券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r w:rsidRPr="001439E6">
              <w:rPr>
                <w:rFonts w:ascii="Times New Roman" w:hAnsi="Times New Roman" w:hint="eastAsia"/>
                <w:sz w:val="24"/>
              </w:rPr>
              <w:t>卢博骅</w:t>
            </w:r>
            <w:r w:rsidRPr="001439E6">
              <w:rPr>
                <w:rFonts w:ascii="Times New Roman" w:hAnsi="Times New Roman" w:hint="eastAsia"/>
                <w:sz w:val="24"/>
              </w:rPr>
              <w:t> </w:t>
            </w:r>
          </w:p>
          <w:p w14:paraId="586104B8" w14:textId="77777777" w:rsidR="001439E6" w:rsidRPr="001439E6" w:rsidRDefault="001439E6" w:rsidP="001439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439E6">
              <w:rPr>
                <w:rFonts w:ascii="Times New Roman" w:hAnsi="Times New Roman" w:hint="eastAsia"/>
                <w:sz w:val="24"/>
              </w:rPr>
              <w:t>光大证券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r w:rsidRPr="001439E6">
              <w:rPr>
                <w:rFonts w:ascii="Times New Roman" w:hAnsi="Times New Roman" w:hint="eastAsia"/>
                <w:sz w:val="24"/>
              </w:rPr>
              <w:t>栾玉民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r w:rsidRPr="001439E6">
              <w:rPr>
                <w:rFonts w:ascii="Times New Roman" w:hAnsi="Times New Roman" w:hint="eastAsia"/>
                <w:sz w:val="24"/>
              </w:rPr>
              <w:t>广发证券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r w:rsidRPr="001439E6">
              <w:rPr>
                <w:rFonts w:ascii="Times New Roman" w:hAnsi="Times New Roman" w:hint="eastAsia"/>
                <w:sz w:val="24"/>
              </w:rPr>
              <w:t>王昭光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     </w:t>
            </w:r>
            <w:r w:rsidRPr="001439E6">
              <w:rPr>
                <w:rFonts w:ascii="Times New Roman" w:hAnsi="Times New Roman" w:hint="eastAsia"/>
                <w:sz w:val="24"/>
              </w:rPr>
              <w:t>德邦证券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proofErr w:type="gramStart"/>
            <w:r w:rsidRPr="001439E6">
              <w:rPr>
                <w:rFonts w:ascii="Times New Roman" w:hAnsi="Times New Roman" w:hint="eastAsia"/>
                <w:sz w:val="24"/>
              </w:rPr>
              <w:t>程如莹</w:t>
            </w:r>
            <w:proofErr w:type="gramEnd"/>
          </w:p>
          <w:p w14:paraId="1CFEF271" w14:textId="77777777" w:rsidR="001439E6" w:rsidRPr="001439E6" w:rsidRDefault="001439E6" w:rsidP="001439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439E6">
              <w:rPr>
                <w:rFonts w:ascii="Times New Roman" w:hAnsi="Times New Roman" w:hint="eastAsia"/>
                <w:sz w:val="24"/>
              </w:rPr>
              <w:t>野村证券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r w:rsidRPr="001439E6">
              <w:rPr>
                <w:rFonts w:ascii="Times New Roman" w:hAnsi="Times New Roman" w:hint="eastAsia"/>
                <w:sz w:val="24"/>
              </w:rPr>
              <w:t>胡靖敏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  </w:t>
            </w:r>
            <w:r w:rsidRPr="001439E6">
              <w:rPr>
                <w:rFonts w:ascii="Times New Roman" w:hAnsi="Times New Roman" w:hint="eastAsia"/>
                <w:sz w:val="24"/>
              </w:rPr>
              <w:t>国盛证券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r w:rsidRPr="001439E6">
              <w:rPr>
                <w:rFonts w:ascii="Times New Roman" w:hAnsi="Times New Roman" w:hint="eastAsia"/>
                <w:sz w:val="24"/>
              </w:rPr>
              <w:t>陈永亮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   </w:t>
            </w:r>
            <w:proofErr w:type="gramStart"/>
            <w:r w:rsidRPr="001439E6">
              <w:rPr>
                <w:rFonts w:ascii="Times New Roman" w:hAnsi="Times New Roman" w:hint="eastAsia"/>
                <w:sz w:val="24"/>
              </w:rPr>
              <w:t>凯基证券</w:t>
            </w:r>
            <w:proofErr w:type="gramEnd"/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r w:rsidRPr="001439E6">
              <w:rPr>
                <w:rFonts w:ascii="Times New Roman" w:hAnsi="Times New Roman" w:hint="eastAsia"/>
                <w:sz w:val="24"/>
              </w:rPr>
              <w:t>魏宏达</w:t>
            </w:r>
          </w:p>
          <w:p w14:paraId="7BA7AC98" w14:textId="77777777" w:rsidR="001439E6" w:rsidRPr="001439E6" w:rsidRDefault="001439E6" w:rsidP="001439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439E6">
              <w:rPr>
                <w:rFonts w:ascii="Times New Roman" w:hAnsi="Times New Roman" w:hint="eastAsia"/>
                <w:sz w:val="24"/>
              </w:rPr>
              <w:t>光大证券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r w:rsidRPr="001439E6">
              <w:rPr>
                <w:rFonts w:ascii="Times New Roman" w:hAnsi="Times New Roman" w:hint="eastAsia"/>
                <w:sz w:val="24"/>
              </w:rPr>
              <w:t>刘凯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  </w:t>
            </w:r>
            <w:r w:rsidRPr="001439E6">
              <w:rPr>
                <w:rFonts w:ascii="Times New Roman" w:hAnsi="Times New Roman" w:hint="eastAsia"/>
                <w:sz w:val="24"/>
              </w:rPr>
              <w:t>西南证券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r w:rsidRPr="001439E6">
              <w:rPr>
                <w:rFonts w:ascii="Times New Roman" w:hAnsi="Times New Roman" w:hint="eastAsia"/>
                <w:sz w:val="24"/>
              </w:rPr>
              <w:t>徐</w:t>
            </w:r>
            <w:proofErr w:type="gramStart"/>
            <w:r w:rsidRPr="001439E6">
              <w:rPr>
                <w:rFonts w:ascii="Times New Roman" w:hAnsi="Times New Roman" w:hint="eastAsia"/>
                <w:sz w:val="24"/>
              </w:rPr>
              <w:t>一</w:t>
            </w:r>
            <w:proofErr w:type="gramEnd"/>
            <w:r w:rsidRPr="001439E6">
              <w:rPr>
                <w:rFonts w:ascii="Times New Roman" w:hAnsi="Times New Roman" w:hint="eastAsia"/>
                <w:sz w:val="24"/>
              </w:rPr>
              <w:t>丹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   </w:t>
            </w:r>
            <w:r w:rsidRPr="001439E6">
              <w:rPr>
                <w:rFonts w:ascii="Times New Roman" w:hAnsi="Times New Roman" w:hint="eastAsia"/>
                <w:sz w:val="24"/>
              </w:rPr>
              <w:t>国寿安保基金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  </w:t>
            </w:r>
            <w:r w:rsidRPr="001439E6">
              <w:rPr>
                <w:rFonts w:ascii="Times New Roman" w:hAnsi="Times New Roman" w:hint="eastAsia"/>
                <w:sz w:val="24"/>
              </w:rPr>
              <w:t>刘兵</w:t>
            </w:r>
          </w:p>
          <w:p w14:paraId="6A95315C" w14:textId="77777777" w:rsidR="001439E6" w:rsidRPr="001439E6" w:rsidRDefault="001439E6" w:rsidP="001439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439E6">
              <w:rPr>
                <w:rFonts w:ascii="Times New Roman" w:hAnsi="Times New Roman" w:hint="eastAsia"/>
                <w:sz w:val="24"/>
              </w:rPr>
              <w:t>涌贝资产</w:t>
            </w:r>
            <w:proofErr w:type="gramEnd"/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r w:rsidRPr="001439E6">
              <w:rPr>
                <w:rFonts w:ascii="Times New Roman" w:hAnsi="Times New Roman" w:hint="eastAsia"/>
                <w:sz w:val="24"/>
              </w:rPr>
              <w:t>谭涛</w:t>
            </w:r>
            <w:r w:rsidRPr="001439E6">
              <w:rPr>
                <w:rFonts w:ascii="Times New Roman" w:hAnsi="Times New Roman" w:hint="eastAsia"/>
                <w:sz w:val="24"/>
              </w:rPr>
              <w:t> </w:t>
            </w:r>
            <w:proofErr w:type="gramStart"/>
            <w:r w:rsidRPr="001439E6">
              <w:rPr>
                <w:rFonts w:ascii="Times New Roman" w:hAnsi="Times New Roman" w:hint="eastAsia"/>
                <w:sz w:val="24"/>
              </w:rPr>
              <w:t>彤</w:t>
            </w:r>
            <w:proofErr w:type="gramEnd"/>
            <w:r w:rsidRPr="001439E6">
              <w:rPr>
                <w:rFonts w:ascii="Times New Roman" w:hAnsi="Times New Roman" w:hint="eastAsia"/>
                <w:sz w:val="24"/>
              </w:rPr>
              <w:t>源投资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r w:rsidRPr="001439E6">
              <w:rPr>
                <w:rFonts w:ascii="Times New Roman" w:hAnsi="Times New Roman" w:hint="eastAsia"/>
                <w:sz w:val="24"/>
              </w:rPr>
              <w:t>陆凤鸣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proofErr w:type="gramStart"/>
            <w:r w:rsidRPr="001439E6">
              <w:rPr>
                <w:rFonts w:ascii="Times New Roman" w:hAnsi="Times New Roman" w:hint="eastAsia"/>
                <w:sz w:val="24"/>
              </w:rPr>
              <w:t>兴证全球</w:t>
            </w:r>
            <w:proofErr w:type="gramEnd"/>
            <w:r w:rsidRPr="001439E6">
              <w:rPr>
                <w:rFonts w:ascii="Times New Roman" w:hAnsi="Times New Roman" w:hint="eastAsia"/>
                <w:sz w:val="24"/>
              </w:rPr>
              <w:t>基金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  </w:t>
            </w:r>
            <w:r w:rsidRPr="001439E6">
              <w:rPr>
                <w:rFonts w:ascii="Times New Roman" w:hAnsi="Times New Roman" w:hint="eastAsia"/>
                <w:sz w:val="24"/>
              </w:rPr>
              <w:t>陈鸿志</w:t>
            </w:r>
          </w:p>
          <w:p w14:paraId="78939738" w14:textId="77777777" w:rsidR="001439E6" w:rsidRPr="001439E6" w:rsidRDefault="001439E6" w:rsidP="001439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439E6">
              <w:rPr>
                <w:rFonts w:ascii="Times New Roman" w:hAnsi="Times New Roman" w:hint="eastAsia"/>
                <w:sz w:val="24"/>
              </w:rPr>
              <w:t>德邦基金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r w:rsidRPr="001439E6">
              <w:rPr>
                <w:rFonts w:ascii="Times New Roman" w:hAnsi="Times New Roman" w:hint="eastAsia"/>
                <w:sz w:val="24"/>
              </w:rPr>
              <w:t>史彬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  </w:t>
            </w:r>
            <w:proofErr w:type="gramStart"/>
            <w:r w:rsidRPr="001439E6">
              <w:rPr>
                <w:rFonts w:ascii="Times New Roman" w:hAnsi="Times New Roman" w:hint="eastAsia"/>
                <w:sz w:val="24"/>
              </w:rPr>
              <w:t>凯石基金</w:t>
            </w:r>
            <w:proofErr w:type="gramEnd"/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r w:rsidRPr="001439E6">
              <w:rPr>
                <w:rFonts w:ascii="Times New Roman" w:hAnsi="Times New Roman" w:hint="eastAsia"/>
                <w:sz w:val="24"/>
              </w:rPr>
              <w:t>周德生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r w:rsidRPr="001439E6">
              <w:rPr>
                <w:rFonts w:ascii="Times New Roman" w:hAnsi="Times New Roman" w:hint="eastAsia"/>
                <w:sz w:val="24"/>
              </w:rPr>
              <w:t>丁振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  </w:t>
            </w:r>
            <w:proofErr w:type="gramStart"/>
            <w:r w:rsidRPr="001439E6">
              <w:rPr>
                <w:rFonts w:ascii="Times New Roman" w:hAnsi="Times New Roman" w:hint="eastAsia"/>
                <w:sz w:val="24"/>
              </w:rPr>
              <w:t>恒复投资</w:t>
            </w:r>
            <w:proofErr w:type="gramEnd"/>
            <w:r w:rsidRPr="001439E6">
              <w:rPr>
                <w:rFonts w:ascii="Times New Roman" w:hAnsi="Times New Roman" w:hint="eastAsia"/>
                <w:sz w:val="24"/>
              </w:rPr>
              <w:t xml:space="preserve">  </w:t>
            </w:r>
            <w:r w:rsidRPr="001439E6">
              <w:rPr>
                <w:rFonts w:ascii="Times New Roman" w:hAnsi="Times New Roman" w:hint="eastAsia"/>
                <w:sz w:val="24"/>
              </w:rPr>
              <w:t>陈祎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  </w:t>
            </w:r>
          </w:p>
          <w:p w14:paraId="298A853B" w14:textId="511D48C3" w:rsidR="00A9211C" w:rsidRPr="00A9211C" w:rsidRDefault="001439E6" w:rsidP="001439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1439E6">
              <w:rPr>
                <w:rFonts w:ascii="Times New Roman" w:hAnsi="Times New Roman" w:hint="eastAsia"/>
                <w:sz w:val="24"/>
              </w:rPr>
              <w:t>中汇金投资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  </w:t>
            </w:r>
            <w:r w:rsidRPr="001439E6">
              <w:rPr>
                <w:rFonts w:ascii="Times New Roman" w:hAnsi="Times New Roman" w:hint="eastAsia"/>
                <w:sz w:val="24"/>
              </w:rPr>
              <w:t>张小嘎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  </w:t>
            </w:r>
            <w:r w:rsidRPr="001439E6">
              <w:rPr>
                <w:rFonts w:ascii="Times New Roman" w:hAnsi="Times New Roman" w:hint="eastAsia"/>
                <w:sz w:val="24"/>
              </w:rPr>
              <w:t>重阳投资</w:t>
            </w:r>
            <w:r w:rsidRPr="001439E6">
              <w:rPr>
                <w:rFonts w:ascii="Times New Roman" w:hAnsi="Times New Roman" w:hint="eastAsia"/>
                <w:sz w:val="24"/>
              </w:rPr>
              <w:t xml:space="preserve"> </w:t>
            </w:r>
            <w:r w:rsidRPr="001439E6">
              <w:rPr>
                <w:rFonts w:ascii="Times New Roman" w:hAnsi="Times New Roman" w:hint="eastAsia"/>
                <w:sz w:val="24"/>
              </w:rPr>
              <w:t>赵阳</w:t>
            </w:r>
          </w:p>
        </w:tc>
      </w:tr>
      <w:tr w:rsidR="00107DB3" w:rsidRPr="00974890" w14:paraId="620D55BB" w14:textId="77777777" w:rsidTr="00A9211C">
        <w:trPr>
          <w:trHeight w:val="576"/>
        </w:trPr>
        <w:tc>
          <w:tcPr>
            <w:tcW w:w="1951" w:type="dxa"/>
          </w:tcPr>
          <w:p w14:paraId="463DB418" w14:textId="39F7DC31"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371" w:type="dxa"/>
            <w:vAlign w:val="center"/>
          </w:tcPr>
          <w:p w14:paraId="4832DB21" w14:textId="7BB56E1B" w:rsidR="00107DB3" w:rsidRPr="00C9042F" w:rsidRDefault="00107DB3" w:rsidP="0059570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763660">
              <w:rPr>
                <w:rFonts w:ascii="Times New Roman" w:hAnsi="Times New Roman"/>
                <w:bCs/>
                <w:iCs/>
                <w:color w:val="000000"/>
                <w:sz w:val="24"/>
              </w:rPr>
              <w:t>20</w:t>
            </w:r>
            <w:r w:rsidR="00A032C3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20</w:t>
            </w:r>
            <w:r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595702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11</w:t>
            </w:r>
            <w:r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595702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4</w:t>
            </w:r>
            <w:r w:rsidRPr="0024371E">
              <w:rPr>
                <w:rFonts w:ascii="Times New Roman" w:hAnsi="Times New Roman"/>
                <w:bCs/>
                <w:iCs/>
                <w:color w:val="000000"/>
                <w:sz w:val="24"/>
              </w:rPr>
              <w:t>日</w:t>
            </w:r>
          </w:p>
        </w:tc>
      </w:tr>
      <w:tr w:rsidR="00107DB3" w:rsidRPr="00974890" w14:paraId="1BDC53F5" w14:textId="77777777" w:rsidTr="00A9211C">
        <w:tc>
          <w:tcPr>
            <w:tcW w:w="1951" w:type="dxa"/>
          </w:tcPr>
          <w:p w14:paraId="349ED17C" w14:textId="29E51567" w:rsidR="00107DB3" w:rsidRPr="00974890" w:rsidRDefault="00CA266B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371" w:type="dxa"/>
            <w:vAlign w:val="center"/>
          </w:tcPr>
          <w:p w14:paraId="4BD740C3" w14:textId="1277F107" w:rsidR="00107DB3" w:rsidRPr="00974890" w:rsidRDefault="0032333A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107DB3" w:rsidRPr="00974890" w14:paraId="078E1C99" w14:textId="77777777" w:rsidTr="00A9211C">
        <w:trPr>
          <w:trHeight w:val="906"/>
        </w:trPr>
        <w:tc>
          <w:tcPr>
            <w:tcW w:w="1951" w:type="dxa"/>
          </w:tcPr>
          <w:p w14:paraId="6E8D8CAF" w14:textId="73A0A9A9"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371" w:type="dxa"/>
            <w:vAlign w:val="center"/>
          </w:tcPr>
          <w:p w14:paraId="475AF5A2" w14:textId="77777777" w:rsidR="00107DB3" w:rsidRPr="00C9042F" w:rsidRDefault="00107DB3" w:rsidP="006C19CB">
            <w:pPr>
              <w:spacing w:line="300" w:lineRule="auto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董事会秘书、财务总监冯小军</w:t>
            </w:r>
            <w:r w:rsidR="00721B5F">
              <w:rPr>
                <w:rFonts w:asci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07DB3" w:rsidRPr="00974890" w14:paraId="586AC538" w14:textId="77777777" w:rsidTr="00A9211C">
        <w:trPr>
          <w:trHeight w:val="841"/>
        </w:trPr>
        <w:tc>
          <w:tcPr>
            <w:tcW w:w="1951" w:type="dxa"/>
            <w:vAlign w:val="center"/>
          </w:tcPr>
          <w:p w14:paraId="71EBDDC4" w14:textId="77777777"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00A78D49" w14:textId="77777777"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7371" w:type="dxa"/>
          </w:tcPr>
          <w:p w14:paraId="743C8954" w14:textId="77777777" w:rsidR="00AC75C6" w:rsidRPr="00AC75C6" w:rsidRDefault="00AC75C6" w:rsidP="00AC75C6">
            <w:pPr>
              <w:pStyle w:val="a5"/>
              <w:adjustRightInd w:val="0"/>
              <w:snapToGrid w:val="0"/>
              <w:spacing w:beforeLines="50" w:before="156" w:after="0" w:line="300" w:lineRule="auto"/>
              <w:ind w:left="39" w:firstLineChars="0" w:firstLine="0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AC75C6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（一）</w:t>
            </w:r>
            <w:r w:rsidRPr="00AC75C6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 xml:space="preserve">   </w:t>
            </w:r>
            <w:r w:rsidRPr="00AC75C6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董事会秘书、财务总监冯小军女士介绍公司</w:t>
            </w:r>
            <w:r w:rsidRPr="00AC75C6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2020</w:t>
            </w:r>
            <w:r w:rsidRPr="00AC75C6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年前三季度经营情况</w:t>
            </w:r>
            <w:r w:rsidRPr="00AC75C6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516D4A09" w14:textId="29D7CBFF" w:rsidR="00AC75C6" w:rsidRPr="00AC75C6" w:rsidRDefault="00AC75C6" w:rsidP="00AC75C6">
            <w:pPr>
              <w:pStyle w:val="a5"/>
              <w:adjustRightInd w:val="0"/>
              <w:snapToGrid w:val="0"/>
              <w:spacing w:beforeLines="50" w:before="156" w:after="0" w:line="300" w:lineRule="auto"/>
              <w:ind w:left="39" w:firstLine="480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AC75C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公司</w:t>
            </w:r>
            <w:r w:rsidRPr="00AC75C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2020</w:t>
            </w:r>
            <w:r w:rsidRPr="00AC75C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年前三季度实现营业收入</w:t>
            </w:r>
            <w:r w:rsidRPr="00AC75C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3.81</w:t>
            </w:r>
            <w:r w:rsidRPr="00AC75C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亿元，比上年同期增长</w:t>
            </w:r>
            <w:r w:rsidRPr="00AC75C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2.21%</w:t>
            </w:r>
            <w:r w:rsidRPr="00AC75C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，实现归属于上市公司股东净利润</w:t>
            </w:r>
            <w:r w:rsidRPr="00AC75C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4,113.37</w:t>
            </w:r>
            <w:r w:rsidRPr="00AC75C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万元，比上年同期下降</w:t>
            </w:r>
            <w:r w:rsidRPr="00AC75C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46.55%</w:t>
            </w:r>
            <w:r w:rsidR="00260CF6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。</w:t>
            </w:r>
          </w:p>
          <w:p w14:paraId="3BFE81B6" w14:textId="6B7D3FC6" w:rsidR="00595702" w:rsidRPr="00AC75C6" w:rsidRDefault="00AC75C6" w:rsidP="001439E6">
            <w:pPr>
              <w:pStyle w:val="a5"/>
              <w:adjustRightInd w:val="0"/>
              <w:snapToGrid w:val="0"/>
              <w:spacing w:beforeLines="50" w:before="156" w:afterLines="50" w:after="156" w:line="300" w:lineRule="auto"/>
              <w:ind w:left="40" w:firstLine="480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AC75C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在费用方面，</w:t>
            </w:r>
            <w:r w:rsidR="00BC23D7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前三季度销售、研发、管理费用均呈现下降趋势。销售、管理费用下降主</w:t>
            </w:r>
            <w:r w:rsidRPr="00AC75C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要是去年</w:t>
            </w:r>
            <w:proofErr w:type="gramStart"/>
            <w:r w:rsidRPr="00AC75C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受股份</w:t>
            </w:r>
            <w:proofErr w:type="gramEnd"/>
            <w:r w:rsidRPr="00AC75C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支付</w:t>
            </w:r>
            <w:r w:rsidR="00DF7EF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较大</w:t>
            </w:r>
            <w:r w:rsidRPr="00AC75C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的影响及</w:t>
            </w:r>
            <w:r w:rsidR="00BC23D7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今年</w:t>
            </w:r>
            <w:r w:rsidRPr="00AC75C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疫情导致</w:t>
            </w:r>
            <w:r w:rsidR="00BC23D7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市场推广活动减少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。研发费用下降主要是一家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子公司出表导致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，实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lastRenderedPageBreak/>
              <w:t>际上公司整体保持高比例研发投入</w:t>
            </w:r>
            <w:r w:rsidRPr="00AC75C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没有变，公司的研发计划有序开展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。</w:t>
            </w:r>
            <w:r w:rsidR="005C29CE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公司在成都设立</w:t>
            </w:r>
            <w:r w:rsidR="001439E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了</w:t>
            </w:r>
            <w:r w:rsidR="005C29CE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研发中心，将持续对重点项目加大研发投入。</w:t>
            </w:r>
          </w:p>
          <w:p w14:paraId="33A4BD14" w14:textId="239C1292" w:rsidR="004B168B" w:rsidRPr="001439E6" w:rsidRDefault="001439E6" w:rsidP="001439E6">
            <w:pPr>
              <w:adjustRightInd w:val="0"/>
              <w:snapToGrid w:val="0"/>
              <w:spacing w:line="300" w:lineRule="auto"/>
              <w:rPr>
                <w:rFonts w:ascii="宋体" w:cs="Arial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Arial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（二）</w:t>
            </w:r>
            <w:r w:rsidR="004B168B" w:rsidRPr="001439E6">
              <w:rPr>
                <w:rFonts w:ascii="宋体" w:cs="Arial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互动交流环节</w:t>
            </w:r>
          </w:p>
          <w:p w14:paraId="67ADF21A" w14:textId="0EC505C5" w:rsidR="007F78B7" w:rsidRDefault="00107DB3" w:rsidP="00CA266B">
            <w:pPr>
              <w:widowControl/>
              <w:shd w:val="clear" w:color="auto" w:fill="FFFFFF"/>
              <w:adjustRightInd w:val="0"/>
              <w:snapToGrid w:val="0"/>
              <w:spacing w:beforeLines="50" w:before="156" w:after="0"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64C5D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 w:rsidR="009D5C71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 w:rsidR="0059570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59570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请公司分析三季报业绩下滑的原因？</w:t>
            </w:r>
            <w:r w:rsidR="000745A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对全年的预期？</w:t>
            </w:r>
          </w:p>
          <w:p w14:paraId="3A0F0C0A" w14:textId="6F6403D5" w:rsidR="00DA20FB" w:rsidRDefault="00073368" w:rsidP="000745A9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957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Pr="005957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DA20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公司主营业务收入有小幅增长，</w:t>
            </w:r>
            <w:proofErr w:type="gramStart"/>
            <w:r w:rsidR="00D558B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归母净利润</w:t>
            </w:r>
            <w:proofErr w:type="gramEnd"/>
            <w:r w:rsidR="00D558B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同比降幅较大，</w:t>
            </w:r>
            <w:r w:rsidR="008C0F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主要是</w:t>
            </w:r>
            <w:r w:rsidR="008C0F02" w:rsidRPr="008C0F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投资收益的大幅降低</w:t>
            </w:r>
            <w:r w:rsidR="00DA20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</w:t>
            </w:r>
            <w:r w:rsidR="008C0F02" w:rsidRPr="008C0F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汇兑损失带来财务费用的大幅上升</w:t>
            </w:r>
            <w:r w:rsidR="008C0F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引起</w:t>
            </w:r>
            <w:r w:rsidR="00D558B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8C0F02" w:rsidRPr="008C0F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剔除这</w:t>
            </w:r>
            <w:r w:rsidR="00DA20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些</w:t>
            </w:r>
            <w:r w:rsidR="008C0F02" w:rsidRPr="008C0F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因素，公司</w:t>
            </w:r>
            <w:r w:rsidR="00480CE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实际</w:t>
            </w:r>
            <w:r w:rsidR="008C0F02" w:rsidRPr="008C0F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480CE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主营</w:t>
            </w:r>
            <w:r w:rsidR="008C0F02" w:rsidRPr="008C0F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业务</w:t>
            </w:r>
            <w:r w:rsidR="00FF628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并没有大的变化。</w:t>
            </w:r>
          </w:p>
          <w:p w14:paraId="4719D196" w14:textId="1CFB2A4A" w:rsidR="00073368" w:rsidRPr="00595702" w:rsidRDefault="00DA20FB" w:rsidP="008920D8">
            <w:pPr>
              <w:adjustRightInd w:val="0"/>
              <w:snapToGrid w:val="0"/>
              <w:spacing w:after="0" w:line="360" w:lineRule="auto"/>
              <w:ind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同时，</w:t>
            </w:r>
            <w:r w:rsidRPr="005957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三季度执行的是二季度订单，二季度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受海外</w:t>
            </w:r>
            <w:r w:rsidRPr="005957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疫情影响</w:t>
            </w:r>
            <w:r w:rsidR="00483A5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DA20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客户备货趋于谨慎</w:t>
            </w:r>
            <w:r w:rsidR="00483A5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。但</w:t>
            </w:r>
            <w:r w:rsidR="000745A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就目前市场销售形势来看，三季度这样的“至暗时刻”已经过去</w:t>
            </w:r>
            <w:r w:rsidR="00483A5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8C0F02" w:rsidRPr="000745A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九月份以来</w:t>
            </w:r>
            <w:r w:rsidR="008C0F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订单</w:t>
            </w:r>
            <w:r w:rsidR="008C0F02" w:rsidRPr="000745A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已</w:t>
            </w:r>
            <w:r w:rsidR="00260CF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大幅改善</w:t>
            </w:r>
            <w:r w:rsidR="008C0F02" w:rsidRPr="000745A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，预期</w:t>
            </w:r>
            <w:r w:rsidR="008C0F02" w:rsidRPr="000745A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Q4</w:t>
            </w:r>
            <w:proofErr w:type="gramStart"/>
            <w:r w:rsidR="008C0F02" w:rsidRPr="000745A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销售端会有</w:t>
            </w:r>
            <w:proofErr w:type="gramEnd"/>
            <w:r w:rsidR="008C0F02" w:rsidRPr="000745A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好</w:t>
            </w:r>
            <w:r w:rsidR="00260CF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8C0F02" w:rsidRPr="000745A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表现</w:t>
            </w:r>
            <w:r w:rsidR="00D9264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0745A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但</w:t>
            </w:r>
            <w:r w:rsidR="00D9264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仍存在</w:t>
            </w:r>
            <w:r w:rsidR="000745A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不确定性，主要</w:t>
            </w:r>
            <w:r w:rsidR="008C0F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</w:t>
            </w:r>
            <w:r w:rsidR="000745A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供应链</w:t>
            </w:r>
            <w:r w:rsidR="002C5FE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产能端</w:t>
            </w:r>
            <w:r w:rsidR="000745A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="000745A9" w:rsidRPr="000745A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对全年预期持谨慎乐观态度</w:t>
            </w:r>
            <w:r w:rsidR="000745A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6C56D883" w14:textId="5009A95B" w:rsidR="00667B5F" w:rsidRPr="00CB391C" w:rsidRDefault="004A0961" w:rsidP="002B3F43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B391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B391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AE44D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三季度</w:t>
            </w:r>
            <w:r w:rsidR="00592F7F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</w:t>
            </w:r>
            <w:r w:rsidR="00CB391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产品</w:t>
            </w:r>
            <w:r w:rsidR="00592F7F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毛利率</w:t>
            </w:r>
            <w:r w:rsidR="00F73DC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有所提升的原因？</w:t>
            </w:r>
            <w:r w:rsidR="002D2FF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后续会持续提升吗？</w:t>
            </w:r>
          </w:p>
          <w:p w14:paraId="4FACC99A" w14:textId="6AF3EF06" w:rsidR="00AE44D6" w:rsidRPr="00A03DC7" w:rsidRDefault="00CB391C" w:rsidP="002B3F43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F73DC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三季度</w:t>
            </w:r>
            <w:r w:rsidR="00592F7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公司产品毛利率</w:t>
            </w:r>
            <w:r w:rsidR="00F73DC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提升</w:t>
            </w:r>
            <w:r w:rsidR="000110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是产品</w:t>
            </w:r>
            <w:r w:rsidR="00592F7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结构</w:t>
            </w:r>
            <w:r w:rsidR="000110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所致</w:t>
            </w:r>
            <w:r w:rsidR="00F73DC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2D2FF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本期销售</w:t>
            </w:r>
            <w:r w:rsidR="00F73DC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如</w:t>
            </w:r>
            <w:r w:rsidR="002D2FF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高毛利的</w:t>
            </w:r>
            <w:r w:rsidR="00F73DC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定制化产品、技术服务比重有所加大</w:t>
            </w:r>
            <w:r w:rsidR="00592F7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="008C0F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后续产品结构</w:t>
            </w:r>
            <w:r w:rsidR="002D2FF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还是以自</w:t>
            </w:r>
            <w:proofErr w:type="gramStart"/>
            <w:r w:rsidR="002D2FF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="000745A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</w:t>
            </w:r>
            <w:r w:rsidR="002D2FF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产品为主。</w:t>
            </w:r>
          </w:p>
          <w:p w14:paraId="7F96B64E" w14:textId="2B2AD886" w:rsidR="004059A4" w:rsidRPr="00024A09" w:rsidRDefault="00A76E05" w:rsidP="002B3F43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33231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生产、封测</w:t>
            </w:r>
            <w:r w:rsidR="002259A4" w:rsidRPr="00024A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产能紧张对公司的影响？</w:t>
            </w:r>
          </w:p>
          <w:p w14:paraId="53DCC792" w14:textId="017F1B5D" w:rsidR="00024A09" w:rsidRDefault="00024A09" w:rsidP="002B3F43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="00F73DC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：由于市场</w:t>
            </w:r>
            <w:r w:rsidR="002B3F4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恢复</w:t>
            </w:r>
            <w:r w:rsidR="00F73DC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势头较好，客户加大备货，库存出现缺货情况，</w:t>
            </w:r>
            <w:r w:rsidR="00AE44D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交货周期</w:t>
            </w:r>
            <w:r w:rsidR="00EC6E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普遍</w:t>
            </w:r>
            <w:r w:rsidR="00AE44D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拉长</w:t>
            </w:r>
            <w:r w:rsidR="00AC75C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="00F73DC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我们</w:t>
            </w:r>
            <w:r w:rsidR="00AE44D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已采取积极措施跟进供应链争取</w:t>
            </w:r>
            <w:r w:rsidR="00864A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一切</w:t>
            </w:r>
            <w:r w:rsidR="00AE44D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产能。</w:t>
            </w:r>
          </w:p>
          <w:p w14:paraId="1E4830DB" w14:textId="76225EFD" w:rsidR="00AC75C6" w:rsidRPr="00AC75C6" w:rsidRDefault="00AC75C6" w:rsidP="002B3F43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C75C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AC75C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：公司预期明年</w:t>
            </w:r>
            <w:proofErr w:type="gramStart"/>
            <w:r w:rsidRPr="00AC75C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分业务</w:t>
            </w:r>
            <w:proofErr w:type="gramEnd"/>
            <w:r w:rsidRPr="00AC75C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的发展会是怎样的状况？</w:t>
            </w:r>
          </w:p>
          <w:p w14:paraId="1FA317E8" w14:textId="4931BFEA" w:rsidR="00AC75C6" w:rsidRPr="00AC75C6" w:rsidRDefault="00AC75C6" w:rsidP="002B3F43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454F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公司主</w:t>
            </w:r>
            <w:proofErr w:type="gramStart"/>
            <w:r w:rsidR="000454F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打安防行业</w:t>
            </w:r>
            <w:proofErr w:type="gramEnd"/>
            <w:r w:rsidR="000454F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市场，行业这块预计较为平稳；消费类智能硬件、汽车电子产品的业务增长是可期的。</w:t>
            </w:r>
          </w:p>
          <w:p w14:paraId="2772218D" w14:textId="579CFF31" w:rsidR="00332317" w:rsidRPr="00332317" w:rsidRDefault="002259A4" w:rsidP="002B3F43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6645B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去年公司汽车业务表现较</w:t>
            </w:r>
            <w:r w:rsidR="0033231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好，</w:t>
            </w:r>
            <w:r w:rsidR="00BF6B0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今年会延续吗？</w:t>
            </w:r>
            <w:r w:rsidR="002B3F4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客户有哪些？</w:t>
            </w:r>
          </w:p>
          <w:p w14:paraId="0C444E73" w14:textId="6697D454" w:rsidR="00FD647D" w:rsidRDefault="00332317" w:rsidP="002B3F43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：公司</w:t>
            </w:r>
            <w:r w:rsidR="002B3F4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目前已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推出</w:t>
            </w:r>
            <w:r w:rsidR="002B3F4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2</w:t>
            </w:r>
            <w:r w:rsidR="002B3F4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颗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高</w:t>
            </w:r>
            <w:r w:rsidR="002B3F4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性能车</w:t>
            </w:r>
            <w:proofErr w:type="gramStart"/>
            <w:r w:rsidR="002B3F4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332317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芯片，</w:t>
            </w:r>
            <w:r w:rsidR="002B3F4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有望</w:t>
            </w:r>
            <w:r w:rsidR="00B242A4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进一步</w:t>
            </w:r>
            <w:r w:rsidRPr="00332317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切入前装市场</w:t>
            </w:r>
            <w:r w:rsidR="002B3F4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后装市场</w:t>
            </w:r>
            <w:r w:rsidR="002B3F4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仍是公司主力市场，后续将保持良好的增长态势</w:t>
            </w:r>
            <w:r w:rsidR="00FF6284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。</w:t>
            </w:r>
            <w:r w:rsidR="002B3F4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主要通过方案商、代理商合作销售模式。</w:t>
            </w:r>
          </w:p>
          <w:p w14:paraId="6EF00E5A" w14:textId="592C7517" w:rsidR="00BF6B02" w:rsidRPr="00BF6B02" w:rsidRDefault="00B242A4" w:rsidP="002B3F43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BF6B02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 w:rsidRPr="00BF6B02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 w:rsidR="00BF6B02" w:rsidRPr="00BF6B02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公司</w:t>
            </w:r>
            <w:r w:rsidR="002D2FF7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之后会推出有哪些新产品</w:t>
            </w:r>
            <w:r w:rsidR="00BF6B02" w:rsidRPr="00BF6B02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？</w:t>
            </w:r>
          </w:p>
          <w:p w14:paraId="70430F71" w14:textId="254D8E37" w:rsidR="00B242A4" w:rsidRDefault="00BF6B02" w:rsidP="002B3F43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 w:rsidR="002D2FF7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公司目前两颗高性能芯片</w:t>
            </w:r>
            <w:r w:rsidR="002B3F4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进展顺利，已</w:t>
            </w:r>
            <w:r w:rsidR="002D2FF7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在</w:t>
            </w:r>
            <w:r w:rsidR="002D2FF7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design in</w:t>
            </w:r>
            <w:r w:rsidR="002D2FF7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状态，在应用客户反馈较好</w:t>
            </w:r>
            <w:r w:rsidR="002B3F4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；</w:t>
            </w:r>
            <w:r w:rsidR="002D2FF7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同时</w:t>
            </w:r>
            <w:r w:rsidR="002D2FF7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AI</w:t>
            </w:r>
            <w:r w:rsidR="002D2FF7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芯片也在按计划推进中，可望</w:t>
            </w:r>
            <w:r w:rsidR="002B3F4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为</w:t>
            </w:r>
            <w:r w:rsidR="002D2FF7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明年营</w:t>
            </w:r>
            <w:proofErr w:type="gramStart"/>
            <w:r w:rsidR="002D2FF7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收</w:t>
            </w:r>
            <w:r w:rsidR="002B3F4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带</w:t>
            </w:r>
            <w:r w:rsidR="002B3F4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lastRenderedPageBreak/>
              <w:t>来</w:t>
            </w:r>
            <w:proofErr w:type="gramEnd"/>
            <w:r w:rsidR="002B3F4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好的表现</w:t>
            </w:r>
            <w:r w:rsidR="002D2FF7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。</w:t>
            </w:r>
          </w:p>
          <w:p w14:paraId="62448089" w14:textId="541653F2" w:rsidR="001B4773" w:rsidRPr="001B4773" w:rsidRDefault="001B4773" w:rsidP="002B3F43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1B4773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 w:rsidRPr="001B4773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：目前公司新产品对标竞争者，在性能上能达到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一样</w:t>
            </w:r>
            <w:r w:rsidRPr="001B4773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吗？</w:t>
            </w:r>
          </w:p>
          <w:p w14:paraId="73A518C9" w14:textId="227DF9EB" w:rsidR="001B4773" w:rsidRDefault="001B4773" w:rsidP="002B3F43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：公司新产品在性能上不输竞品，从综合来看可能更具性价比。</w:t>
            </w:r>
            <w:r w:rsidR="000454F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可以关注公司</w:t>
            </w:r>
            <w:proofErr w:type="gramStart"/>
            <w:r w:rsidR="000454F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官网产品</w:t>
            </w:r>
            <w:proofErr w:type="gramEnd"/>
            <w:r w:rsidR="000454F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发布的产品参数指标。</w:t>
            </w:r>
          </w:p>
          <w:p w14:paraId="6EE92135" w14:textId="034EC942" w:rsidR="001B4773" w:rsidRPr="001B4773" w:rsidRDefault="001B4773" w:rsidP="002B3F43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1B4773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 w:rsidRPr="001B4773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：公司认为</w:t>
            </w:r>
            <w:proofErr w:type="gramStart"/>
            <w:r w:rsidRPr="001B4773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海思目前</w:t>
            </w:r>
            <w:proofErr w:type="gramEnd"/>
            <w:r w:rsidRPr="001B4773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的形势公司将获得</w:t>
            </w:r>
            <w:r w:rsidR="00F545E4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替代的</w:t>
            </w:r>
            <w:r w:rsidRPr="001B4773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市场空间？</w:t>
            </w:r>
          </w:p>
          <w:p w14:paraId="0DE7268A" w14:textId="13E5E855" w:rsidR="001B4773" w:rsidRPr="001B4773" w:rsidRDefault="001B4773" w:rsidP="002B3F43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：市场机会一直存在，并不是从现在开始，公司</w:t>
            </w:r>
            <w:r w:rsidR="007A793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一直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提前规划</w:t>
            </w:r>
            <w:r w:rsidR="007A793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布局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产品与市场，努力做好自己的事，不断丰富自身产品线，提升</w:t>
            </w:r>
            <w:r w:rsidR="007A793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产品的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客户认可度，这样才能把握住市场机会。</w:t>
            </w:r>
          </w:p>
          <w:p w14:paraId="6DA71638" w14:textId="7764E93C" w:rsidR="002B3F43" w:rsidRPr="00F66466" w:rsidRDefault="002B3F43" w:rsidP="002B3F43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F66466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 w:rsidRPr="00F66466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：公司是否有加大研发人才招募计划？</w:t>
            </w:r>
          </w:p>
          <w:p w14:paraId="6E15E122" w14:textId="008BA7B2" w:rsidR="00D239AD" w:rsidRPr="002B3F43" w:rsidRDefault="002B3F43" w:rsidP="00F545E4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2B3F4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A</w:t>
            </w:r>
            <w:r w:rsidRPr="002B3F4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：公司仍在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加大研发人才招聘力度，包括校招、社招、猎头等多渠道，包括在成都设立研发中心</w:t>
            </w:r>
            <w:r w:rsidR="00F6646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，也是为了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吸引</w:t>
            </w:r>
            <w:r w:rsidR="00F6646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更多</w:t>
            </w:r>
            <w:r w:rsidRPr="002B3F43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优秀人才加入。</w:t>
            </w:r>
          </w:p>
        </w:tc>
      </w:tr>
      <w:tr w:rsidR="00107DB3" w:rsidRPr="00974890" w14:paraId="526E750F" w14:textId="77777777" w:rsidTr="00A9211C">
        <w:tc>
          <w:tcPr>
            <w:tcW w:w="1951" w:type="dxa"/>
            <w:vAlign w:val="center"/>
          </w:tcPr>
          <w:p w14:paraId="131CD687" w14:textId="77777777"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371" w:type="dxa"/>
          </w:tcPr>
          <w:p w14:paraId="545EC312" w14:textId="77777777"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107DB3" w:rsidRPr="00974890" w14:paraId="2F45E46C" w14:textId="77777777" w:rsidTr="00A9211C">
        <w:trPr>
          <w:trHeight w:val="388"/>
        </w:trPr>
        <w:tc>
          <w:tcPr>
            <w:tcW w:w="1951" w:type="dxa"/>
            <w:vAlign w:val="center"/>
          </w:tcPr>
          <w:p w14:paraId="728DB363" w14:textId="77777777"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371" w:type="dxa"/>
          </w:tcPr>
          <w:p w14:paraId="4127CF3B" w14:textId="0E6ECDAB" w:rsidR="00107DB3" w:rsidRPr="00B04A94" w:rsidRDefault="00B242A4" w:rsidP="00FF6284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20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20</w:t>
            </w:r>
            <w:r w:rsidR="00107DB3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年</w:t>
            </w:r>
            <w:r w:rsidR="00113C54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11</w:t>
            </w:r>
            <w:r w:rsidR="00107DB3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月</w:t>
            </w:r>
            <w:r w:rsidR="00FF6284">
              <w:rPr>
                <w:rFonts w:ascii="Times New Roman" w:hAnsi="Times New Roman"/>
                <w:bCs/>
                <w:iCs/>
                <w:color w:val="000000"/>
                <w:sz w:val="24"/>
              </w:rPr>
              <w:t>6</w:t>
            </w:r>
            <w:r w:rsidR="00107DB3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2758E2D8" w14:textId="77777777" w:rsidR="00107DB3" w:rsidRDefault="00107DB3" w:rsidP="002940BE">
      <w:pPr>
        <w:adjustRightInd w:val="0"/>
        <w:snapToGrid w:val="0"/>
        <w:spacing w:line="300" w:lineRule="auto"/>
      </w:pPr>
    </w:p>
    <w:sectPr w:rsidR="00107DB3" w:rsidSect="0012464C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C9C25" w14:textId="77777777" w:rsidR="00B95BFD" w:rsidRDefault="00B95BFD" w:rsidP="0001341D">
      <w:pPr>
        <w:spacing w:after="0" w:line="240" w:lineRule="auto"/>
      </w:pPr>
      <w:r>
        <w:separator/>
      </w:r>
    </w:p>
  </w:endnote>
  <w:endnote w:type="continuationSeparator" w:id="0">
    <w:p w14:paraId="1DD84E85" w14:textId="77777777" w:rsidR="00B95BFD" w:rsidRDefault="00B95BFD" w:rsidP="000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6CAA0" w14:textId="77777777" w:rsidR="00107DB3" w:rsidRDefault="00107DB3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48512B" w14:textId="77777777" w:rsidR="00107DB3" w:rsidRDefault="00107D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52CDB" w14:textId="77777777" w:rsidR="00107DB3" w:rsidRDefault="00107DB3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7CF0">
      <w:rPr>
        <w:rStyle w:val="a6"/>
        <w:noProof/>
      </w:rPr>
      <w:t>1</w:t>
    </w:r>
    <w:r>
      <w:rPr>
        <w:rStyle w:val="a6"/>
      </w:rPr>
      <w:fldChar w:fldCharType="end"/>
    </w:r>
  </w:p>
  <w:p w14:paraId="1116CEF7" w14:textId="77777777" w:rsidR="00107DB3" w:rsidRDefault="00107D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54EAE" w14:textId="77777777" w:rsidR="00B95BFD" w:rsidRDefault="00B95BFD" w:rsidP="0001341D">
      <w:pPr>
        <w:spacing w:after="0" w:line="240" w:lineRule="auto"/>
      </w:pPr>
      <w:r>
        <w:separator/>
      </w:r>
    </w:p>
  </w:footnote>
  <w:footnote w:type="continuationSeparator" w:id="0">
    <w:p w14:paraId="233F29E2" w14:textId="77777777" w:rsidR="00B95BFD" w:rsidRDefault="00B95BFD" w:rsidP="000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823AC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8F875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ABC49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210C0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358F9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E8088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1AA1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CAED6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68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B2FDD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CF1A4E"/>
    <w:multiLevelType w:val="hybridMultilevel"/>
    <w:tmpl w:val="A8820374"/>
    <w:lvl w:ilvl="0" w:tplc="724E85CE">
      <w:start w:val="1"/>
      <w:numFmt w:val="decimal"/>
      <w:lvlText w:val="%1、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>
    <w:nsid w:val="2F8B2865"/>
    <w:multiLevelType w:val="hybridMultilevel"/>
    <w:tmpl w:val="DB943DE6"/>
    <w:lvl w:ilvl="0" w:tplc="A7C48C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712211D"/>
    <w:multiLevelType w:val="hybridMultilevel"/>
    <w:tmpl w:val="D97AC3D8"/>
    <w:lvl w:ilvl="0" w:tplc="FE6E681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7252664"/>
    <w:multiLevelType w:val="hybridMultilevel"/>
    <w:tmpl w:val="1908C862"/>
    <w:lvl w:ilvl="0" w:tplc="EBD6383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F594780"/>
    <w:multiLevelType w:val="hybridMultilevel"/>
    <w:tmpl w:val="CF8E368A"/>
    <w:lvl w:ilvl="0" w:tplc="91EED0DA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6B"/>
    <w:rsid w:val="00007B0A"/>
    <w:rsid w:val="0001108B"/>
    <w:rsid w:val="0001341D"/>
    <w:rsid w:val="000206E7"/>
    <w:rsid w:val="0002086D"/>
    <w:rsid w:val="000212DA"/>
    <w:rsid w:val="00021C02"/>
    <w:rsid w:val="00024A09"/>
    <w:rsid w:val="00041609"/>
    <w:rsid w:val="000454F3"/>
    <w:rsid w:val="000660A4"/>
    <w:rsid w:val="000712A4"/>
    <w:rsid w:val="00072FE7"/>
    <w:rsid w:val="00073368"/>
    <w:rsid w:val="00073C9C"/>
    <w:rsid w:val="00074455"/>
    <w:rsid w:val="000745A9"/>
    <w:rsid w:val="00082B44"/>
    <w:rsid w:val="00091820"/>
    <w:rsid w:val="00093C72"/>
    <w:rsid w:val="000971D9"/>
    <w:rsid w:val="000A2033"/>
    <w:rsid w:val="000A3545"/>
    <w:rsid w:val="000B2022"/>
    <w:rsid w:val="000B2112"/>
    <w:rsid w:val="000C063E"/>
    <w:rsid w:val="000C400B"/>
    <w:rsid w:val="000C4BC6"/>
    <w:rsid w:val="000D60C2"/>
    <w:rsid w:val="000E22C3"/>
    <w:rsid w:val="000E7865"/>
    <w:rsid w:val="000E7BE1"/>
    <w:rsid w:val="000F1F3C"/>
    <w:rsid w:val="000F4889"/>
    <w:rsid w:val="00107DB3"/>
    <w:rsid w:val="00113C54"/>
    <w:rsid w:val="00120F25"/>
    <w:rsid w:val="0012464C"/>
    <w:rsid w:val="0013555C"/>
    <w:rsid w:val="00137ABA"/>
    <w:rsid w:val="001439E6"/>
    <w:rsid w:val="0014520E"/>
    <w:rsid w:val="00145BE6"/>
    <w:rsid w:val="00154AA5"/>
    <w:rsid w:val="00156DC7"/>
    <w:rsid w:val="0016722F"/>
    <w:rsid w:val="00170D53"/>
    <w:rsid w:val="00196C11"/>
    <w:rsid w:val="001A12CF"/>
    <w:rsid w:val="001A5037"/>
    <w:rsid w:val="001B1D4B"/>
    <w:rsid w:val="001B3AF0"/>
    <w:rsid w:val="001B4773"/>
    <w:rsid w:val="001C4089"/>
    <w:rsid w:val="001E040B"/>
    <w:rsid w:val="001E6D7E"/>
    <w:rsid w:val="001F5F98"/>
    <w:rsid w:val="001F6DF9"/>
    <w:rsid w:val="002018E9"/>
    <w:rsid w:val="00211D62"/>
    <w:rsid w:val="002259A4"/>
    <w:rsid w:val="00226F8E"/>
    <w:rsid w:val="00231A1C"/>
    <w:rsid w:val="00232F21"/>
    <w:rsid w:val="00237F88"/>
    <w:rsid w:val="002401F1"/>
    <w:rsid w:val="0024287B"/>
    <w:rsid w:val="0024371E"/>
    <w:rsid w:val="00243735"/>
    <w:rsid w:val="002455A2"/>
    <w:rsid w:val="00250239"/>
    <w:rsid w:val="00252935"/>
    <w:rsid w:val="002574D7"/>
    <w:rsid w:val="00260CF6"/>
    <w:rsid w:val="00262932"/>
    <w:rsid w:val="00264C5D"/>
    <w:rsid w:val="002723CE"/>
    <w:rsid w:val="00287A5A"/>
    <w:rsid w:val="002940BE"/>
    <w:rsid w:val="002B10D6"/>
    <w:rsid w:val="002B3F43"/>
    <w:rsid w:val="002C5893"/>
    <w:rsid w:val="002C5FEE"/>
    <w:rsid w:val="002D2BB5"/>
    <w:rsid w:val="002D2FF7"/>
    <w:rsid w:val="002D36A1"/>
    <w:rsid w:val="002D3FF4"/>
    <w:rsid w:val="002E258A"/>
    <w:rsid w:val="002E3080"/>
    <w:rsid w:val="002E5959"/>
    <w:rsid w:val="002F0F58"/>
    <w:rsid w:val="002F105D"/>
    <w:rsid w:val="002F5FD5"/>
    <w:rsid w:val="00302CF8"/>
    <w:rsid w:val="00313C4C"/>
    <w:rsid w:val="003148CD"/>
    <w:rsid w:val="00317633"/>
    <w:rsid w:val="003176A8"/>
    <w:rsid w:val="0032333A"/>
    <w:rsid w:val="0032759B"/>
    <w:rsid w:val="00332317"/>
    <w:rsid w:val="00342685"/>
    <w:rsid w:val="00350D81"/>
    <w:rsid w:val="00364412"/>
    <w:rsid w:val="00371B72"/>
    <w:rsid w:val="003745C5"/>
    <w:rsid w:val="00375500"/>
    <w:rsid w:val="0037666F"/>
    <w:rsid w:val="003806B8"/>
    <w:rsid w:val="00384D08"/>
    <w:rsid w:val="00386085"/>
    <w:rsid w:val="00390CF2"/>
    <w:rsid w:val="00395847"/>
    <w:rsid w:val="0039713A"/>
    <w:rsid w:val="003A7808"/>
    <w:rsid w:val="003B71FF"/>
    <w:rsid w:val="003C08AA"/>
    <w:rsid w:val="003D0158"/>
    <w:rsid w:val="003D1507"/>
    <w:rsid w:val="003D4969"/>
    <w:rsid w:val="003E7F52"/>
    <w:rsid w:val="003F7EA6"/>
    <w:rsid w:val="00403D52"/>
    <w:rsid w:val="004059A4"/>
    <w:rsid w:val="00406629"/>
    <w:rsid w:val="00413544"/>
    <w:rsid w:val="0041657A"/>
    <w:rsid w:val="004326E8"/>
    <w:rsid w:val="004349B2"/>
    <w:rsid w:val="00436450"/>
    <w:rsid w:val="0043728F"/>
    <w:rsid w:val="0045028B"/>
    <w:rsid w:val="00457FE5"/>
    <w:rsid w:val="0046201A"/>
    <w:rsid w:val="004643F1"/>
    <w:rsid w:val="00480CE2"/>
    <w:rsid w:val="0048259B"/>
    <w:rsid w:val="00483A54"/>
    <w:rsid w:val="00483E2F"/>
    <w:rsid w:val="00491C09"/>
    <w:rsid w:val="00491CAB"/>
    <w:rsid w:val="004967B8"/>
    <w:rsid w:val="004A0961"/>
    <w:rsid w:val="004B168B"/>
    <w:rsid w:val="004B4309"/>
    <w:rsid w:val="004C159C"/>
    <w:rsid w:val="004C1E61"/>
    <w:rsid w:val="004C4F32"/>
    <w:rsid w:val="004D1BA0"/>
    <w:rsid w:val="004D1D72"/>
    <w:rsid w:val="004D5448"/>
    <w:rsid w:val="00506696"/>
    <w:rsid w:val="005206EB"/>
    <w:rsid w:val="00524AA0"/>
    <w:rsid w:val="00525248"/>
    <w:rsid w:val="00526D42"/>
    <w:rsid w:val="00527899"/>
    <w:rsid w:val="005335A6"/>
    <w:rsid w:val="005349A2"/>
    <w:rsid w:val="005350A8"/>
    <w:rsid w:val="005410B1"/>
    <w:rsid w:val="005465D3"/>
    <w:rsid w:val="005471BE"/>
    <w:rsid w:val="005562B6"/>
    <w:rsid w:val="005836AE"/>
    <w:rsid w:val="00584A22"/>
    <w:rsid w:val="00584CDE"/>
    <w:rsid w:val="00592F17"/>
    <w:rsid w:val="00592F7F"/>
    <w:rsid w:val="00594487"/>
    <w:rsid w:val="00595702"/>
    <w:rsid w:val="005A7BFF"/>
    <w:rsid w:val="005B19C4"/>
    <w:rsid w:val="005B4214"/>
    <w:rsid w:val="005C29CE"/>
    <w:rsid w:val="005C3BCB"/>
    <w:rsid w:val="005C4ABB"/>
    <w:rsid w:val="005C5A14"/>
    <w:rsid w:val="005E0896"/>
    <w:rsid w:val="005F193C"/>
    <w:rsid w:val="005F59D0"/>
    <w:rsid w:val="005F7A68"/>
    <w:rsid w:val="005F7E7E"/>
    <w:rsid w:val="00606565"/>
    <w:rsid w:val="00616768"/>
    <w:rsid w:val="0062416D"/>
    <w:rsid w:val="00650AC6"/>
    <w:rsid w:val="00657371"/>
    <w:rsid w:val="006645B4"/>
    <w:rsid w:val="00665937"/>
    <w:rsid w:val="00667B5F"/>
    <w:rsid w:val="006927E5"/>
    <w:rsid w:val="006A2061"/>
    <w:rsid w:val="006A796A"/>
    <w:rsid w:val="006B14F6"/>
    <w:rsid w:val="006C19CB"/>
    <w:rsid w:val="006D1018"/>
    <w:rsid w:val="006D2B95"/>
    <w:rsid w:val="006E45D7"/>
    <w:rsid w:val="006F4C41"/>
    <w:rsid w:val="007013AD"/>
    <w:rsid w:val="00703EDA"/>
    <w:rsid w:val="00704C5D"/>
    <w:rsid w:val="007062E3"/>
    <w:rsid w:val="007159C3"/>
    <w:rsid w:val="007159D4"/>
    <w:rsid w:val="00716380"/>
    <w:rsid w:val="00721496"/>
    <w:rsid w:val="00721B5F"/>
    <w:rsid w:val="00722FDB"/>
    <w:rsid w:val="00727CBB"/>
    <w:rsid w:val="00737058"/>
    <w:rsid w:val="00737781"/>
    <w:rsid w:val="00755EFA"/>
    <w:rsid w:val="00763660"/>
    <w:rsid w:val="00767632"/>
    <w:rsid w:val="007767DF"/>
    <w:rsid w:val="00797C04"/>
    <w:rsid w:val="007A24A6"/>
    <w:rsid w:val="007A7933"/>
    <w:rsid w:val="007B0C14"/>
    <w:rsid w:val="007B52FB"/>
    <w:rsid w:val="007B60E6"/>
    <w:rsid w:val="007B60F8"/>
    <w:rsid w:val="007B71B3"/>
    <w:rsid w:val="007B75E3"/>
    <w:rsid w:val="007C668D"/>
    <w:rsid w:val="007E3680"/>
    <w:rsid w:val="007E410F"/>
    <w:rsid w:val="007F2C0A"/>
    <w:rsid w:val="007F503C"/>
    <w:rsid w:val="007F63E4"/>
    <w:rsid w:val="007F78B7"/>
    <w:rsid w:val="008170CC"/>
    <w:rsid w:val="00825AC4"/>
    <w:rsid w:val="008305BE"/>
    <w:rsid w:val="00863580"/>
    <w:rsid w:val="00864A69"/>
    <w:rsid w:val="00871AF5"/>
    <w:rsid w:val="00877865"/>
    <w:rsid w:val="008917F7"/>
    <w:rsid w:val="008920D8"/>
    <w:rsid w:val="0089602C"/>
    <w:rsid w:val="008968CF"/>
    <w:rsid w:val="00896F1C"/>
    <w:rsid w:val="008A0368"/>
    <w:rsid w:val="008A186F"/>
    <w:rsid w:val="008A5548"/>
    <w:rsid w:val="008B0898"/>
    <w:rsid w:val="008C0F02"/>
    <w:rsid w:val="008C3916"/>
    <w:rsid w:val="008C3985"/>
    <w:rsid w:val="008C5800"/>
    <w:rsid w:val="008C5966"/>
    <w:rsid w:val="008C5D1B"/>
    <w:rsid w:val="008D0C34"/>
    <w:rsid w:val="008D2BAA"/>
    <w:rsid w:val="008D7B33"/>
    <w:rsid w:val="008F421B"/>
    <w:rsid w:val="008F6F5F"/>
    <w:rsid w:val="009065B6"/>
    <w:rsid w:val="00924ABE"/>
    <w:rsid w:val="00925157"/>
    <w:rsid w:val="0093637A"/>
    <w:rsid w:val="009403F5"/>
    <w:rsid w:val="00940CF7"/>
    <w:rsid w:val="009423C7"/>
    <w:rsid w:val="00950819"/>
    <w:rsid w:val="009566B2"/>
    <w:rsid w:val="00960901"/>
    <w:rsid w:val="00965BF7"/>
    <w:rsid w:val="009662B6"/>
    <w:rsid w:val="00966BEC"/>
    <w:rsid w:val="00972B1C"/>
    <w:rsid w:val="00974890"/>
    <w:rsid w:val="00974B07"/>
    <w:rsid w:val="009816F8"/>
    <w:rsid w:val="00990FCF"/>
    <w:rsid w:val="009A7628"/>
    <w:rsid w:val="009B12DA"/>
    <w:rsid w:val="009B2DAE"/>
    <w:rsid w:val="009B37CC"/>
    <w:rsid w:val="009C3162"/>
    <w:rsid w:val="009D07C4"/>
    <w:rsid w:val="009D1E9B"/>
    <w:rsid w:val="009D5C71"/>
    <w:rsid w:val="009D6051"/>
    <w:rsid w:val="009E20C0"/>
    <w:rsid w:val="009E5A81"/>
    <w:rsid w:val="00A032C3"/>
    <w:rsid w:val="00A03DC7"/>
    <w:rsid w:val="00A05721"/>
    <w:rsid w:val="00A20D69"/>
    <w:rsid w:val="00A27FD6"/>
    <w:rsid w:val="00A300D9"/>
    <w:rsid w:val="00A3530B"/>
    <w:rsid w:val="00A37636"/>
    <w:rsid w:val="00A43BAC"/>
    <w:rsid w:val="00A44D30"/>
    <w:rsid w:val="00A46ECE"/>
    <w:rsid w:val="00A46F7C"/>
    <w:rsid w:val="00A55C6F"/>
    <w:rsid w:val="00A64C27"/>
    <w:rsid w:val="00A65ED1"/>
    <w:rsid w:val="00A712EE"/>
    <w:rsid w:val="00A74198"/>
    <w:rsid w:val="00A76E05"/>
    <w:rsid w:val="00A85814"/>
    <w:rsid w:val="00A87798"/>
    <w:rsid w:val="00A9211C"/>
    <w:rsid w:val="00AA0B7F"/>
    <w:rsid w:val="00AA0E83"/>
    <w:rsid w:val="00AA4B03"/>
    <w:rsid w:val="00AA77CE"/>
    <w:rsid w:val="00AB3BF9"/>
    <w:rsid w:val="00AC4E87"/>
    <w:rsid w:val="00AC75C6"/>
    <w:rsid w:val="00AE0572"/>
    <w:rsid w:val="00AE44D6"/>
    <w:rsid w:val="00AE4680"/>
    <w:rsid w:val="00AE4AD5"/>
    <w:rsid w:val="00AE56F2"/>
    <w:rsid w:val="00AF3042"/>
    <w:rsid w:val="00B0277B"/>
    <w:rsid w:val="00B04A94"/>
    <w:rsid w:val="00B06DCD"/>
    <w:rsid w:val="00B07FA8"/>
    <w:rsid w:val="00B1157D"/>
    <w:rsid w:val="00B115E8"/>
    <w:rsid w:val="00B122DE"/>
    <w:rsid w:val="00B215CA"/>
    <w:rsid w:val="00B21A86"/>
    <w:rsid w:val="00B242A4"/>
    <w:rsid w:val="00B27C59"/>
    <w:rsid w:val="00B333D9"/>
    <w:rsid w:val="00B37CF0"/>
    <w:rsid w:val="00B72A57"/>
    <w:rsid w:val="00B763BB"/>
    <w:rsid w:val="00B85552"/>
    <w:rsid w:val="00B8605F"/>
    <w:rsid w:val="00B95BFD"/>
    <w:rsid w:val="00BA2334"/>
    <w:rsid w:val="00BC23D7"/>
    <w:rsid w:val="00BC69C8"/>
    <w:rsid w:val="00BD24F5"/>
    <w:rsid w:val="00BE439D"/>
    <w:rsid w:val="00BF2E50"/>
    <w:rsid w:val="00BF6B02"/>
    <w:rsid w:val="00C1469C"/>
    <w:rsid w:val="00C16366"/>
    <w:rsid w:val="00C334C4"/>
    <w:rsid w:val="00C40110"/>
    <w:rsid w:val="00C4239D"/>
    <w:rsid w:val="00C57226"/>
    <w:rsid w:val="00C574EC"/>
    <w:rsid w:val="00C774FF"/>
    <w:rsid w:val="00C82D71"/>
    <w:rsid w:val="00C9042F"/>
    <w:rsid w:val="00C9214E"/>
    <w:rsid w:val="00C924D1"/>
    <w:rsid w:val="00C935CC"/>
    <w:rsid w:val="00C9455B"/>
    <w:rsid w:val="00CA266B"/>
    <w:rsid w:val="00CA6BAA"/>
    <w:rsid w:val="00CA7009"/>
    <w:rsid w:val="00CB391C"/>
    <w:rsid w:val="00CB4BDA"/>
    <w:rsid w:val="00CB7CD2"/>
    <w:rsid w:val="00CC159D"/>
    <w:rsid w:val="00CC791B"/>
    <w:rsid w:val="00CD4867"/>
    <w:rsid w:val="00CD5644"/>
    <w:rsid w:val="00CF25FD"/>
    <w:rsid w:val="00D06191"/>
    <w:rsid w:val="00D0757A"/>
    <w:rsid w:val="00D14D38"/>
    <w:rsid w:val="00D21682"/>
    <w:rsid w:val="00D23035"/>
    <w:rsid w:val="00D239AD"/>
    <w:rsid w:val="00D36139"/>
    <w:rsid w:val="00D374C7"/>
    <w:rsid w:val="00D42815"/>
    <w:rsid w:val="00D447FE"/>
    <w:rsid w:val="00D47590"/>
    <w:rsid w:val="00D558BC"/>
    <w:rsid w:val="00D56955"/>
    <w:rsid w:val="00D5713C"/>
    <w:rsid w:val="00D601C4"/>
    <w:rsid w:val="00D623F7"/>
    <w:rsid w:val="00D70C72"/>
    <w:rsid w:val="00D768BE"/>
    <w:rsid w:val="00D92642"/>
    <w:rsid w:val="00D96EA7"/>
    <w:rsid w:val="00DA20FB"/>
    <w:rsid w:val="00DA4778"/>
    <w:rsid w:val="00DC166B"/>
    <w:rsid w:val="00DC74C2"/>
    <w:rsid w:val="00DF7EF8"/>
    <w:rsid w:val="00E006F5"/>
    <w:rsid w:val="00E070AE"/>
    <w:rsid w:val="00E22F9A"/>
    <w:rsid w:val="00E24B81"/>
    <w:rsid w:val="00E364C1"/>
    <w:rsid w:val="00E42DE9"/>
    <w:rsid w:val="00E5407F"/>
    <w:rsid w:val="00E57BB1"/>
    <w:rsid w:val="00E65513"/>
    <w:rsid w:val="00E70AAC"/>
    <w:rsid w:val="00E70E6A"/>
    <w:rsid w:val="00E723C9"/>
    <w:rsid w:val="00E75C0C"/>
    <w:rsid w:val="00E77565"/>
    <w:rsid w:val="00E808FC"/>
    <w:rsid w:val="00E80DDB"/>
    <w:rsid w:val="00E82B2E"/>
    <w:rsid w:val="00E852C0"/>
    <w:rsid w:val="00E920AE"/>
    <w:rsid w:val="00E92BCB"/>
    <w:rsid w:val="00E95D08"/>
    <w:rsid w:val="00EA0976"/>
    <w:rsid w:val="00EA5649"/>
    <w:rsid w:val="00EB4681"/>
    <w:rsid w:val="00EC6E13"/>
    <w:rsid w:val="00ED6540"/>
    <w:rsid w:val="00ED7516"/>
    <w:rsid w:val="00EE34F3"/>
    <w:rsid w:val="00EE7002"/>
    <w:rsid w:val="00EF0C5D"/>
    <w:rsid w:val="00EF6BE8"/>
    <w:rsid w:val="00EF6C81"/>
    <w:rsid w:val="00F03096"/>
    <w:rsid w:val="00F058D7"/>
    <w:rsid w:val="00F07509"/>
    <w:rsid w:val="00F15766"/>
    <w:rsid w:val="00F15E9E"/>
    <w:rsid w:val="00F21E14"/>
    <w:rsid w:val="00F2214D"/>
    <w:rsid w:val="00F3043A"/>
    <w:rsid w:val="00F31704"/>
    <w:rsid w:val="00F351C2"/>
    <w:rsid w:val="00F43D7B"/>
    <w:rsid w:val="00F545E4"/>
    <w:rsid w:val="00F61A0C"/>
    <w:rsid w:val="00F6249B"/>
    <w:rsid w:val="00F65430"/>
    <w:rsid w:val="00F66466"/>
    <w:rsid w:val="00F7066B"/>
    <w:rsid w:val="00F73DC6"/>
    <w:rsid w:val="00F75189"/>
    <w:rsid w:val="00F82931"/>
    <w:rsid w:val="00F84917"/>
    <w:rsid w:val="00F849C7"/>
    <w:rsid w:val="00F92159"/>
    <w:rsid w:val="00F927A5"/>
    <w:rsid w:val="00F93E44"/>
    <w:rsid w:val="00F96D48"/>
    <w:rsid w:val="00F96EEA"/>
    <w:rsid w:val="00FA7086"/>
    <w:rsid w:val="00FB7BF1"/>
    <w:rsid w:val="00FC2720"/>
    <w:rsid w:val="00FD647D"/>
    <w:rsid w:val="00FE3214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F58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uiPriority w:val="99"/>
    <w:rsid w:val="002B10D6"/>
    <w:rPr>
      <w:rFonts w:cs="Times New Roman"/>
    </w:rPr>
  </w:style>
  <w:style w:type="character" w:styleId="a6">
    <w:name w:val="page number"/>
    <w:uiPriority w:val="99"/>
    <w:rsid w:val="00F849C7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721B5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721B5F"/>
  </w:style>
  <w:style w:type="character" w:customStyle="1" w:styleId="Char1">
    <w:name w:val="批注文字 Char"/>
    <w:basedOn w:val="a0"/>
    <w:link w:val="a8"/>
    <w:uiPriority w:val="99"/>
    <w:semiHidden/>
    <w:rsid w:val="00721B5F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21B5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721B5F"/>
    <w:rPr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721B5F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21B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uiPriority w:val="99"/>
    <w:rsid w:val="002B10D6"/>
    <w:rPr>
      <w:rFonts w:cs="Times New Roman"/>
    </w:rPr>
  </w:style>
  <w:style w:type="character" w:styleId="a6">
    <w:name w:val="page number"/>
    <w:uiPriority w:val="99"/>
    <w:rsid w:val="00F849C7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721B5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721B5F"/>
  </w:style>
  <w:style w:type="character" w:customStyle="1" w:styleId="Char1">
    <w:name w:val="批注文字 Char"/>
    <w:basedOn w:val="a0"/>
    <w:link w:val="a8"/>
    <w:uiPriority w:val="99"/>
    <w:semiHidden/>
    <w:rsid w:val="00721B5F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21B5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721B5F"/>
    <w:rPr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721B5F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21B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489D0F17-96C5-42F9-8EF7-1F01154BFF00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3991760C-6816-4D58-AD85-84907AA30B3D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1469</Characters>
  <Application>Microsoft Office Word</Application>
  <DocSecurity>0</DocSecurity>
  <Lines>12</Lines>
  <Paragraphs>3</Paragraphs>
  <ScaleCrop>false</ScaleCrop>
  <Company>微软中国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上海富瀚微电子股份有限公司投资者关系活动记录表</dc:title>
  <dc:creator>fengxj</dc:creator>
  <cp:lastModifiedBy>余滢</cp:lastModifiedBy>
  <cp:revision>2</cp:revision>
  <dcterms:created xsi:type="dcterms:W3CDTF">2020-11-06T09:11:00Z</dcterms:created>
  <dcterms:modified xsi:type="dcterms:W3CDTF">2020-11-06T09:11:00Z</dcterms:modified>
</cp:coreProperties>
</file>