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DA" w:rsidRDefault="00E220DA" w:rsidP="00C161E7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color w:val="000000"/>
          <w:sz w:val="24"/>
        </w:rPr>
        <w:t>证券代码：00</w:t>
      </w:r>
      <w:r w:rsidR="00C161E7">
        <w:rPr>
          <w:rFonts w:ascii="宋体" w:hAnsi="宋体" w:hint="eastAsia"/>
          <w:bCs/>
          <w:iCs/>
          <w:color w:val="000000"/>
          <w:sz w:val="24"/>
        </w:rPr>
        <w:t xml:space="preserve">0661                        </w:t>
      </w:r>
      <w:r w:rsidR="00C161E7">
        <w:rPr>
          <w:rFonts w:ascii="宋体" w:hAnsi="宋体"/>
          <w:bCs/>
          <w:iCs/>
          <w:color w:val="000000"/>
          <w:sz w:val="24"/>
        </w:rPr>
        <w:t xml:space="preserve">       </w:t>
      </w:r>
      <w:r w:rsidR="00C161E7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证券简称：长春高新</w:t>
      </w:r>
    </w:p>
    <w:p w:rsidR="00E220DA" w:rsidRDefault="00E220DA" w:rsidP="00E220DA">
      <w:pPr>
        <w:spacing w:beforeLines="50" w:before="156" w:afterLines="50" w:after="156" w:line="46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E220DA" w:rsidRDefault="00E220DA" w:rsidP="00E220DA">
      <w:pPr>
        <w:spacing w:beforeLines="50" w:before="156" w:afterLines="50" w:after="156" w:line="46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220DA" w:rsidRDefault="00E220DA" w:rsidP="00E220DA">
      <w:pPr>
        <w:wordWrap w:val="0"/>
        <w:spacing w:afterLines="50" w:after="156" w:line="460" w:lineRule="exact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编号</w:t>
      </w:r>
      <w:r>
        <w:rPr>
          <w:rFonts w:ascii="宋体" w:hAnsi="宋体"/>
          <w:sz w:val="24"/>
        </w:rPr>
        <w:t>：2020-00</w:t>
      </w:r>
      <w:r w:rsidR="007876FF">
        <w:rPr>
          <w:rFonts w:ascii="宋体" w:hAnsi="宋体"/>
          <w:sz w:val="24"/>
        </w:rPr>
        <w:t>3</w:t>
      </w:r>
    </w:p>
    <w:tbl>
      <w:tblPr>
        <w:tblpPr w:leftFromText="180" w:rightFromText="180" w:vertAnchor="text" w:horzAnchor="margin" w:tblpXSpec="center" w:tblpY="17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E220DA" w:rsidTr="00224D9E"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B5B54"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743973"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E220DA" w:rsidRDefault="00E220DA" w:rsidP="00224D9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</w:rPr>
              <w:tab/>
            </w:r>
          </w:p>
          <w:p w:rsidR="00E220DA" w:rsidRDefault="00FE492A" w:rsidP="00FE492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="00E220DA">
              <w:rPr>
                <w:rFonts w:ascii="宋体" w:hAnsi="宋体" w:hint="eastAsia"/>
                <w:sz w:val="24"/>
              </w:rPr>
              <w:t xml:space="preserve">其他 </w:t>
            </w:r>
            <w:r w:rsidR="009A1120" w:rsidRPr="009A1120">
              <w:rPr>
                <w:rFonts w:ascii="宋体" w:hAnsi="宋体"/>
                <w:sz w:val="24"/>
                <w:u w:val="single"/>
              </w:rPr>
              <w:t xml:space="preserve"> </w:t>
            </w:r>
            <w:r w:rsidR="00565D87">
              <w:rPr>
                <w:rFonts w:ascii="宋体" w:hAnsi="宋体" w:hint="eastAsia"/>
                <w:sz w:val="24"/>
                <w:u w:val="single"/>
              </w:rPr>
              <w:t>券商电话</w:t>
            </w:r>
            <w:r w:rsidR="008A11C5">
              <w:rPr>
                <w:rFonts w:ascii="宋体" w:hAnsi="宋体" w:hint="eastAsia"/>
                <w:sz w:val="24"/>
                <w:u w:val="single"/>
              </w:rPr>
              <w:t>、</w:t>
            </w:r>
            <w:r w:rsidR="008A11C5">
              <w:rPr>
                <w:rFonts w:ascii="宋体" w:hAnsi="宋体"/>
                <w:sz w:val="24"/>
                <w:u w:val="single"/>
              </w:rPr>
              <w:t>网络</w:t>
            </w:r>
            <w:r w:rsidR="00565D87">
              <w:rPr>
                <w:rFonts w:ascii="宋体" w:hAnsi="宋体" w:hint="eastAsia"/>
                <w:sz w:val="24"/>
                <w:u w:val="single"/>
              </w:rPr>
              <w:t>策略会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9A1120"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  <w:tr w:rsidR="00E220DA" w:rsidRPr="009145D9" w:rsidTr="004C15F7">
        <w:trPr>
          <w:trHeight w:val="4095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7A28D5" w:rsidRPr="009145D9" w:rsidRDefault="009145D9" w:rsidP="00AE0AAC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9145D9">
              <w:rPr>
                <w:rFonts w:ascii="宋体" w:hAnsi="宋体" w:hint="eastAsia"/>
                <w:bCs/>
                <w:iCs/>
                <w:sz w:val="24"/>
              </w:rPr>
              <w:t>百年资产、博道基金、大家资产、德邦基金、</w:t>
            </w:r>
            <w:r w:rsidR="00C401C5">
              <w:rPr>
                <w:rFonts w:ascii="宋体" w:hAnsi="宋体" w:hint="eastAsia"/>
                <w:bCs/>
                <w:iCs/>
                <w:sz w:val="24"/>
              </w:rPr>
              <w:t>东吴证券、</w:t>
            </w:r>
            <w:r w:rsidRPr="009145D9">
              <w:rPr>
                <w:rFonts w:ascii="宋体" w:hAnsi="宋体" w:hint="eastAsia"/>
                <w:bCs/>
                <w:iCs/>
                <w:sz w:val="24"/>
              </w:rPr>
              <w:t>东方基金、方正富邦、国投瑞银基金、恒越基金、弘尚资本、华创自营、华泰柏瑞、华泰资管、金信基金、金元顺安基金、景顺长城、民生加银基金、摩根士丹利</w:t>
            </w:r>
            <w:r w:rsidR="007876F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9145D9">
              <w:rPr>
                <w:rFonts w:ascii="宋体" w:hAnsi="宋体" w:hint="eastAsia"/>
                <w:bCs/>
                <w:iCs/>
                <w:sz w:val="24"/>
              </w:rPr>
              <w:t>华鑫基金、鹏华基金、鹏扬基金、平安基金、平安养老、融通基金、山证资管、太平养老、泰康资产、新华基金、长盛基金、浙商资管、3W Fund、Black Rock、MIGHTY DIVINE</w:t>
            </w:r>
            <w:r>
              <w:rPr>
                <w:rFonts w:ascii="宋体" w:hAnsi="宋体" w:hint="eastAsia"/>
                <w:bCs/>
                <w:iCs/>
                <w:sz w:val="24"/>
              </w:rPr>
              <w:t>共计3</w:t>
            </w:r>
            <w:r w:rsidR="007876FF">
              <w:rPr>
                <w:rFonts w:ascii="宋体" w:hAnsi="宋体"/>
                <w:bCs/>
                <w:iCs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</w:rPr>
              <w:t>家机构4</w:t>
            </w:r>
            <w:r w:rsidR="00C401C5">
              <w:rPr>
                <w:rFonts w:ascii="宋体" w:hAnsi="宋体"/>
                <w:bCs/>
                <w:iCs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</w:rPr>
              <w:t>名参会人员及</w:t>
            </w:r>
            <w:r w:rsidR="008A11C5">
              <w:rPr>
                <w:rFonts w:ascii="宋体" w:hAnsi="宋体" w:hint="eastAsia"/>
                <w:bCs/>
                <w:iCs/>
                <w:sz w:val="24"/>
              </w:rPr>
              <w:t>相关</w:t>
            </w:r>
            <w:r w:rsidR="00645529">
              <w:rPr>
                <w:rFonts w:ascii="宋体" w:hAnsi="宋体" w:hint="eastAsia"/>
                <w:bCs/>
                <w:iCs/>
                <w:sz w:val="24"/>
              </w:rPr>
              <w:t>wind</w:t>
            </w:r>
            <w:r w:rsidR="00AE0AAC">
              <w:rPr>
                <w:rFonts w:ascii="宋体" w:hAnsi="宋体" w:hint="eastAsia"/>
                <w:bCs/>
                <w:iCs/>
                <w:sz w:val="24"/>
              </w:rPr>
              <w:t>系统</w:t>
            </w:r>
            <w:r>
              <w:rPr>
                <w:rFonts w:ascii="宋体" w:hAnsi="宋体" w:hint="eastAsia"/>
                <w:bCs/>
                <w:iCs/>
                <w:sz w:val="24"/>
              </w:rPr>
              <w:t>网络</w:t>
            </w:r>
            <w:r w:rsidR="008A11C5">
              <w:rPr>
                <w:rFonts w:ascii="宋体" w:hAnsi="宋体" w:hint="eastAsia"/>
                <w:bCs/>
                <w:iCs/>
                <w:sz w:val="24"/>
              </w:rPr>
              <w:t>参会用户</w:t>
            </w:r>
          </w:p>
        </w:tc>
      </w:tr>
      <w:tr w:rsidR="00E220DA" w:rsidTr="00C161E7">
        <w:trPr>
          <w:trHeight w:val="153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E220DA" w:rsidRDefault="00D32411" w:rsidP="00D3241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543F6F">
              <w:rPr>
                <w:rFonts w:ascii="宋体" w:hAnsi="宋体" w:hint="eastAsia"/>
                <w:bCs/>
                <w:iCs/>
                <w:sz w:val="24"/>
              </w:rPr>
              <w:t>1</w:t>
            </w:r>
            <w:r w:rsidR="00543F6F">
              <w:rPr>
                <w:rFonts w:ascii="宋体" w:hAnsi="宋体"/>
                <w:bCs/>
                <w:iCs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543F6F">
              <w:rPr>
                <w:rFonts w:ascii="宋体" w:hAnsi="宋体" w:hint="eastAsia"/>
                <w:bCs/>
                <w:iCs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</w:rPr>
              <w:t>日</w:t>
            </w:r>
            <w:r w:rsidR="00654F9F">
              <w:rPr>
                <w:rFonts w:ascii="宋体" w:hAnsi="宋体" w:hint="eastAsia"/>
                <w:bCs/>
                <w:iCs/>
                <w:sz w:val="24"/>
              </w:rPr>
              <w:t>16:00-17:00</w:t>
            </w:r>
          </w:p>
        </w:tc>
      </w:tr>
      <w:tr w:rsidR="00E220DA" w:rsidTr="00C161E7">
        <w:trPr>
          <w:trHeight w:val="58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E220DA" w:rsidRDefault="007A28D5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电话会议</w:t>
            </w:r>
          </w:p>
        </w:tc>
      </w:tr>
      <w:tr w:rsidR="00E220DA" w:rsidTr="00C161E7"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董事会</w:t>
            </w:r>
            <w:r>
              <w:rPr>
                <w:rFonts w:ascii="宋体" w:hAnsi="宋体"/>
                <w:bCs/>
                <w:iCs/>
                <w:sz w:val="24"/>
              </w:rPr>
              <w:t>秘书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张德申</w:t>
            </w:r>
            <w:r>
              <w:rPr>
                <w:rFonts w:ascii="宋体" w:hAnsi="宋体"/>
                <w:bCs/>
                <w:iCs/>
                <w:sz w:val="24"/>
              </w:rPr>
              <w:t>先生</w:t>
            </w:r>
          </w:p>
        </w:tc>
      </w:tr>
      <w:tr w:rsidR="00E220DA" w:rsidTr="00224D9E">
        <w:trPr>
          <w:trHeight w:val="1757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404B5D" w:rsidRPr="00162E2C" w:rsidRDefault="00404B5D" w:rsidP="00404B5D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问：</w:t>
            </w:r>
            <w:r w:rsidR="00F702D7">
              <w:rPr>
                <w:rFonts w:hint="eastAsia"/>
                <w:b/>
                <w:bCs/>
                <w:iCs/>
                <w:sz w:val="24"/>
              </w:rPr>
              <w:t>金赛药业生长激素</w:t>
            </w:r>
            <w:r w:rsidR="00F702D7" w:rsidRPr="00F702D7">
              <w:rPr>
                <w:rFonts w:hint="eastAsia"/>
                <w:b/>
                <w:bCs/>
                <w:iCs/>
                <w:sz w:val="24"/>
              </w:rPr>
              <w:t>新患入组恢复情况</w:t>
            </w:r>
            <w:r w:rsidR="00F702D7">
              <w:rPr>
                <w:rFonts w:hint="eastAsia"/>
                <w:b/>
                <w:bCs/>
                <w:iCs/>
                <w:sz w:val="24"/>
              </w:rPr>
              <w:t>如何</w:t>
            </w:r>
            <w:r w:rsidRPr="00162E2C">
              <w:rPr>
                <w:b/>
                <w:bCs/>
                <w:iCs/>
                <w:sz w:val="24"/>
              </w:rPr>
              <w:t>？</w:t>
            </w:r>
          </w:p>
          <w:p w:rsidR="00F702D7" w:rsidRPr="00F702D7" w:rsidRDefault="00F702D7" w:rsidP="00F702D7">
            <w:pPr>
              <w:spacing w:line="480" w:lineRule="atLeast"/>
              <w:ind w:firstLineChars="200" w:firstLine="482"/>
              <w:rPr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Pr="00014FD2">
              <w:rPr>
                <w:rFonts w:hint="eastAsia"/>
                <w:iCs/>
                <w:sz w:val="24"/>
              </w:rPr>
              <w:t>由于疫情逐步得到控制，</w:t>
            </w:r>
            <w:r w:rsidR="004A7726">
              <w:rPr>
                <w:rFonts w:hint="eastAsia"/>
                <w:iCs/>
                <w:sz w:val="24"/>
              </w:rPr>
              <w:t>鉴于前期市场开拓基础和产品较高的覆盖程度，新患入组恢复情况较为乐观，从十月份情况来看</w:t>
            </w:r>
            <w:r w:rsidRPr="00014FD2">
              <w:rPr>
                <w:rFonts w:hint="eastAsia"/>
                <w:iCs/>
                <w:sz w:val="24"/>
              </w:rPr>
              <w:t>新患入组</w:t>
            </w:r>
            <w:r w:rsidR="004A7726">
              <w:rPr>
                <w:rFonts w:hint="eastAsia"/>
                <w:iCs/>
                <w:sz w:val="24"/>
              </w:rPr>
              <w:t>恢复</w:t>
            </w:r>
            <w:r w:rsidRPr="00014FD2">
              <w:rPr>
                <w:rFonts w:hint="eastAsia"/>
                <w:iCs/>
                <w:sz w:val="24"/>
              </w:rPr>
              <w:t>情况良好</w:t>
            </w:r>
            <w:r w:rsidR="00CA49A6">
              <w:rPr>
                <w:rFonts w:hint="eastAsia"/>
                <w:iCs/>
                <w:sz w:val="24"/>
              </w:rPr>
              <w:t>。</w:t>
            </w:r>
          </w:p>
          <w:p w:rsidR="00014FD2" w:rsidRDefault="00014FD2" w:rsidP="00014FD2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</w:p>
          <w:p w:rsidR="00732FBB" w:rsidRPr="00C80702" w:rsidRDefault="00014FD2" w:rsidP="00732FBB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lastRenderedPageBreak/>
              <w:t>问：生长激素</w:t>
            </w:r>
            <w:r w:rsidR="007A611A">
              <w:rPr>
                <w:rFonts w:hint="eastAsia"/>
                <w:b/>
                <w:bCs/>
                <w:iCs/>
                <w:sz w:val="24"/>
              </w:rPr>
              <w:t>各</w:t>
            </w:r>
            <w:r w:rsidR="007A611A">
              <w:rPr>
                <w:b/>
                <w:bCs/>
                <w:iCs/>
                <w:sz w:val="24"/>
              </w:rPr>
              <w:t>产品</w:t>
            </w:r>
            <w:r w:rsidR="007A611A">
              <w:rPr>
                <w:rFonts w:hint="eastAsia"/>
                <w:b/>
                <w:bCs/>
                <w:iCs/>
                <w:sz w:val="24"/>
              </w:rPr>
              <w:t>收入</w:t>
            </w:r>
            <w:r w:rsidR="007A611A">
              <w:rPr>
                <w:b/>
                <w:bCs/>
                <w:iCs/>
                <w:sz w:val="24"/>
              </w:rPr>
              <w:t>占</w:t>
            </w:r>
            <w:r w:rsidR="007A611A">
              <w:rPr>
                <w:rFonts w:hint="eastAsia"/>
                <w:b/>
                <w:bCs/>
                <w:iCs/>
                <w:sz w:val="24"/>
              </w:rPr>
              <w:t>比情况？是否有纳入集采的可能</w:t>
            </w:r>
            <w:r>
              <w:rPr>
                <w:rFonts w:hint="eastAsia"/>
                <w:b/>
                <w:bCs/>
                <w:iCs/>
                <w:sz w:val="24"/>
              </w:rPr>
              <w:t>？</w:t>
            </w:r>
            <w:r w:rsidR="00732FBB">
              <w:rPr>
                <w:rFonts w:hint="eastAsia"/>
                <w:b/>
                <w:bCs/>
                <w:iCs/>
                <w:sz w:val="24"/>
              </w:rPr>
              <w:t>生长激素</w:t>
            </w:r>
            <w:r w:rsidR="00732FBB" w:rsidRPr="00C80702">
              <w:rPr>
                <w:rFonts w:hint="eastAsia"/>
                <w:b/>
                <w:bCs/>
                <w:iCs/>
                <w:sz w:val="24"/>
              </w:rPr>
              <w:t>生产是</w:t>
            </w:r>
            <w:r w:rsidR="00732FBB">
              <w:rPr>
                <w:rFonts w:hint="eastAsia"/>
                <w:b/>
                <w:bCs/>
                <w:iCs/>
                <w:sz w:val="24"/>
              </w:rPr>
              <w:t>否</w:t>
            </w:r>
            <w:r w:rsidR="00732FBB" w:rsidRPr="00C80702">
              <w:rPr>
                <w:rFonts w:hint="eastAsia"/>
                <w:b/>
                <w:bCs/>
                <w:iCs/>
                <w:sz w:val="24"/>
              </w:rPr>
              <w:t>满负荷？</w:t>
            </w:r>
          </w:p>
          <w:p w:rsidR="007A611A" w:rsidRDefault="00014FD2" w:rsidP="00014FD2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="007A611A" w:rsidRPr="00162E2C">
              <w:rPr>
                <w:bCs/>
                <w:iCs/>
                <w:sz w:val="24"/>
              </w:rPr>
              <w:t>前三季度生长激素</w:t>
            </w:r>
            <w:r w:rsidR="007A611A">
              <w:rPr>
                <w:rFonts w:hint="eastAsia"/>
                <w:bCs/>
                <w:iCs/>
                <w:sz w:val="24"/>
              </w:rPr>
              <w:t>产品中</w:t>
            </w:r>
            <w:r w:rsidR="007A611A">
              <w:rPr>
                <w:bCs/>
                <w:iCs/>
                <w:sz w:val="24"/>
              </w:rPr>
              <w:t>，</w:t>
            </w:r>
            <w:r w:rsidR="007A611A" w:rsidRPr="00162E2C">
              <w:rPr>
                <w:bCs/>
                <w:iCs/>
                <w:sz w:val="24"/>
              </w:rPr>
              <w:t>粉针</w:t>
            </w:r>
            <w:r w:rsidR="007A611A">
              <w:rPr>
                <w:rFonts w:hint="eastAsia"/>
                <w:bCs/>
                <w:iCs/>
                <w:sz w:val="24"/>
              </w:rPr>
              <w:t>营业收入</w:t>
            </w:r>
            <w:r w:rsidR="007A611A" w:rsidRPr="00162E2C">
              <w:rPr>
                <w:bCs/>
                <w:iCs/>
                <w:sz w:val="24"/>
              </w:rPr>
              <w:t>占比略有降低，水针</w:t>
            </w:r>
            <w:r w:rsidR="007A611A">
              <w:rPr>
                <w:rFonts w:hint="eastAsia"/>
                <w:bCs/>
                <w:iCs/>
                <w:sz w:val="24"/>
              </w:rPr>
              <w:t>营业收入占比</w:t>
            </w:r>
            <w:r w:rsidR="007A611A" w:rsidRPr="00162E2C">
              <w:rPr>
                <w:bCs/>
                <w:iCs/>
                <w:sz w:val="24"/>
              </w:rPr>
              <w:t>增幅相对较大，目前占比近</w:t>
            </w:r>
            <w:r w:rsidR="007A611A" w:rsidRPr="00162E2C">
              <w:rPr>
                <w:bCs/>
                <w:iCs/>
                <w:sz w:val="24"/>
              </w:rPr>
              <w:t>80%</w:t>
            </w:r>
            <w:r w:rsidR="007A611A" w:rsidRPr="00162E2C">
              <w:rPr>
                <w:bCs/>
                <w:iCs/>
                <w:sz w:val="24"/>
              </w:rPr>
              <w:t>；长效也有一定增幅，占比大概接近</w:t>
            </w:r>
            <w:r w:rsidR="007A611A" w:rsidRPr="00162E2C">
              <w:rPr>
                <w:bCs/>
                <w:iCs/>
                <w:sz w:val="24"/>
              </w:rPr>
              <w:t>12%</w:t>
            </w:r>
            <w:r w:rsidR="007A611A" w:rsidRPr="00162E2C">
              <w:rPr>
                <w:bCs/>
                <w:iCs/>
                <w:sz w:val="24"/>
              </w:rPr>
              <w:t>。</w:t>
            </w:r>
          </w:p>
          <w:p w:rsidR="00C80702" w:rsidRPr="00732FBB" w:rsidRDefault="007A611A" w:rsidP="00732FBB">
            <w:pPr>
              <w:spacing w:line="480" w:lineRule="atLeast"/>
              <w:ind w:firstLineChars="200" w:firstLine="480"/>
              <w:rPr>
                <w:iCs/>
                <w:sz w:val="24"/>
              </w:rPr>
            </w:pPr>
            <w:r w:rsidRPr="007A611A">
              <w:rPr>
                <w:rFonts w:hint="eastAsia"/>
                <w:iCs/>
                <w:sz w:val="24"/>
              </w:rPr>
              <w:t>目前国家政策还不是十分明确，</w:t>
            </w:r>
            <w:r w:rsidR="00732FBB">
              <w:rPr>
                <w:rFonts w:hint="eastAsia"/>
                <w:iCs/>
                <w:sz w:val="24"/>
              </w:rPr>
              <w:t>预计</w:t>
            </w:r>
            <w:r w:rsidR="00014FD2" w:rsidRPr="00014FD2">
              <w:rPr>
                <w:rFonts w:hint="eastAsia"/>
                <w:iCs/>
                <w:sz w:val="24"/>
              </w:rPr>
              <w:t>粉针</w:t>
            </w:r>
            <w:r w:rsidR="00732FBB">
              <w:rPr>
                <w:rFonts w:hint="eastAsia"/>
                <w:iCs/>
                <w:sz w:val="24"/>
              </w:rPr>
              <w:t>存在</w:t>
            </w:r>
            <w:r w:rsidR="004C15F7">
              <w:rPr>
                <w:rFonts w:hint="eastAsia"/>
                <w:iCs/>
                <w:sz w:val="24"/>
              </w:rPr>
              <w:t>纳入集采可能</w:t>
            </w:r>
            <w:r w:rsidR="00732FBB">
              <w:rPr>
                <w:rFonts w:hint="eastAsia"/>
                <w:iCs/>
                <w:sz w:val="24"/>
              </w:rPr>
              <w:t>，</w:t>
            </w:r>
            <w:r w:rsidR="00014FD2" w:rsidRPr="00014FD2">
              <w:rPr>
                <w:rFonts w:hint="eastAsia"/>
                <w:iCs/>
                <w:sz w:val="24"/>
              </w:rPr>
              <w:t>水针可能性不大，长效目前</w:t>
            </w:r>
            <w:r w:rsidR="00732FBB">
              <w:rPr>
                <w:rFonts w:hint="eastAsia"/>
                <w:iCs/>
                <w:sz w:val="24"/>
              </w:rPr>
              <w:t>暂时</w:t>
            </w:r>
            <w:r w:rsidR="00014FD2" w:rsidRPr="00014FD2">
              <w:rPr>
                <w:rFonts w:hint="eastAsia"/>
                <w:iCs/>
                <w:sz w:val="24"/>
              </w:rPr>
              <w:t>没有</w:t>
            </w:r>
            <w:r w:rsidR="002317D9">
              <w:rPr>
                <w:rFonts w:hint="eastAsia"/>
                <w:iCs/>
                <w:sz w:val="24"/>
              </w:rPr>
              <w:t>可能</w:t>
            </w:r>
            <w:r w:rsidR="00732FBB">
              <w:rPr>
                <w:rFonts w:hint="eastAsia"/>
                <w:iCs/>
                <w:sz w:val="24"/>
              </w:rPr>
              <w:t>，</w:t>
            </w:r>
            <w:r w:rsidR="00732FBB">
              <w:rPr>
                <w:iCs/>
                <w:sz w:val="24"/>
              </w:rPr>
              <w:t>公司</w:t>
            </w:r>
            <w:r w:rsidR="00732FBB">
              <w:rPr>
                <w:rFonts w:hint="eastAsia"/>
                <w:iCs/>
                <w:sz w:val="24"/>
              </w:rPr>
              <w:t>将</w:t>
            </w:r>
            <w:r w:rsidR="00732FBB" w:rsidRPr="004C15F7">
              <w:rPr>
                <w:rFonts w:hint="eastAsia"/>
                <w:iCs/>
                <w:sz w:val="24"/>
              </w:rPr>
              <w:t>积极关注</w:t>
            </w:r>
            <w:r w:rsidR="00732FBB">
              <w:rPr>
                <w:rFonts w:hint="eastAsia"/>
                <w:iCs/>
                <w:sz w:val="24"/>
              </w:rPr>
              <w:t>相关政策变化，目前还没有现实</w:t>
            </w:r>
            <w:r w:rsidR="00BB2F78">
              <w:rPr>
                <w:rFonts w:hint="eastAsia"/>
                <w:iCs/>
                <w:sz w:val="24"/>
              </w:rPr>
              <w:t>经营</w:t>
            </w:r>
            <w:r w:rsidR="00732FBB">
              <w:rPr>
                <w:rFonts w:hint="eastAsia"/>
                <w:iCs/>
                <w:sz w:val="24"/>
              </w:rPr>
              <w:t>风险</w:t>
            </w:r>
            <w:r w:rsidR="00014FD2">
              <w:rPr>
                <w:rFonts w:hint="eastAsia"/>
                <w:iCs/>
                <w:sz w:val="24"/>
              </w:rPr>
              <w:t>。</w:t>
            </w:r>
            <w:r w:rsidR="004C15F7">
              <w:rPr>
                <w:rFonts w:hint="eastAsia"/>
                <w:iCs/>
                <w:sz w:val="24"/>
              </w:rPr>
              <w:t>公司产能充足，</w:t>
            </w:r>
            <w:r w:rsidR="00DA4C9A">
              <w:rPr>
                <w:rFonts w:hint="eastAsia"/>
                <w:iCs/>
                <w:sz w:val="24"/>
              </w:rPr>
              <w:t>目前</w:t>
            </w:r>
            <w:r w:rsidR="00732FBB">
              <w:rPr>
                <w:rFonts w:hint="eastAsia"/>
                <w:iCs/>
                <w:sz w:val="24"/>
              </w:rPr>
              <w:t>基本满负荷生产。</w:t>
            </w:r>
          </w:p>
          <w:p w:rsidR="00732FBB" w:rsidRDefault="00732FBB" w:rsidP="003E634D">
            <w:pPr>
              <w:spacing w:line="480" w:lineRule="atLeast"/>
              <w:ind w:firstLineChars="200" w:firstLine="480"/>
              <w:rPr>
                <w:iCs/>
                <w:sz w:val="24"/>
              </w:rPr>
            </w:pPr>
          </w:p>
          <w:p w:rsidR="00192E49" w:rsidRPr="003E634D" w:rsidRDefault="00192E49" w:rsidP="00192E49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t>问：</w:t>
            </w:r>
            <w:r w:rsidRPr="003E634D">
              <w:rPr>
                <w:rFonts w:hint="eastAsia"/>
                <w:b/>
                <w:bCs/>
                <w:iCs/>
                <w:sz w:val="24"/>
              </w:rPr>
              <w:t>金赛</w:t>
            </w:r>
            <w:r>
              <w:rPr>
                <w:rFonts w:hint="eastAsia"/>
                <w:b/>
                <w:bCs/>
                <w:iCs/>
                <w:sz w:val="24"/>
              </w:rPr>
              <w:t>药业</w:t>
            </w:r>
            <w:r w:rsidRPr="003E634D">
              <w:rPr>
                <w:rFonts w:hint="eastAsia"/>
                <w:b/>
                <w:bCs/>
                <w:iCs/>
                <w:sz w:val="24"/>
              </w:rPr>
              <w:t>有没有安排儿童早发育方面</w:t>
            </w:r>
            <w:r>
              <w:rPr>
                <w:rFonts w:hint="eastAsia"/>
                <w:b/>
                <w:bCs/>
                <w:iCs/>
                <w:sz w:val="24"/>
              </w:rPr>
              <w:t>产品？</w:t>
            </w:r>
            <w:r w:rsidRPr="00F702D7">
              <w:rPr>
                <w:rFonts w:hint="eastAsia"/>
                <w:b/>
                <w:bCs/>
                <w:iCs/>
                <w:sz w:val="24"/>
              </w:rPr>
              <w:t>非生长激素板块</w:t>
            </w:r>
            <w:r>
              <w:rPr>
                <w:rFonts w:hint="eastAsia"/>
                <w:b/>
                <w:bCs/>
                <w:iCs/>
                <w:sz w:val="24"/>
              </w:rPr>
              <w:t>有哪些潜力品种及其进展情况</w:t>
            </w:r>
            <w:r w:rsidRPr="00F702D7">
              <w:rPr>
                <w:rFonts w:hint="eastAsia"/>
                <w:b/>
                <w:bCs/>
                <w:iCs/>
                <w:sz w:val="24"/>
              </w:rPr>
              <w:t>？</w:t>
            </w:r>
          </w:p>
          <w:p w:rsidR="00192E49" w:rsidRDefault="00192E49" w:rsidP="00192E49">
            <w:pPr>
              <w:spacing w:line="480" w:lineRule="atLeast"/>
              <w:ind w:firstLineChars="200" w:firstLine="482"/>
              <w:rPr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t>答：</w:t>
            </w:r>
            <w:r w:rsidRPr="003E634D">
              <w:rPr>
                <w:rFonts w:hint="eastAsia"/>
                <w:iCs/>
                <w:sz w:val="24"/>
              </w:rPr>
              <w:t>金赛药业有布局包括抑制性早熟在内的</w:t>
            </w:r>
            <w:r>
              <w:rPr>
                <w:rFonts w:hint="eastAsia"/>
                <w:iCs/>
                <w:sz w:val="24"/>
              </w:rPr>
              <w:t>儿科系列</w:t>
            </w:r>
            <w:r w:rsidRPr="003E634D">
              <w:rPr>
                <w:rFonts w:hint="eastAsia"/>
                <w:iCs/>
                <w:sz w:val="24"/>
              </w:rPr>
              <w:t>产品。</w:t>
            </w:r>
          </w:p>
          <w:p w:rsidR="00192E49" w:rsidRPr="00014FD2" w:rsidRDefault="00192E49" w:rsidP="00192E49">
            <w:pPr>
              <w:spacing w:line="480" w:lineRule="atLeast"/>
              <w:ind w:firstLineChars="200" w:firstLine="480"/>
              <w:rPr>
                <w:iCs/>
                <w:sz w:val="24"/>
              </w:rPr>
            </w:pPr>
            <w:r w:rsidRPr="00014FD2">
              <w:rPr>
                <w:rFonts w:hint="eastAsia"/>
                <w:iCs/>
                <w:sz w:val="24"/>
              </w:rPr>
              <w:t>生长激素非儿科适应症在临床，预计</w:t>
            </w:r>
            <w:r>
              <w:rPr>
                <w:rFonts w:hint="eastAsia"/>
                <w:iCs/>
                <w:sz w:val="24"/>
              </w:rPr>
              <w:t>在</w:t>
            </w:r>
            <w:r>
              <w:rPr>
                <w:rFonts w:hint="eastAsia"/>
                <w:iCs/>
                <w:sz w:val="24"/>
              </w:rPr>
              <w:t>2</w:t>
            </w:r>
            <w:r>
              <w:rPr>
                <w:iCs/>
                <w:sz w:val="24"/>
              </w:rPr>
              <w:t>0</w:t>
            </w:r>
            <w:r w:rsidRPr="00014FD2">
              <w:rPr>
                <w:rFonts w:hint="eastAsia"/>
                <w:iCs/>
                <w:sz w:val="24"/>
              </w:rPr>
              <w:t>23</w:t>
            </w:r>
            <w:r>
              <w:rPr>
                <w:rFonts w:hint="eastAsia"/>
                <w:iCs/>
                <w:sz w:val="24"/>
              </w:rPr>
              <w:t>年或</w:t>
            </w:r>
            <w:r>
              <w:rPr>
                <w:rFonts w:hint="eastAsia"/>
                <w:iCs/>
                <w:sz w:val="24"/>
              </w:rPr>
              <w:t>2</w:t>
            </w:r>
            <w:r>
              <w:rPr>
                <w:iCs/>
                <w:sz w:val="24"/>
              </w:rPr>
              <w:t>0</w:t>
            </w:r>
            <w:r w:rsidRPr="00014FD2">
              <w:rPr>
                <w:rFonts w:hint="eastAsia"/>
                <w:iCs/>
                <w:sz w:val="24"/>
              </w:rPr>
              <w:t>24</w:t>
            </w:r>
            <w:r w:rsidRPr="00014FD2">
              <w:rPr>
                <w:rFonts w:hint="eastAsia"/>
                <w:iCs/>
                <w:sz w:val="24"/>
              </w:rPr>
              <w:t>年</w:t>
            </w:r>
            <w:r>
              <w:rPr>
                <w:rFonts w:hint="eastAsia"/>
                <w:iCs/>
                <w:sz w:val="24"/>
              </w:rPr>
              <w:t>会有</w:t>
            </w:r>
            <w:r w:rsidRPr="00014FD2">
              <w:rPr>
                <w:rFonts w:hint="eastAsia"/>
                <w:iCs/>
                <w:sz w:val="24"/>
              </w:rPr>
              <w:t>新</w:t>
            </w:r>
            <w:r>
              <w:rPr>
                <w:rFonts w:hint="eastAsia"/>
                <w:iCs/>
                <w:sz w:val="24"/>
              </w:rPr>
              <w:t>适应症投入市场。</w:t>
            </w:r>
          </w:p>
          <w:p w:rsidR="00192E49" w:rsidRPr="00014FD2" w:rsidRDefault="00192E49" w:rsidP="00192E49">
            <w:pPr>
              <w:spacing w:line="480" w:lineRule="atLeast"/>
              <w:ind w:firstLineChars="200" w:firstLine="48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非生长激素在研产品目前有促卵泡激素（增加</w:t>
            </w:r>
            <w:r w:rsidRPr="0017203D">
              <w:rPr>
                <w:rFonts w:hint="eastAsia"/>
                <w:iCs/>
                <w:sz w:val="24"/>
              </w:rPr>
              <w:t>促进多卵泡发育作用</w:t>
            </w:r>
            <w:r>
              <w:rPr>
                <w:rFonts w:hint="eastAsia"/>
                <w:iCs/>
                <w:sz w:val="24"/>
              </w:rPr>
              <w:t>相关适应症）、曲普瑞林微球，预计</w:t>
            </w:r>
            <w:r>
              <w:rPr>
                <w:rFonts w:hint="eastAsia"/>
                <w:iCs/>
                <w:sz w:val="24"/>
              </w:rPr>
              <w:t>2</w:t>
            </w:r>
            <w:r>
              <w:rPr>
                <w:iCs/>
                <w:sz w:val="24"/>
              </w:rPr>
              <w:t>023</w:t>
            </w:r>
            <w:r>
              <w:rPr>
                <w:rFonts w:hint="eastAsia"/>
                <w:iCs/>
                <w:sz w:val="24"/>
              </w:rPr>
              <w:t>年、</w:t>
            </w:r>
            <w:r>
              <w:rPr>
                <w:rFonts w:hint="eastAsia"/>
                <w:iCs/>
                <w:sz w:val="24"/>
              </w:rPr>
              <w:t>2</w:t>
            </w:r>
            <w:r>
              <w:rPr>
                <w:iCs/>
                <w:sz w:val="24"/>
              </w:rPr>
              <w:t>024</w:t>
            </w:r>
            <w:r>
              <w:rPr>
                <w:rFonts w:hint="eastAsia"/>
                <w:iCs/>
                <w:sz w:val="24"/>
              </w:rPr>
              <w:t>年左右能够上市；治疗</w:t>
            </w:r>
            <w:r w:rsidRPr="00014FD2">
              <w:rPr>
                <w:rFonts w:hint="eastAsia"/>
                <w:iCs/>
                <w:sz w:val="24"/>
              </w:rPr>
              <w:t>肺癌</w:t>
            </w:r>
            <w:r>
              <w:rPr>
                <w:rFonts w:hint="eastAsia"/>
                <w:iCs/>
                <w:sz w:val="24"/>
              </w:rPr>
              <w:t>的</w:t>
            </w:r>
            <w:r w:rsidRPr="00014FD2">
              <w:rPr>
                <w:rFonts w:hint="eastAsia"/>
                <w:iCs/>
                <w:sz w:val="24"/>
              </w:rPr>
              <w:t>单抗</w:t>
            </w:r>
            <w:r>
              <w:rPr>
                <w:rFonts w:hint="eastAsia"/>
                <w:iCs/>
                <w:sz w:val="24"/>
              </w:rPr>
              <w:t>产品</w:t>
            </w:r>
            <w:r w:rsidRPr="00014FD2">
              <w:rPr>
                <w:rFonts w:hint="eastAsia"/>
                <w:iCs/>
                <w:sz w:val="24"/>
              </w:rPr>
              <w:t>正在</w:t>
            </w:r>
            <w:r>
              <w:rPr>
                <w:rFonts w:hint="eastAsia"/>
                <w:iCs/>
                <w:sz w:val="24"/>
              </w:rPr>
              <w:t>进行</w:t>
            </w:r>
            <w:r w:rsidRPr="00014FD2">
              <w:rPr>
                <w:rFonts w:hint="eastAsia"/>
                <w:iCs/>
                <w:sz w:val="24"/>
              </w:rPr>
              <w:t>临床</w:t>
            </w:r>
            <w:r>
              <w:rPr>
                <w:rFonts w:hint="eastAsia"/>
                <w:iCs/>
                <w:sz w:val="24"/>
              </w:rPr>
              <w:t>，预计</w:t>
            </w:r>
            <w:r w:rsidRPr="00014FD2">
              <w:rPr>
                <w:rFonts w:hint="eastAsia"/>
                <w:iCs/>
                <w:sz w:val="24"/>
              </w:rPr>
              <w:t xml:space="preserve"> 2024</w:t>
            </w:r>
            <w:r>
              <w:rPr>
                <w:rFonts w:hint="eastAsia"/>
                <w:iCs/>
                <w:sz w:val="24"/>
              </w:rPr>
              <w:t>年上市；治疗儿童</w:t>
            </w:r>
            <w:r w:rsidRPr="00192E49">
              <w:rPr>
                <w:rFonts w:hint="eastAsia"/>
                <w:iCs/>
                <w:sz w:val="24"/>
              </w:rPr>
              <w:t>关节炎</w:t>
            </w:r>
            <w:r>
              <w:rPr>
                <w:rFonts w:hint="eastAsia"/>
                <w:iCs/>
                <w:sz w:val="24"/>
              </w:rPr>
              <w:t>、</w:t>
            </w:r>
            <w:r w:rsidRPr="00014FD2">
              <w:rPr>
                <w:rFonts w:hint="eastAsia"/>
                <w:iCs/>
                <w:sz w:val="24"/>
              </w:rPr>
              <w:t>痛风</w:t>
            </w:r>
            <w:r>
              <w:rPr>
                <w:rFonts w:hint="eastAsia"/>
                <w:iCs/>
                <w:sz w:val="24"/>
              </w:rPr>
              <w:t>的单抗产品预计</w:t>
            </w:r>
            <w:r w:rsidRPr="00014FD2">
              <w:rPr>
                <w:rFonts w:hint="eastAsia"/>
                <w:iCs/>
                <w:sz w:val="24"/>
              </w:rPr>
              <w:t>2025</w:t>
            </w:r>
            <w:r w:rsidRPr="00014FD2">
              <w:rPr>
                <w:rFonts w:hint="eastAsia"/>
                <w:iCs/>
                <w:sz w:val="24"/>
              </w:rPr>
              <w:t>年末</w:t>
            </w:r>
            <w:r>
              <w:rPr>
                <w:rFonts w:hint="eastAsia"/>
                <w:iCs/>
                <w:sz w:val="24"/>
              </w:rPr>
              <w:t>到</w:t>
            </w:r>
            <w:r>
              <w:rPr>
                <w:rFonts w:hint="eastAsia"/>
                <w:iCs/>
                <w:sz w:val="24"/>
              </w:rPr>
              <w:t>2</w:t>
            </w:r>
            <w:r>
              <w:rPr>
                <w:iCs/>
                <w:sz w:val="24"/>
              </w:rPr>
              <w:t>026</w:t>
            </w:r>
            <w:r>
              <w:rPr>
                <w:rFonts w:hint="eastAsia"/>
                <w:iCs/>
                <w:sz w:val="24"/>
              </w:rPr>
              <w:t>年上市</w:t>
            </w:r>
            <w:r w:rsidR="0033546A">
              <w:rPr>
                <w:rFonts w:hint="eastAsia"/>
                <w:iCs/>
                <w:sz w:val="24"/>
              </w:rPr>
              <w:t>，</w:t>
            </w:r>
            <w:r w:rsidR="0033546A">
              <w:rPr>
                <w:iCs/>
                <w:sz w:val="24"/>
              </w:rPr>
              <w:t>治疗</w:t>
            </w:r>
            <w:r w:rsidR="0033546A" w:rsidRPr="0033546A">
              <w:rPr>
                <w:rFonts w:hint="eastAsia"/>
                <w:iCs/>
                <w:sz w:val="24"/>
              </w:rPr>
              <w:t>阿尔茨海默症（老年痴呆症）</w:t>
            </w:r>
            <w:r>
              <w:rPr>
                <w:rFonts w:hint="eastAsia"/>
                <w:iCs/>
                <w:sz w:val="24"/>
              </w:rPr>
              <w:t>等方面</w:t>
            </w:r>
            <w:r w:rsidR="0033546A">
              <w:rPr>
                <w:rFonts w:hint="eastAsia"/>
                <w:iCs/>
                <w:sz w:val="24"/>
              </w:rPr>
              <w:t>的</w:t>
            </w:r>
            <w:r w:rsidR="0033546A">
              <w:rPr>
                <w:iCs/>
                <w:sz w:val="24"/>
              </w:rPr>
              <w:t>产品</w:t>
            </w:r>
            <w:r>
              <w:rPr>
                <w:rFonts w:hint="eastAsia"/>
                <w:iCs/>
                <w:sz w:val="24"/>
              </w:rPr>
              <w:t>正在进行</w:t>
            </w:r>
            <w:r w:rsidRPr="00014FD2">
              <w:rPr>
                <w:rFonts w:hint="eastAsia"/>
                <w:iCs/>
                <w:sz w:val="24"/>
              </w:rPr>
              <w:t>临床前</w:t>
            </w:r>
            <w:r>
              <w:rPr>
                <w:rFonts w:hint="eastAsia"/>
                <w:iCs/>
                <w:sz w:val="24"/>
              </w:rPr>
              <w:t>研究。</w:t>
            </w:r>
          </w:p>
          <w:p w:rsidR="00192E49" w:rsidRDefault="00192E49" w:rsidP="003E634D">
            <w:pPr>
              <w:spacing w:line="480" w:lineRule="atLeast"/>
              <w:ind w:firstLineChars="200" w:firstLine="480"/>
              <w:rPr>
                <w:iCs/>
                <w:sz w:val="24"/>
              </w:rPr>
            </w:pPr>
          </w:p>
          <w:p w:rsidR="003E634D" w:rsidRPr="003E634D" w:rsidRDefault="003E634D" w:rsidP="003E634D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t>问：</w:t>
            </w:r>
            <w:r w:rsidRPr="003E634D">
              <w:rPr>
                <w:rFonts w:hint="eastAsia"/>
                <w:b/>
                <w:bCs/>
                <w:iCs/>
                <w:sz w:val="24"/>
              </w:rPr>
              <w:t>目前</w:t>
            </w:r>
            <w:r w:rsidR="00C80702">
              <w:rPr>
                <w:rFonts w:hint="eastAsia"/>
                <w:b/>
                <w:bCs/>
                <w:iCs/>
                <w:sz w:val="24"/>
              </w:rPr>
              <w:t>生长激素</w:t>
            </w:r>
            <w:r w:rsidR="007A611A">
              <w:rPr>
                <w:rFonts w:hint="eastAsia"/>
                <w:b/>
                <w:bCs/>
                <w:iCs/>
                <w:sz w:val="24"/>
              </w:rPr>
              <w:t>产品</w:t>
            </w:r>
            <w:r w:rsidR="007A611A">
              <w:rPr>
                <w:b/>
                <w:bCs/>
                <w:iCs/>
                <w:sz w:val="24"/>
              </w:rPr>
              <w:t>的市场</w:t>
            </w:r>
            <w:r w:rsidRPr="003E634D">
              <w:rPr>
                <w:rFonts w:hint="eastAsia"/>
                <w:b/>
                <w:bCs/>
                <w:iCs/>
                <w:sz w:val="24"/>
              </w:rPr>
              <w:t>渗透率</w:t>
            </w:r>
            <w:r w:rsidR="00C80702">
              <w:rPr>
                <w:rFonts w:hint="eastAsia"/>
                <w:b/>
                <w:bCs/>
                <w:iCs/>
                <w:sz w:val="24"/>
              </w:rPr>
              <w:t>如何？</w:t>
            </w:r>
          </w:p>
          <w:p w:rsidR="004C15F7" w:rsidRDefault="003E634D" w:rsidP="003E634D">
            <w:pPr>
              <w:spacing w:line="480" w:lineRule="atLeast"/>
              <w:ind w:firstLineChars="200" w:firstLine="482"/>
              <w:rPr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t>答：</w:t>
            </w:r>
            <w:r w:rsidRPr="003E634D">
              <w:rPr>
                <w:rFonts w:hint="eastAsia"/>
                <w:iCs/>
                <w:sz w:val="24"/>
              </w:rPr>
              <w:t>目前实际客户</w:t>
            </w:r>
            <w:r w:rsidR="00A871F3">
              <w:rPr>
                <w:rFonts w:hint="eastAsia"/>
                <w:iCs/>
                <w:sz w:val="24"/>
              </w:rPr>
              <w:t>覆盖</w:t>
            </w:r>
            <w:r w:rsidR="00A871F3">
              <w:rPr>
                <w:iCs/>
                <w:sz w:val="24"/>
              </w:rPr>
              <w:t>情况</w:t>
            </w:r>
            <w:r w:rsidRPr="003E634D">
              <w:rPr>
                <w:rFonts w:hint="eastAsia"/>
                <w:iCs/>
                <w:sz w:val="24"/>
              </w:rPr>
              <w:t>与预期市场有很大差距，市场空间较大</w:t>
            </w:r>
            <w:r w:rsidR="007A611A">
              <w:rPr>
                <w:rFonts w:hint="eastAsia"/>
                <w:iCs/>
                <w:sz w:val="24"/>
              </w:rPr>
              <w:t>。未来</w:t>
            </w:r>
            <w:r w:rsidRPr="003E634D">
              <w:rPr>
                <w:rFonts w:hint="eastAsia"/>
                <w:iCs/>
                <w:sz w:val="24"/>
              </w:rPr>
              <w:t>公司</w:t>
            </w:r>
            <w:r w:rsidR="007A611A">
              <w:rPr>
                <w:rFonts w:hint="eastAsia"/>
                <w:iCs/>
                <w:sz w:val="24"/>
              </w:rPr>
              <w:t>将</w:t>
            </w:r>
            <w:r w:rsidRPr="003E634D">
              <w:rPr>
                <w:rFonts w:hint="eastAsia"/>
                <w:iCs/>
                <w:sz w:val="24"/>
              </w:rPr>
              <w:t>依据产品</w:t>
            </w:r>
            <w:r w:rsidR="007A611A">
              <w:rPr>
                <w:rFonts w:hint="eastAsia"/>
                <w:iCs/>
                <w:sz w:val="24"/>
              </w:rPr>
              <w:t>现有</w:t>
            </w:r>
            <w:r w:rsidRPr="003E634D">
              <w:rPr>
                <w:rFonts w:hint="eastAsia"/>
                <w:iCs/>
                <w:sz w:val="24"/>
              </w:rPr>
              <w:t>优势等</w:t>
            </w:r>
            <w:r w:rsidR="007A611A">
              <w:rPr>
                <w:rFonts w:hint="eastAsia"/>
                <w:iCs/>
                <w:sz w:val="24"/>
              </w:rPr>
              <w:t>在</w:t>
            </w:r>
            <w:r w:rsidR="00340713">
              <w:rPr>
                <w:rFonts w:hint="eastAsia"/>
                <w:iCs/>
                <w:sz w:val="24"/>
              </w:rPr>
              <w:t>扩大</w:t>
            </w:r>
            <w:r w:rsidRPr="003E634D">
              <w:rPr>
                <w:rFonts w:hint="eastAsia"/>
                <w:iCs/>
                <w:sz w:val="24"/>
              </w:rPr>
              <w:t>市场占有率和</w:t>
            </w:r>
            <w:r w:rsidR="00340713" w:rsidRPr="003E634D">
              <w:rPr>
                <w:rFonts w:hint="eastAsia"/>
                <w:iCs/>
                <w:sz w:val="24"/>
              </w:rPr>
              <w:t>创新</w:t>
            </w:r>
            <w:r w:rsidRPr="003E634D">
              <w:rPr>
                <w:rFonts w:hint="eastAsia"/>
                <w:iCs/>
                <w:sz w:val="24"/>
              </w:rPr>
              <w:t>市场模式</w:t>
            </w:r>
            <w:r w:rsidR="00340713">
              <w:rPr>
                <w:rFonts w:hint="eastAsia"/>
                <w:iCs/>
                <w:sz w:val="24"/>
              </w:rPr>
              <w:t>等</w:t>
            </w:r>
            <w:r w:rsidRPr="003E634D">
              <w:rPr>
                <w:rFonts w:hint="eastAsia"/>
                <w:iCs/>
                <w:sz w:val="24"/>
              </w:rPr>
              <w:t>方面做一些工作。</w:t>
            </w:r>
          </w:p>
          <w:p w:rsidR="003E634D" w:rsidRDefault="003E634D" w:rsidP="003E634D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</w:p>
          <w:p w:rsidR="003E634D" w:rsidRPr="003E634D" w:rsidRDefault="003E634D" w:rsidP="003E634D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t>问：</w:t>
            </w:r>
            <w:r w:rsidRPr="003E634D">
              <w:rPr>
                <w:rFonts w:hint="eastAsia"/>
                <w:b/>
                <w:bCs/>
                <w:iCs/>
                <w:sz w:val="24"/>
              </w:rPr>
              <w:t>口服生长激素</w:t>
            </w:r>
            <w:r>
              <w:rPr>
                <w:rFonts w:hint="eastAsia"/>
                <w:b/>
                <w:bCs/>
                <w:iCs/>
                <w:sz w:val="24"/>
              </w:rPr>
              <w:t>情况如何？</w:t>
            </w:r>
          </w:p>
          <w:p w:rsidR="003E634D" w:rsidRPr="003E634D" w:rsidRDefault="003E634D" w:rsidP="003E634D">
            <w:pPr>
              <w:spacing w:line="480" w:lineRule="atLeast"/>
              <w:ind w:firstLineChars="200" w:firstLine="482"/>
              <w:rPr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lastRenderedPageBreak/>
              <w:t>答：</w:t>
            </w:r>
            <w:r w:rsidRPr="003E634D">
              <w:rPr>
                <w:rFonts w:hint="eastAsia"/>
                <w:iCs/>
                <w:sz w:val="24"/>
              </w:rPr>
              <w:t>目前</w:t>
            </w:r>
            <w:r w:rsidR="00C80702">
              <w:rPr>
                <w:rFonts w:hint="eastAsia"/>
                <w:iCs/>
                <w:sz w:val="24"/>
              </w:rPr>
              <w:t>，在</w:t>
            </w:r>
            <w:r w:rsidRPr="003E634D">
              <w:rPr>
                <w:rFonts w:hint="eastAsia"/>
                <w:iCs/>
                <w:sz w:val="24"/>
              </w:rPr>
              <w:t>原液出口</w:t>
            </w:r>
            <w:r w:rsidR="00C80702">
              <w:rPr>
                <w:rFonts w:hint="eastAsia"/>
                <w:iCs/>
                <w:sz w:val="24"/>
              </w:rPr>
              <w:t>方面</w:t>
            </w:r>
            <w:r w:rsidRPr="003E634D">
              <w:rPr>
                <w:rFonts w:hint="eastAsia"/>
                <w:iCs/>
                <w:sz w:val="24"/>
              </w:rPr>
              <w:t>还有一些工作要做，该技术逐渐成熟，公司有信心能够</w:t>
            </w:r>
            <w:r w:rsidR="0017203D">
              <w:rPr>
                <w:rFonts w:hint="eastAsia"/>
                <w:iCs/>
                <w:sz w:val="24"/>
              </w:rPr>
              <w:t>研发成功</w:t>
            </w:r>
            <w:r w:rsidR="00C80702">
              <w:rPr>
                <w:rFonts w:hint="eastAsia"/>
                <w:iCs/>
                <w:sz w:val="24"/>
              </w:rPr>
              <w:t>，</w:t>
            </w:r>
            <w:r w:rsidR="00C80702" w:rsidRPr="00C80702">
              <w:rPr>
                <w:rFonts w:hint="eastAsia"/>
                <w:iCs/>
                <w:sz w:val="24"/>
              </w:rPr>
              <w:t>暂无</w:t>
            </w:r>
            <w:r w:rsidR="0017203D">
              <w:rPr>
                <w:rFonts w:hint="eastAsia"/>
                <w:iCs/>
                <w:sz w:val="24"/>
              </w:rPr>
              <w:t>具体</w:t>
            </w:r>
            <w:r w:rsidR="00C80702" w:rsidRPr="00C80702">
              <w:rPr>
                <w:rFonts w:hint="eastAsia"/>
                <w:iCs/>
                <w:sz w:val="24"/>
              </w:rPr>
              <w:t>上市时间表</w:t>
            </w:r>
            <w:r w:rsidR="0017203D">
              <w:rPr>
                <w:rFonts w:hint="eastAsia"/>
                <w:iCs/>
                <w:sz w:val="24"/>
              </w:rPr>
              <w:t>。</w:t>
            </w:r>
          </w:p>
          <w:p w:rsidR="00C80702" w:rsidRDefault="00C80702" w:rsidP="003E634D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</w:p>
          <w:p w:rsidR="00E12717" w:rsidRPr="00E12717" w:rsidRDefault="00F702D7" w:rsidP="00E12717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t>问：</w:t>
            </w:r>
            <w:r w:rsidR="00E12717" w:rsidRPr="00E12717">
              <w:rPr>
                <w:rFonts w:hint="eastAsia"/>
                <w:b/>
                <w:bCs/>
                <w:iCs/>
                <w:sz w:val="24"/>
              </w:rPr>
              <w:t>鼻喷</w:t>
            </w:r>
            <w:r w:rsidR="00E12717">
              <w:rPr>
                <w:rFonts w:hint="eastAsia"/>
                <w:b/>
                <w:bCs/>
                <w:iCs/>
                <w:sz w:val="24"/>
              </w:rPr>
              <w:t>流感疫苗情况</w:t>
            </w:r>
            <w:r w:rsidR="00A04AA6">
              <w:rPr>
                <w:rFonts w:hint="eastAsia"/>
                <w:b/>
                <w:bCs/>
                <w:iCs/>
                <w:sz w:val="24"/>
              </w:rPr>
              <w:t>如何</w:t>
            </w:r>
            <w:r w:rsidR="00E12717" w:rsidRPr="00E12717">
              <w:rPr>
                <w:rFonts w:hint="eastAsia"/>
                <w:b/>
                <w:bCs/>
                <w:iCs/>
                <w:sz w:val="24"/>
              </w:rPr>
              <w:t>？</w:t>
            </w:r>
          </w:p>
          <w:p w:rsidR="00F702D7" w:rsidRDefault="00E12717" w:rsidP="00E12717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="00A04AA6" w:rsidRPr="00E12717">
              <w:rPr>
                <w:rFonts w:hint="eastAsia"/>
                <w:iCs/>
                <w:sz w:val="24"/>
              </w:rPr>
              <w:t>目前</w:t>
            </w:r>
            <w:r w:rsidR="00A04AA6">
              <w:rPr>
                <w:rFonts w:hint="eastAsia"/>
                <w:iCs/>
                <w:sz w:val="24"/>
              </w:rPr>
              <w:t>该产品</w:t>
            </w:r>
            <w:r w:rsidR="00A04AA6" w:rsidRPr="00E12717">
              <w:rPr>
                <w:rFonts w:hint="eastAsia"/>
                <w:iCs/>
                <w:sz w:val="24"/>
              </w:rPr>
              <w:t>批签发</w:t>
            </w:r>
            <w:r w:rsidR="00A04AA6">
              <w:rPr>
                <w:rFonts w:hint="eastAsia"/>
                <w:iCs/>
                <w:sz w:val="24"/>
              </w:rPr>
              <w:t>量</w:t>
            </w:r>
            <w:r w:rsidR="00A04AA6" w:rsidRPr="00E12717">
              <w:rPr>
                <w:rFonts w:hint="eastAsia"/>
                <w:iCs/>
                <w:sz w:val="24"/>
              </w:rPr>
              <w:t>1</w:t>
            </w:r>
            <w:r w:rsidR="00A04AA6">
              <w:rPr>
                <w:iCs/>
                <w:sz w:val="24"/>
              </w:rPr>
              <w:t>50</w:t>
            </w:r>
            <w:r w:rsidR="0033546A">
              <w:rPr>
                <w:rFonts w:hint="eastAsia"/>
                <w:iCs/>
                <w:sz w:val="24"/>
              </w:rPr>
              <w:t>多</w:t>
            </w:r>
            <w:r w:rsidR="00A04AA6" w:rsidRPr="00E12717">
              <w:rPr>
                <w:rFonts w:hint="eastAsia"/>
                <w:iCs/>
                <w:sz w:val="24"/>
              </w:rPr>
              <w:t>万份</w:t>
            </w:r>
            <w:r w:rsidR="00A04AA6">
              <w:rPr>
                <w:rFonts w:hint="eastAsia"/>
                <w:iCs/>
                <w:sz w:val="24"/>
              </w:rPr>
              <w:t>。</w:t>
            </w:r>
            <w:r w:rsidR="00A04AA6" w:rsidRPr="00A04AA6">
              <w:rPr>
                <w:rFonts w:hint="eastAsia"/>
                <w:iCs/>
                <w:sz w:val="24"/>
              </w:rPr>
              <w:t>由于该产品是</w:t>
            </w:r>
            <w:r w:rsidR="00A04AA6">
              <w:rPr>
                <w:rFonts w:hint="eastAsia"/>
                <w:iCs/>
                <w:sz w:val="24"/>
              </w:rPr>
              <w:t>新产品、新品种，其</w:t>
            </w:r>
            <w:r w:rsidR="00A04AA6" w:rsidRPr="00E12717">
              <w:rPr>
                <w:rFonts w:hint="eastAsia"/>
                <w:iCs/>
                <w:sz w:val="24"/>
              </w:rPr>
              <w:t>导入市场需要时间，百克</w:t>
            </w:r>
            <w:r w:rsidR="00A04AA6">
              <w:rPr>
                <w:rFonts w:hint="eastAsia"/>
                <w:iCs/>
                <w:sz w:val="24"/>
              </w:rPr>
              <w:t>生物</w:t>
            </w:r>
            <w:r w:rsidR="00A04AA6" w:rsidRPr="00E12717">
              <w:rPr>
                <w:rFonts w:hint="eastAsia"/>
                <w:iCs/>
                <w:sz w:val="24"/>
              </w:rPr>
              <w:t>对于今年生产计划</w:t>
            </w:r>
            <w:r w:rsidR="00A04AA6">
              <w:rPr>
                <w:rFonts w:hint="eastAsia"/>
                <w:iCs/>
                <w:sz w:val="24"/>
              </w:rPr>
              <w:t>相对</w:t>
            </w:r>
            <w:r w:rsidR="00A04AA6" w:rsidRPr="00E12717">
              <w:rPr>
                <w:rFonts w:hint="eastAsia"/>
                <w:iCs/>
                <w:sz w:val="24"/>
              </w:rPr>
              <w:t>保守。</w:t>
            </w:r>
            <w:r w:rsidR="0033546A">
              <w:rPr>
                <w:rFonts w:hint="eastAsia"/>
                <w:iCs/>
                <w:sz w:val="24"/>
              </w:rPr>
              <w:t>目前</w:t>
            </w:r>
            <w:r w:rsidR="00A04AA6">
              <w:rPr>
                <w:rFonts w:hint="eastAsia"/>
                <w:iCs/>
                <w:sz w:val="24"/>
              </w:rPr>
              <w:t>各地招标、补标进展顺利，</w:t>
            </w:r>
            <w:r w:rsidRPr="00E12717">
              <w:rPr>
                <w:rFonts w:hint="eastAsia"/>
                <w:iCs/>
                <w:sz w:val="24"/>
              </w:rPr>
              <w:t>销售情况良好，</w:t>
            </w:r>
            <w:r w:rsidR="0033546A">
              <w:rPr>
                <w:rFonts w:hint="eastAsia"/>
                <w:iCs/>
                <w:sz w:val="24"/>
              </w:rPr>
              <w:t>预计</w:t>
            </w:r>
            <w:r w:rsidRPr="00E12717">
              <w:rPr>
                <w:rFonts w:hint="eastAsia"/>
                <w:iCs/>
                <w:sz w:val="24"/>
              </w:rPr>
              <w:t>明年会有积极的生产安排。</w:t>
            </w:r>
          </w:p>
          <w:p w:rsidR="00A04AA6" w:rsidRPr="00A04AA6" w:rsidRDefault="00A04AA6" w:rsidP="00F702D7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</w:p>
          <w:p w:rsidR="00F702D7" w:rsidRDefault="00F702D7" w:rsidP="00F702D7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>
              <w:rPr>
                <w:rFonts w:hint="eastAsia"/>
                <w:b/>
                <w:bCs/>
                <w:iCs/>
                <w:sz w:val="24"/>
              </w:rPr>
              <w:t>问：</w:t>
            </w:r>
            <w:r w:rsidR="00A04AA6">
              <w:rPr>
                <w:rFonts w:hint="eastAsia"/>
                <w:b/>
                <w:bCs/>
                <w:iCs/>
                <w:sz w:val="24"/>
              </w:rPr>
              <w:t>水痘疫苗未来几年批签发趋势如何？</w:t>
            </w:r>
          </w:p>
          <w:p w:rsidR="00A04AA6" w:rsidRDefault="00F702D7" w:rsidP="00A04AA6">
            <w:pPr>
              <w:spacing w:line="480" w:lineRule="atLeast"/>
              <w:ind w:firstLineChars="200" w:firstLine="482"/>
              <w:rPr>
                <w:iCs/>
                <w:sz w:val="24"/>
              </w:rPr>
            </w:pPr>
            <w:r w:rsidRPr="00162E2C">
              <w:rPr>
                <w:b/>
                <w:bCs/>
                <w:iCs/>
                <w:sz w:val="24"/>
              </w:rPr>
              <w:t>答：</w:t>
            </w:r>
            <w:r w:rsidR="00A04AA6" w:rsidRPr="00A04AA6">
              <w:rPr>
                <w:rFonts w:hint="eastAsia"/>
                <w:iCs/>
                <w:sz w:val="24"/>
              </w:rPr>
              <w:t>预计</w:t>
            </w:r>
            <w:r w:rsidR="00A04AA6">
              <w:rPr>
                <w:rFonts w:hint="eastAsia"/>
                <w:iCs/>
                <w:sz w:val="24"/>
              </w:rPr>
              <w:t>明年</w:t>
            </w:r>
            <w:r w:rsidR="00A04AA6" w:rsidRPr="00A04AA6">
              <w:rPr>
                <w:rFonts w:hint="eastAsia"/>
                <w:iCs/>
                <w:sz w:val="24"/>
              </w:rPr>
              <w:t>会有一定幅度的增长，具体</w:t>
            </w:r>
            <w:r w:rsidR="00A04AA6">
              <w:rPr>
                <w:rFonts w:hint="eastAsia"/>
                <w:iCs/>
                <w:sz w:val="24"/>
              </w:rPr>
              <w:t>情况</w:t>
            </w:r>
            <w:r w:rsidR="00A04AA6" w:rsidRPr="00A04AA6">
              <w:rPr>
                <w:rFonts w:hint="eastAsia"/>
                <w:iCs/>
                <w:sz w:val="24"/>
              </w:rPr>
              <w:t>需</w:t>
            </w:r>
            <w:r w:rsidR="00A04AA6">
              <w:rPr>
                <w:rFonts w:hint="eastAsia"/>
                <w:iCs/>
                <w:sz w:val="24"/>
              </w:rPr>
              <w:t>结合</w:t>
            </w:r>
            <w:r w:rsidR="00A04AA6" w:rsidRPr="00A04AA6">
              <w:rPr>
                <w:rFonts w:hint="eastAsia"/>
                <w:iCs/>
                <w:sz w:val="24"/>
              </w:rPr>
              <w:t>今年实际销售情况和各地疾控</w:t>
            </w:r>
            <w:r w:rsidR="00A04AA6">
              <w:rPr>
                <w:rFonts w:hint="eastAsia"/>
                <w:iCs/>
                <w:sz w:val="24"/>
              </w:rPr>
              <w:t>采购计划</w:t>
            </w:r>
            <w:r w:rsidR="00A04AA6" w:rsidRPr="00A04AA6">
              <w:rPr>
                <w:rFonts w:hint="eastAsia"/>
                <w:iCs/>
                <w:sz w:val="24"/>
              </w:rPr>
              <w:t>情况</w:t>
            </w:r>
            <w:r w:rsidR="00A04AA6">
              <w:rPr>
                <w:rFonts w:hint="eastAsia"/>
                <w:iCs/>
                <w:sz w:val="24"/>
              </w:rPr>
              <w:t>综合研判</w:t>
            </w:r>
            <w:r w:rsidR="00A04AA6" w:rsidRPr="00A04AA6">
              <w:rPr>
                <w:rFonts w:hint="eastAsia"/>
                <w:iCs/>
                <w:sz w:val="24"/>
              </w:rPr>
              <w:t>。</w:t>
            </w:r>
          </w:p>
          <w:p w:rsidR="008837FE" w:rsidRDefault="008837FE" w:rsidP="00DC22EB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</w:p>
          <w:p w:rsidR="00DC22EB" w:rsidRPr="00DC22EB" w:rsidRDefault="00DC22EB" w:rsidP="00DC22EB">
            <w:pPr>
              <w:spacing w:line="480" w:lineRule="atLeast"/>
              <w:ind w:firstLineChars="200" w:firstLine="482"/>
              <w:rPr>
                <w:b/>
                <w:bCs/>
                <w:iCs/>
                <w:sz w:val="24"/>
              </w:rPr>
            </w:pPr>
            <w:r w:rsidRPr="00DC22EB">
              <w:rPr>
                <w:rFonts w:hint="eastAsia"/>
                <w:b/>
                <w:bCs/>
                <w:iCs/>
                <w:sz w:val="24"/>
              </w:rPr>
              <w:t>问：百克</w:t>
            </w:r>
            <w:r>
              <w:rPr>
                <w:rFonts w:hint="eastAsia"/>
                <w:b/>
                <w:bCs/>
                <w:iCs/>
                <w:sz w:val="24"/>
              </w:rPr>
              <w:t>生物</w:t>
            </w:r>
            <w:r w:rsidRPr="00DC22EB">
              <w:rPr>
                <w:rFonts w:hint="eastAsia"/>
                <w:b/>
                <w:bCs/>
                <w:iCs/>
                <w:sz w:val="24"/>
              </w:rPr>
              <w:t>研发布局</w:t>
            </w:r>
            <w:r>
              <w:rPr>
                <w:rFonts w:hint="eastAsia"/>
                <w:b/>
                <w:bCs/>
                <w:iCs/>
                <w:sz w:val="24"/>
              </w:rPr>
              <w:t>如何？</w:t>
            </w:r>
          </w:p>
          <w:p w:rsidR="00A04AA6" w:rsidRPr="00DC22EB" w:rsidRDefault="00DC22EB" w:rsidP="00DC22EB">
            <w:pPr>
              <w:spacing w:line="480" w:lineRule="atLeast"/>
              <w:ind w:firstLineChars="200" w:firstLine="48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答：目前，</w:t>
            </w:r>
            <w:r w:rsidRPr="00DC22EB">
              <w:rPr>
                <w:rFonts w:hint="eastAsia"/>
                <w:iCs/>
                <w:sz w:val="24"/>
              </w:rPr>
              <w:t>在研</w:t>
            </w:r>
            <w:r>
              <w:rPr>
                <w:rFonts w:hint="eastAsia"/>
                <w:iCs/>
                <w:sz w:val="24"/>
              </w:rPr>
              <w:t>品种</w:t>
            </w:r>
            <w:r w:rsidRPr="00DC22EB">
              <w:rPr>
                <w:rFonts w:hint="eastAsia"/>
                <w:iCs/>
                <w:sz w:val="24"/>
              </w:rPr>
              <w:t>有鼻喷</w:t>
            </w:r>
            <w:r>
              <w:rPr>
                <w:rFonts w:hint="eastAsia"/>
                <w:iCs/>
                <w:sz w:val="24"/>
              </w:rPr>
              <w:t>流感疫苗</w:t>
            </w:r>
            <w:r w:rsidR="00B76BE8">
              <w:rPr>
                <w:rFonts w:hint="eastAsia"/>
                <w:iCs/>
                <w:sz w:val="24"/>
              </w:rPr>
              <w:t>（</w:t>
            </w:r>
            <w:r w:rsidR="00B76BE8" w:rsidRPr="00DC22EB">
              <w:rPr>
                <w:rFonts w:hint="eastAsia"/>
                <w:iCs/>
                <w:sz w:val="24"/>
              </w:rPr>
              <w:t>水剂</w:t>
            </w:r>
            <w:r w:rsidR="00B76BE8">
              <w:rPr>
                <w:rFonts w:hint="eastAsia"/>
                <w:iCs/>
                <w:sz w:val="24"/>
              </w:rPr>
              <w:t>）</w:t>
            </w:r>
            <w:r w:rsidR="008837FE">
              <w:rPr>
                <w:rFonts w:hint="eastAsia"/>
                <w:iCs/>
                <w:sz w:val="24"/>
              </w:rPr>
              <w:t>、</w:t>
            </w:r>
            <w:r w:rsidRPr="00DC22EB">
              <w:rPr>
                <w:rFonts w:hint="eastAsia"/>
                <w:iCs/>
                <w:sz w:val="24"/>
              </w:rPr>
              <w:t>带状疱疹疫苗</w:t>
            </w:r>
            <w:r w:rsidR="008837FE">
              <w:rPr>
                <w:rFonts w:hint="eastAsia"/>
                <w:iCs/>
                <w:sz w:val="24"/>
              </w:rPr>
              <w:t>、</w:t>
            </w:r>
            <w:r w:rsidRPr="00DC22EB">
              <w:rPr>
                <w:rFonts w:hint="eastAsia"/>
                <w:iCs/>
                <w:sz w:val="24"/>
              </w:rPr>
              <w:t>冻干狂犬</w:t>
            </w:r>
            <w:r>
              <w:rPr>
                <w:rFonts w:hint="eastAsia"/>
                <w:iCs/>
                <w:sz w:val="24"/>
              </w:rPr>
              <w:t>疫苗</w:t>
            </w:r>
            <w:r w:rsidR="008837FE">
              <w:rPr>
                <w:rFonts w:hint="eastAsia"/>
                <w:iCs/>
                <w:sz w:val="24"/>
              </w:rPr>
              <w:t>、</w:t>
            </w:r>
            <w:r>
              <w:rPr>
                <w:rFonts w:hint="eastAsia"/>
                <w:iCs/>
                <w:sz w:val="24"/>
              </w:rPr>
              <w:t>无细胞</w:t>
            </w:r>
            <w:r w:rsidRPr="00DC22EB">
              <w:rPr>
                <w:rFonts w:hint="eastAsia"/>
                <w:iCs/>
                <w:sz w:val="24"/>
              </w:rPr>
              <w:t>百白破</w:t>
            </w:r>
            <w:r>
              <w:rPr>
                <w:rFonts w:hint="eastAsia"/>
                <w:iCs/>
                <w:sz w:val="24"/>
              </w:rPr>
              <w:t>疫苗</w:t>
            </w:r>
            <w:r w:rsidR="008837FE">
              <w:rPr>
                <w:rFonts w:hint="eastAsia"/>
                <w:iCs/>
                <w:sz w:val="24"/>
              </w:rPr>
              <w:t>、</w:t>
            </w:r>
            <w:r w:rsidR="008065C6">
              <w:rPr>
                <w:rFonts w:hint="eastAsia"/>
                <w:iCs/>
                <w:sz w:val="24"/>
              </w:rPr>
              <w:t>呼吸道</w:t>
            </w:r>
            <w:r w:rsidRPr="00DC22EB">
              <w:rPr>
                <w:rFonts w:hint="eastAsia"/>
                <w:iCs/>
                <w:sz w:val="24"/>
              </w:rPr>
              <w:t>合胞病毒</w:t>
            </w:r>
            <w:r>
              <w:rPr>
                <w:rFonts w:hint="eastAsia"/>
                <w:iCs/>
                <w:sz w:val="24"/>
              </w:rPr>
              <w:t>疫苗</w:t>
            </w:r>
            <w:r w:rsidR="008837FE">
              <w:rPr>
                <w:rFonts w:hint="eastAsia"/>
                <w:iCs/>
                <w:sz w:val="24"/>
              </w:rPr>
              <w:t>、</w:t>
            </w:r>
            <w:r w:rsidR="008065C6">
              <w:rPr>
                <w:rFonts w:hint="eastAsia"/>
                <w:iCs/>
                <w:sz w:val="24"/>
              </w:rPr>
              <w:t>狂犬病</w:t>
            </w:r>
            <w:r w:rsidRPr="00DC22EB">
              <w:rPr>
                <w:rFonts w:hint="eastAsia"/>
                <w:iCs/>
                <w:sz w:val="24"/>
              </w:rPr>
              <w:t>抗体</w:t>
            </w:r>
            <w:r>
              <w:rPr>
                <w:rFonts w:hint="eastAsia"/>
                <w:iCs/>
                <w:sz w:val="24"/>
              </w:rPr>
              <w:t>及</w:t>
            </w:r>
            <w:r w:rsidRPr="00DC22EB">
              <w:rPr>
                <w:rFonts w:hint="eastAsia"/>
                <w:iCs/>
                <w:sz w:val="24"/>
              </w:rPr>
              <w:t>新冠疫苗等</w:t>
            </w:r>
            <w:r w:rsidR="008065C6">
              <w:rPr>
                <w:rFonts w:hint="eastAsia"/>
                <w:iCs/>
                <w:sz w:val="24"/>
              </w:rPr>
              <w:t>，</w:t>
            </w:r>
            <w:r w:rsidR="008065C6">
              <w:rPr>
                <w:iCs/>
                <w:sz w:val="24"/>
              </w:rPr>
              <w:t>各产品</w:t>
            </w:r>
            <w:r w:rsidR="008837FE">
              <w:rPr>
                <w:rFonts w:hint="eastAsia"/>
                <w:iCs/>
                <w:sz w:val="24"/>
              </w:rPr>
              <w:t>的临床研究</w:t>
            </w:r>
            <w:r w:rsidR="008065C6">
              <w:rPr>
                <w:rFonts w:hint="eastAsia"/>
                <w:iCs/>
                <w:sz w:val="24"/>
              </w:rPr>
              <w:t>/</w:t>
            </w:r>
            <w:r w:rsidR="008837FE">
              <w:rPr>
                <w:rFonts w:hint="eastAsia"/>
                <w:iCs/>
                <w:sz w:val="24"/>
              </w:rPr>
              <w:t>临床前研究工作均在</w:t>
            </w:r>
            <w:r w:rsidRPr="00DC22EB">
              <w:rPr>
                <w:rFonts w:hint="eastAsia"/>
                <w:iCs/>
                <w:sz w:val="24"/>
              </w:rPr>
              <w:t>有序推进。</w:t>
            </w:r>
          </w:p>
          <w:p w:rsidR="007D76DA" w:rsidRPr="00162E2C" w:rsidRDefault="007D76DA" w:rsidP="008837FE">
            <w:pPr>
              <w:spacing w:line="480" w:lineRule="atLeast"/>
              <w:rPr>
                <w:bCs/>
                <w:iCs/>
                <w:sz w:val="24"/>
              </w:rPr>
            </w:pPr>
          </w:p>
        </w:tc>
      </w:tr>
      <w:tr w:rsidR="00E220DA" w:rsidTr="00C161E7">
        <w:trPr>
          <w:trHeight w:val="1124"/>
        </w:trPr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:rsidR="00E220DA" w:rsidRDefault="00C161E7" w:rsidP="00C161E7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无</w:t>
            </w:r>
          </w:p>
        </w:tc>
      </w:tr>
      <w:tr w:rsidR="00E220DA" w:rsidTr="00224D9E">
        <w:tc>
          <w:tcPr>
            <w:tcW w:w="1908" w:type="dxa"/>
            <w:vAlign w:val="center"/>
          </w:tcPr>
          <w:p w:rsidR="00E220DA" w:rsidRDefault="00E220DA" w:rsidP="00224D9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</w:tcPr>
          <w:p w:rsidR="00E220DA" w:rsidRDefault="00C161E7" w:rsidP="007B2C7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2020年1</w:t>
            </w:r>
            <w:r w:rsidR="0054559F">
              <w:rPr>
                <w:rFonts w:ascii="宋体" w:hAnsi="宋体"/>
                <w:bCs/>
                <w:iCs/>
                <w:sz w:val="24"/>
              </w:rPr>
              <w:t>1</w:t>
            </w:r>
            <w:r>
              <w:rPr>
                <w:rFonts w:ascii="宋体" w:hAnsi="宋体"/>
                <w:bCs/>
                <w:iCs/>
                <w:sz w:val="24"/>
              </w:rPr>
              <w:t>月</w:t>
            </w:r>
            <w:r w:rsidR="007B2C76">
              <w:rPr>
                <w:rFonts w:ascii="宋体" w:hAnsi="宋体"/>
                <w:bCs/>
                <w:iCs/>
                <w:sz w:val="24"/>
              </w:rPr>
              <w:t>9</w:t>
            </w:r>
            <w:r>
              <w:rPr>
                <w:rFonts w:ascii="宋体" w:hAnsi="宋体"/>
                <w:bCs/>
                <w:iCs/>
                <w:sz w:val="24"/>
              </w:rPr>
              <w:t>日</w:t>
            </w:r>
          </w:p>
        </w:tc>
      </w:tr>
    </w:tbl>
    <w:p w:rsidR="009C7081" w:rsidRDefault="009C7081" w:rsidP="00D67EBD"/>
    <w:sectPr w:rsidR="009C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2F" w:rsidRDefault="0014152F" w:rsidP="00E220DA">
      <w:r>
        <w:separator/>
      </w:r>
    </w:p>
  </w:endnote>
  <w:endnote w:type="continuationSeparator" w:id="0">
    <w:p w:rsidR="0014152F" w:rsidRDefault="0014152F" w:rsidP="00E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2F" w:rsidRDefault="0014152F" w:rsidP="00E220DA">
      <w:r>
        <w:separator/>
      </w:r>
    </w:p>
  </w:footnote>
  <w:footnote w:type="continuationSeparator" w:id="0">
    <w:p w:rsidR="0014152F" w:rsidRDefault="0014152F" w:rsidP="00E2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E"/>
    <w:rsid w:val="00012833"/>
    <w:rsid w:val="00014FD2"/>
    <w:rsid w:val="000B2307"/>
    <w:rsid w:val="000F57ED"/>
    <w:rsid w:val="0014152F"/>
    <w:rsid w:val="001606C2"/>
    <w:rsid w:val="00162E2C"/>
    <w:rsid w:val="0017203D"/>
    <w:rsid w:val="00192E49"/>
    <w:rsid w:val="00194025"/>
    <w:rsid w:val="001A5D3B"/>
    <w:rsid w:val="001D71AD"/>
    <w:rsid w:val="002317D9"/>
    <w:rsid w:val="0025009E"/>
    <w:rsid w:val="0025425A"/>
    <w:rsid w:val="0025428E"/>
    <w:rsid w:val="002F3B03"/>
    <w:rsid w:val="003342E5"/>
    <w:rsid w:val="0033546A"/>
    <w:rsid w:val="003354AD"/>
    <w:rsid w:val="00340713"/>
    <w:rsid w:val="00353C16"/>
    <w:rsid w:val="00374C1E"/>
    <w:rsid w:val="00375E40"/>
    <w:rsid w:val="00385014"/>
    <w:rsid w:val="0039572D"/>
    <w:rsid w:val="003E634D"/>
    <w:rsid w:val="00403310"/>
    <w:rsid w:val="00404B5D"/>
    <w:rsid w:val="00430DFE"/>
    <w:rsid w:val="00445444"/>
    <w:rsid w:val="004A7726"/>
    <w:rsid w:val="004C1564"/>
    <w:rsid w:val="004C15F7"/>
    <w:rsid w:val="004C4734"/>
    <w:rsid w:val="004F63C9"/>
    <w:rsid w:val="00530C4E"/>
    <w:rsid w:val="00543F6F"/>
    <w:rsid w:val="0054559F"/>
    <w:rsid w:val="00552DEF"/>
    <w:rsid w:val="00565D87"/>
    <w:rsid w:val="005B3452"/>
    <w:rsid w:val="005B57BF"/>
    <w:rsid w:val="005B57F0"/>
    <w:rsid w:val="005F6138"/>
    <w:rsid w:val="00645529"/>
    <w:rsid w:val="00654F9F"/>
    <w:rsid w:val="006A6CE9"/>
    <w:rsid w:val="006B28EE"/>
    <w:rsid w:val="006B5F3E"/>
    <w:rsid w:val="006E0822"/>
    <w:rsid w:val="00710368"/>
    <w:rsid w:val="00723848"/>
    <w:rsid w:val="00732FBB"/>
    <w:rsid w:val="00743973"/>
    <w:rsid w:val="007475B9"/>
    <w:rsid w:val="0075453A"/>
    <w:rsid w:val="007876FF"/>
    <w:rsid w:val="007954BA"/>
    <w:rsid w:val="007A28D5"/>
    <w:rsid w:val="007A611A"/>
    <w:rsid w:val="007B2C76"/>
    <w:rsid w:val="007B5CF7"/>
    <w:rsid w:val="007D76DA"/>
    <w:rsid w:val="007F02E2"/>
    <w:rsid w:val="008065C6"/>
    <w:rsid w:val="00842C47"/>
    <w:rsid w:val="00857107"/>
    <w:rsid w:val="008837FE"/>
    <w:rsid w:val="008A11C5"/>
    <w:rsid w:val="00912C1D"/>
    <w:rsid w:val="009145D9"/>
    <w:rsid w:val="00941D47"/>
    <w:rsid w:val="0095773B"/>
    <w:rsid w:val="009A1120"/>
    <w:rsid w:val="009A17E1"/>
    <w:rsid w:val="009A35A3"/>
    <w:rsid w:val="009C7081"/>
    <w:rsid w:val="009E6D60"/>
    <w:rsid w:val="009F766A"/>
    <w:rsid w:val="00A04AA6"/>
    <w:rsid w:val="00A07ABE"/>
    <w:rsid w:val="00A133B6"/>
    <w:rsid w:val="00A5089B"/>
    <w:rsid w:val="00A714FF"/>
    <w:rsid w:val="00A871F3"/>
    <w:rsid w:val="00A8752D"/>
    <w:rsid w:val="00AE0AAC"/>
    <w:rsid w:val="00AF7E43"/>
    <w:rsid w:val="00B45799"/>
    <w:rsid w:val="00B70A20"/>
    <w:rsid w:val="00B76BE8"/>
    <w:rsid w:val="00BA6950"/>
    <w:rsid w:val="00BB2F78"/>
    <w:rsid w:val="00C01C79"/>
    <w:rsid w:val="00C161E7"/>
    <w:rsid w:val="00C24EAC"/>
    <w:rsid w:val="00C33B43"/>
    <w:rsid w:val="00C401C5"/>
    <w:rsid w:val="00C80702"/>
    <w:rsid w:val="00C920DB"/>
    <w:rsid w:val="00C94835"/>
    <w:rsid w:val="00CA126E"/>
    <w:rsid w:val="00CA49A6"/>
    <w:rsid w:val="00D02F44"/>
    <w:rsid w:val="00D32411"/>
    <w:rsid w:val="00D61513"/>
    <w:rsid w:val="00D67EBD"/>
    <w:rsid w:val="00D8441D"/>
    <w:rsid w:val="00DA26DD"/>
    <w:rsid w:val="00DA4C9A"/>
    <w:rsid w:val="00DC22EB"/>
    <w:rsid w:val="00DD6EC2"/>
    <w:rsid w:val="00DE2636"/>
    <w:rsid w:val="00E12717"/>
    <w:rsid w:val="00E220DA"/>
    <w:rsid w:val="00E54FDC"/>
    <w:rsid w:val="00E60B95"/>
    <w:rsid w:val="00E701E1"/>
    <w:rsid w:val="00EB5B54"/>
    <w:rsid w:val="00ED1496"/>
    <w:rsid w:val="00F702D7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7777"/>
  <w15:chartTrackingRefBased/>
  <w15:docId w15:val="{0AA67EA9-E682-40ED-A6B1-37D6D1CC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0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454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454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微软中国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李洪谕</dc:creator>
  <cp:keywords/>
  <dc:description/>
  <cp:lastModifiedBy>李洪谕</cp:lastModifiedBy>
  <cp:revision>7</cp:revision>
  <dcterms:created xsi:type="dcterms:W3CDTF">2020-11-09T07:09:00Z</dcterms:created>
  <dcterms:modified xsi:type="dcterms:W3CDTF">2020-11-09T07:14:00Z</dcterms:modified>
</cp:coreProperties>
</file>