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1911B" w14:textId="77777777" w:rsidR="005665D4" w:rsidRDefault="00A373A6">
      <w:pPr>
        <w:spacing w:beforeLines="50" w:before="156" w:afterLines="50" w:after="156" w:line="440" w:lineRule="exact"/>
        <w:ind w:right="480"/>
        <w:rPr>
          <w:rFonts w:ascii="宋体" w:hAnsi="宋体"/>
          <w:bCs/>
          <w:iCs/>
          <w:sz w:val="24"/>
        </w:rPr>
      </w:pPr>
      <w:r>
        <w:rPr>
          <w:rFonts w:ascii="宋体" w:hAnsi="宋体" w:hint="eastAsia"/>
          <w:bCs/>
          <w:iCs/>
          <w:sz w:val="24"/>
        </w:rPr>
        <w:t>证券代码：000963                               证券简称：华东医药</w:t>
      </w:r>
    </w:p>
    <w:p w14:paraId="6C686337" w14:textId="77777777" w:rsidR="005665D4" w:rsidRDefault="00A373A6">
      <w:pPr>
        <w:spacing w:line="440" w:lineRule="exact"/>
        <w:jc w:val="center"/>
        <w:rPr>
          <w:rStyle w:val="NormalCharacter"/>
          <w:rFonts w:ascii="宋体" w:hAnsi="宋体"/>
          <w:b/>
          <w:bCs/>
          <w:iCs/>
          <w:sz w:val="24"/>
        </w:rPr>
      </w:pPr>
      <w:r>
        <w:rPr>
          <w:rStyle w:val="NormalCharacter"/>
          <w:rFonts w:ascii="宋体" w:hAnsi="宋体"/>
          <w:b/>
          <w:bCs/>
          <w:iCs/>
          <w:sz w:val="24"/>
        </w:rPr>
        <w:t>华东医药股份有限公司投资者关系活动记录表</w:t>
      </w:r>
    </w:p>
    <w:p w14:paraId="7BB32DD6" w14:textId="77777777" w:rsidR="005665D4" w:rsidRDefault="00A373A6">
      <w:pPr>
        <w:spacing w:line="440" w:lineRule="exact"/>
        <w:rPr>
          <w:rStyle w:val="NormalCharacter"/>
          <w:rFonts w:ascii="宋体" w:hAnsi="宋体"/>
          <w:bCs/>
          <w:iCs/>
          <w:sz w:val="24"/>
        </w:rPr>
      </w:pPr>
      <w:r>
        <w:rPr>
          <w:rStyle w:val="NormalCharacter"/>
          <w:rFonts w:ascii="宋体" w:hAnsi="宋体"/>
          <w:bCs/>
          <w:iCs/>
          <w:sz w:val="24"/>
        </w:rPr>
        <w:t xml:space="preserve">                                               　　    编号：2020-00</w:t>
      </w:r>
      <w:r>
        <w:rPr>
          <w:rStyle w:val="NormalCharacter"/>
          <w:rFonts w:ascii="宋体" w:hAnsi="宋体" w:hint="eastAsia"/>
          <w:bCs/>
          <w:iCs/>
          <w:sz w:val="24"/>
        </w:rPr>
        <w:t>8</w:t>
      </w:r>
    </w:p>
    <w:tbl>
      <w:tblPr>
        <w:tblW w:w="85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42"/>
        <w:gridCol w:w="7302"/>
      </w:tblGrid>
      <w:tr w:rsidR="005665D4" w14:paraId="614E45BF" w14:textId="77777777">
        <w:trPr>
          <w:trHeight w:val="1881"/>
        </w:trPr>
        <w:tc>
          <w:tcPr>
            <w:tcW w:w="1242" w:type="dxa"/>
            <w:tcBorders>
              <w:top w:val="single" w:sz="4" w:space="0" w:color="000000"/>
              <w:left w:val="single" w:sz="4" w:space="0" w:color="000000"/>
              <w:bottom w:val="single" w:sz="4" w:space="0" w:color="000000"/>
              <w:right w:val="single" w:sz="4" w:space="0" w:color="000000"/>
            </w:tcBorders>
          </w:tcPr>
          <w:p w14:paraId="23F26A7F" w14:textId="77777777" w:rsidR="005665D4" w:rsidRDefault="00A373A6">
            <w:pPr>
              <w:spacing w:line="440" w:lineRule="exact"/>
              <w:rPr>
                <w:rStyle w:val="NormalCharacter"/>
                <w:bCs/>
                <w:iCs/>
                <w:sz w:val="24"/>
              </w:rPr>
            </w:pPr>
            <w:r>
              <w:rPr>
                <w:rStyle w:val="NormalCharacter"/>
                <w:bCs/>
                <w:iCs/>
                <w:sz w:val="24"/>
              </w:rPr>
              <w:t>投资者关系活动类别</w:t>
            </w:r>
          </w:p>
          <w:p w14:paraId="25EC5870" w14:textId="77777777" w:rsidR="005665D4" w:rsidRDefault="005665D4">
            <w:pPr>
              <w:spacing w:line="440" w:lineRule="exact"/>
              <w:rPr>
                <w:rStyle w:val="NormalCharacter"/>
                <w:bCs/>
                <w:iCs/>
                <w:sz w:val="24"/>
              </w:rPr>
            </w:pPr>
          </w:p>
        </w:tc>
        <w:tc>
          <w:tcPr>
            <w:tcW w:w="7302" w:type="dxa"/>
            <w:tcBorders>
              <w:top w:val="single" w:sz="4" w:space="0" w:color="000000"/>
              <w:left w:val="single" w:sz="4" w:space="0" w:color="000000"/>
              <w:bottom w:val="single" w:sz="4" w:space="0" w:color="000000"/>
              <w:right w:val="single" w:sz="4" w:space="0" w:color="000000"/>
            </w:tcBorders>
          </w:tcPr>
          <w:p w14:paraId="77099368" w14:textId="77777777" w:rsidR="005665D4" w:rsidRDefault="00A373A6">
            <w:pPr>
              <w:spacing w:line="440" w:lineRule="exact"/>
              <w:rPr>
                <w:rStyle w:val="NormalCharacter"/>
                <w:bCs/>
                <w:iCs/>
                <w:sz w:val="24"/>
              </w:rPr>
            </w:pPr>
            <w:r>
              <w:rPr>
                <w:rStyle w:val="NormalCharacter"/>
                <w:bCs/>
                <w:iCs/>
                <w:sz w:val="24"/>
              </w:rPr>
              <w:t>□</w:t>
            </w:r>
            <w:r>
              <w:rPr>
                <w:rStyle w:val="NormalCharacter"/>
                <w:sz w:val="24"/>
              </w:rPr>
              <w:t>特定对象调研</w:t>
            </w:r>
            <w:r>
              <w:rPr>
                <w:rStyle w:val="NormalCharacter"/>
                <w:sz w:val="24"/>
              </w:rPr>
              <w:t xml:space="preserve">        </w:t>
            </w:r>
            <w:r>
              <w:rPr>
                <w:rStyle w:val="NormalCharacter"/>
                <w:bCs/>
                <w:iCs/>
                <w:sz w:val="24"/>
              </w:rPr>
              <w:t>□</w:t>
            </w:r>
            <w:r>
              <w:rPr>
                <w:rStyle w:val="NormalCharacter"/>
                <w:sz w:val="24"/>
              </w:rPr>
              <w:t>分析师会议</w:t>
            </w:r>
          </w:p>
          <w:p w14:paraId="4568EB00" w14:textId="77777777" w:rsidR="005665D4" w:rsidRDefault="00A373A6">
            <w:pPr>
              <w:spacing w:line="440" w:lineRule="exact"/>
              <w:rPr>
                <w:rStyle w:val="NormalCharacter"/>
                <w:bCs/>
                <w:iCs/>
                <w:sz w:val="24"/>
              </w:rPr>
            </w:pPr>
            <w:r>
              <w:rPr>
                <w:rStyle w:val="NormalCharacter"/>
                <w:bCs/>
                <w:iCs/>
                <w:sz w:val="24"/>
              </w:rPr>
              <w:t>□</w:t>
            </w:r>
            <w:r>
              <w:rPr>
                <w:rStyle w:val="NormalCharacter"/>
                <w:sz w:val="24"/>
              </w:rPr>
              <w:t>媒体采访</w:t>
            </w:r>
            <w:r>
              <w:rPr>
                <w:rStyle w:val="NormalCharacter"/>
                <w:sz w:val="24"/>
              </w:rPr>
              <w:t xml:space="preserve">            </w:t>
            </w:r>
            <w:r>
              <w:rPr>
                <w:rStyle w:val="NormalCharacter"/>
                <w:bCs/>
                <w:iCs/>
                <w:sz w:val="24"/>
              </w:rPr>
              <w:t>□</w:t>
            </w:r>
            <w:r>
              <w:rPr>
                <w:rStyle w:val="NormalCharacter"/>
                <w:sz w:val="24"/>
              </w:rPr>
              <w:t>业绩说明会</w:t>
            </w:r>
          </w:p>
          <w:p w14:paraId="650C4054" w14:textId="77777777" w:rsidR="005665D4" w:rsidRDefault="00A373A6">
            <w:pPr>
              <w:spacing w:line="440" w:lineRule="exact"/>
              <w:rPr>
                <w:rStyle w:val="NormalCharacter"/>
                <w:bCs/>
                <w:iCs/>
                <w:sz w:val="24"/>
              </w:rPr>
            </w:pPr>
            <w:r>
              <w:rPr>
                <w:rStyle w:val="NormalCharacter"/>
                <w:bCs/>
                <w:iCs/>
                <w:sz w:val="24"/>
              </w:rPr>
              <w:t>□</w:t>
            </w:r>
            <w:r>
              <w:rPr>
                <w:rStyle w:val="NormalCharacter"/>
                <w:sz w:val="24"/>
              </w:rPr>
              <w:t>新闻发布会</w:t>
            </w:r>
            <w:r>
              <w:rPr>
                <w:rStyle w:val="NormalCharacter"/>
                <w:sz w:val="24"/>
              </w:rPr>
              <w:t xml:space="preserve">          </w:t>
            </w:r>
            <w:r>
              <w:rPr>
                <w:rStyle w:val="NormalCharacter"/>
                <w:bCs/>
                <w:iCs/>
                <w:sz w:val="24"/>
              </w:rPr>
              <w:sym w:font="Wingdings 2" w:char="00A3"/>
            </w:r>
            <w:r>
              <w:rPr>
                <w:rStyle w:val="NormalCharacter"/>
                <w:sz w:val="24"/>
              </w:rPr>
              <w:t>路演活动</w:t>
            </w:r>
          </w:p>
          <w:p w14:paraId="220CD4D9" w14:textId="77777777" w:rsidR="005665D4" w:rsidRDefault="00A373A6">
            <w:pPr>
              <w:tabs>
                <w:tab w:val="left" w:pos="3045"/>
                <w:tab w:val="center" w:pos="3199"/>
              </w:tabs>
              <w:spacing w:line="440" w:lineRule="exact"/>
              <w:ind w:left="1320" w:hangingChars="550" w:hanging="1320"/>
              <w:rPr>
                <w:rStyle w:val="NormalCharacter"/>
                <w:bCs/>
                <w:iCs/>
                <w:sz w:val="24"/>
              </w:rPr>
            </w:pPr>
            <w:r>
              <w:rPr>
                <w:rStyle w:val="NormalCharacter"/>
                <w:bCs/>
                <w:iCs/>
                <w:sz w:val="24"/>
              </w:rPr>
              <w:sym w:font="Wingdings 2" w:char="0052"/>
            </w:r>
            <w:r>
              <w:rPr>
                <w:rStyle w:val="NormalCharacter"/>
                <w:sz w:val="24"/>
              </w:rPr>
              <w:t>现场参观</w:t>
            </w:r>
            <w:r>
              <w:rPr>
                <w:rStyle w:val="NormalCharacter"/>
                <w:bCs/>
                <w:iCs/>
                <w:sz w:val="24"/>
              </w:rPr>
              <w:tab/>
              <w:t xml:space="preserve">           </w:t>
            </w:r>
            <w:r>
              <w:rPr>
                <w:rStyle w:val="NormalCharacter"/>
                <w:sz w:val="24"/>
              </w:rPr>
              <w:t>其他</w:t>
            </w:r>
            <w:r>
              <w:rPr>
                <w:rStyle w:val="NormalCharacter"/>
                <w:sz w:val="24"/>
                <w:u w:val="single"/>
              </w:rPr>
              <w:t xml:space="preserve">                         </w:t>
            </w:r>
          </w:p>
        </w:tc>
      </w:tr>
      <w:tr w:rsidR="005665D4" w14:paraId="1AB8AF6D" w14:textId="77777777">
        <w:trPr>
          <w:trHeight w:val="534"/>
        </w:trPr>
        <w:tc>
          <w:tcPr>
            <w:tcW w:w="1242" w:type="dxa"/>
            <w:tcBorders>
              <w:top w:val="single" w:sz="4" w:space="0" w:color="000000"/>
              <w:left w:val="single" w:sz="4" w:space="0" w:color="000000"/>
              <w:bottom w:val="single" w:sz="4" w:space="0" w:color="000000"/>
              <w:right w:val="single" w:sz="4" w:space="0" w:color="000000"/>
            </w:tcBorders>
          </w:tcPr>
          <w:p w14:paraId="12D6A414" w14:textId="77777777" w:rsidR="005665D4" w:rsidRDefault="00A373A6">
            <w:pPr>
              <w:spacing w:line="440" w:lineRule="exact"/>
              <w:rPr>
                <w:rStyle w:val="NormalCharacter"/>
                <w:bCs/>
                <w:iCs/>
                <w:sz w:val="24"/>
              </w:rPr>
            </w:pPr>
            <w:r>
              <w:rPr>
                <w:rStyle w:val="NormalCharacter"/>
                <w:bCs/>
                <w:iCs/>
                <w:sz w:val="24"/>
              </w:rPr>
              <w:t>参与单位名称及人员姓名</w:t>
            </w:r>
          </w:p>
        </w:tc>
        <w:tc>
          <w:tcPr>
            <w:tcW w:w="7302" w:type="dxa"/>
            <w:tcBorders>
              <w:top w:val="single" w:sz="4" w:space="0" w:color="000000"/>
              <w:left w:val="single" w:sz="4" w:space="0" w:color="000000"/>
              <w:bottom w:val="single" w:sz="4" w:space="0" w:color="000000"/>
              <w:right w:val="single" w:sz="4" w:space="0" w:color="000000"/>
            </w:tcBorders>
          </w:tcPr>
          <w:p w14:paraId="4F615820" w14:textId="77777777" w:rsidR="005665D4" w:rsidRDefault="00A373A6">
            <w:pPr>
              <w:spacing w:line="500" w:lineRule="exact"/>
              <w:jc w:val="left"/>
              <w:rPr>
                <w:rStyle w:val="NormalCharacter"/>
                <w:b/>
                <w:kern w:val="0"/>
                <w:sz w:val="24"/>
              </w:rPr>
            </w:pPr>
            <w:r>
              <w:rPr>
                <w:rStyle w:val="NormalCharacter"/>
                <w:b/>
                <w:kern w:val="0"/>
                <w:sz w:val="24"/>
              </w:rPr>
              <w:t>2020</w:t>
            </w:r>
            <w:r>
              <w:rPr>
                <w:rStyle w:val="NormalCharacter"/>
                <w:b/>
                <w:kern w:val="0"/>
                <w:sz w:val="24"/>
              </w:rPr>
              <w:t>年</w:t>
            </w:r>
            <w:r>
              <w:rPr>
                <w:rStyle w:val="NormalCharacter"/>
                <w:b/>
                <w:kern w:val="0"/>
                <w:sz w:val="24"/>
              </w:rPr>
              <w:t>11</w:t>
            </w:r>
            <w:r>
              <w:rPr>
                <w:rStyle w:val="NormalCharacter"/>
                <w:b/>
                <w:kern w:val="0"/>
                <w:sz w:val="24"/>
              </w:rPr>
              <w:t>月</w:t>
            </w:r>
            <w:r>
              <w:rPr>
                <w:rStyle w:val="NormalCharacter"/>
                <w:rFonts w:hint="eastAsia"/>
                <w:b/>
                <w:kern w:val="0"/>
                <w:sz w:val="24"/>
              </w:rPr>
              <w:t>10</w:t>
            </w:r>
            <w:r>
              <w:rPr>
                <w:rStyle w:val="NormalCharacter"/>
                <w:b/>
                <w:kern w:val="0"/>
                <w:sz w:val="24"/>
              </w:rPr>
              <w:t>日</w:t>
            </w:r>
            <w:r>
              <w:rPr>
                <w:rStyle w:val="NormalCharacter"/>
                <w:b/>
                <w:kern w:val="0"/>
                <w:sz w:val="24"/>
              </w:rPr>
              <w:t xml:space="preserve"> 1</w:t>
            </w:r>
            <w:r>
              <w:rPr>
                <w:rStyle w:val="NormalCharacter"/>
                <w:rFonts w:hint="eastAsia"/>
                <w:b/>
                <w:kern w:val="0"/>
                <w:sz w:val="24"/>
              </w:rPr>
              <w:t>4</w:t>
            </w:r>
            <w:r>
              <w:rPr>
                <w:rStyle w:val="NormalCharacter"/>
                <w:b/>
                <w:kern w:val="0"/>
                <w:sz w:val="24"/>
              </w:rPr>
              <w:t>:</w:t>
            </w:r>
            <w:r>
              <w:rPr>
                <w:rStyle w:val="NormalCharacter"/>
                <w:rFonts w:hint="eastAsia"/>
                <w:b/>
                <w:kern w:val="0"/>
                <w:sz w:val="24"/>
              </w:rPr>
              <w:t>0</w:t>
            </w:r>
            <w:r>
              <w:rPr>
                <w:rStyle w:val="NormalCharacter"/>
                <w:b/>
                <w:kern w:val="0"/>
                <w:sz w:val="24"/>
              </w:rPr>
              <w:t>0</w:t>
            </w:r>
            <w:r>
              <w:rPr>
                <w:rStyle w:val="NormalCharacter"/>
                <w:rFonts w:hint="eastAsia"/>
                <w:b/>
                <w:kern w:val="0"/>
                <w:sz w:val="24"/>
              </w:rPr>
              <w:t>-</w:t>
            </w:r>
            <w:r>
              <w:rPr>
                <w:rStyle w:val="NormalCharacter"/>
                <w:b/>
                <w:kern w:val="0"/>
                <w:sz w:val="24"/>
              </w:rPr>
              <w:t>1</w:t>
            </w:r>
            <w:r>
              <w:rPr>
                <w:rStyle w:val="NormalCharacter"/>
                <w:rFonts w:hint="eastAsia"/>
                <w:b/>
                <w:kern w:val="0"/>
                <w:sz w:val="24"/>
              </w:rPr>
              <w:t>6</w:t>
            </w:r>
            <w:r>
              <w:rPr>
                <w:rStyle w:val="NormalCharacter"/>
                <w:b/>
                <w:kern w:val="0"/>
                <w:sz w:val="24"/>
              </w:rPr>
              <w:t>:</w:t>
            </w:r>
            <w:r>
              <w:rPr>
                <w:rStyle w:val="NormalCharacter"/>
                <w:rFonts w:hint="eastAsia"/>
                <w:b/>
                <w:kern w:val="0"/>
                <w:sz w:val="24"/>
              </w:rPr>
              <w:t>3</w:t>
            </w:r>
            <w:r>
              <w:rPr>
                <w:rStyle w:val="NormalCharacter"/>
                <w:b/>
                <w:kern w:val="0"/>
                <w:sz w:val="24"/>
              </w:rPr>
              <w:t>0</w:t>
            </w:r>
          </w:p>
          <w:p w14:paraId="647E9AB1" w14:textId="77777777" w:rsidR="00CA50A2" w:rsidRDefault="00CA50A2" w:rsidP="00CA50A2">
            <w:pPr>
              <w:widowControl w:val="0"/>
              <w:spacing w:line="500" w:lineRule="exact"/>
              <w:textAlignment w:val="auto"/>
              <w:rPr>
                <w:rStyle w:val="NormalCharacter"/>
                <w:b/>
                <w:kern w:val="0"/>
                <w:sz w:val="24"/>
              </w:rPr>
            </w:pPr>
            <w:r>
              <w:rPr>
                <w:rStyle w:val="NormalCharacter"/>
                <w:rFonts w:hint="eastAsia"/>
                <w:b/>
                <w:kern w:val="0"/>
                <w:sz w:val="24"/>
              </w:rPr>
              <w:t>同花顺“走进上市公司</w:t>
            </w:r>
            <w:r w:rsidR="00A373A6">
              <w:rPr>
                <w:rStyle w:val="NormalCharacter"/>
                <w:rFonts w:hint="eastAsia"/>
                <w:b/>
                <w:kern w:val="0"/>
                <w:sz w:val="24"/>
              </w:rPr>
              <w:t>活动”</w:t>
            </w:r>
            <w:r>
              <w:rPr>
                <w:rStyle w:val="NormalCharacter"/>
                <w:rFonts w:hint="eastAsia"/>
                <w:b/>
                <w:kern w:val="0"/>
                <w:sz w:val="24"/>
              </w:rPr>
              <w:t>之</w:t>
            </w:r>
            <w:r w:rsidR="00850878">
              <w:rPr>
                <w:rStyle w:val="NormalCharacter"/>
                <w:rFonts w:hint="eastAsia"/>
                <w:b/>
                <w:kern w:val="0"/>
                <w:sz w:val="24"/>
              </w:rPr>
              <w:t>----</w:t>
            </w:r>
            <w:r>
              <w:rPr>
                <w:rStyle w:val="NormalCharacter"/>
                <w:rFonts w:hint="eastAsia"/>
                <w:b/>
                <w:kern w:val="0"/>
                <w:sz w:val="24"/>
              </w:rPr>
              <w:t>走进</w:t>
            </w:r>
            <w:r w:rsidR="00A373A6">
              <w:rPr>
                <w:rStyle w:val="NormalCharacter"/>
                <w:rFonts w:hint="eastAsia"/>
                <w:b/>
                <w:kern w:val="0"/>
                <w:sz w:val="24"/>
              </w:rPr>
              <w:t>华东医药</w:t>
            </w:r>
          </w:p>
          <w:p w14:paraId="680154AF" w14:textId="77777777" w:rsidR="003E6A44" w:rsidRDefault="00A373A6" w:rsidP="00CA50A2">
            <w:pPr>
              <w:widowControl w:val="0"/>
              <w:spacing w:line="500" w:lineRule="exact"/>
              <w:textAlignment w:val="auto"/>
              <w:rPr>
                <w:rStyle w:val="NormalCharacter"/>
                <w:bCs/>
                <w:kern w:val="0"/>
                <w:sz w:val="24"/>
              </w:rPr>
            </w:pPr>
            <w:r>
              <w:rPr>
                <w:rStyle w:val="NormalCharacter"/>
                <w:b/>
                <w:kern w:val="0"/>
                <w:sz w:val="24"/>
              </w:rPr>
              <w:t>参与单位</w:t>
            </w:r>
            <w:r>
              <w:rPr>
                <w:rStyle w:val="NormalCharacter"/>
                <w:bCs/>
                <w:kern w:val="0"/>
                <w:sz w:val="24"/>
              </w:rPr>
              <w:t>：</w:t>
            </w:r>
          </w:p>
          <w:p w14:paraId="161ABC5B" w14:textId="77777777" w:rsidR="003E6A44" w:rsidRPr="003E6A44" w:rsidRDefault="00D053BB" w:rsidP="00511BA1">
            <w:pPr>
              <w:widowControl w:val="0"/>
              <w:spacing w:line="500" w:lineRule="exact"/>
              <w:ind w:firstLineChars="200" w:firstLine="480"/>
              <w:textAlignment w:val="auto"/>
              <w:rPr>
                <w:kern w:val="0"/>
                <w:sz w:val="24"/>
              </w:rPr>
            </w:pPr>
            <w:r>
              <w:rPr>
                <w:rStyle w:val="NormalCharacter"/>
                <w:rFonts w:hint="eastAsia"/>
                <w:bCs/>
                <w:kern w:val="0"/>
                <w:sz w:val="24"/>
              </w:rPr>
              <w:t>同花顺、东北证券、</w:t>
            </w:r>
            <w:r w:rsidR="00A373A6">
              <w:rPr>
                <w:rStyle w:val="NormalCharacter"/>
                <w:rFonts w:ascii="宋体" w:hAnsi="宋体" w:hint="eastAsia"/>
                <w:sz w:val="24"/>
              </w:rPr>
              <w:t>利</w:t>
            </w:r>
            <w:proofErr w:type="gramStart"/>
            <w:r w:rsidR="00A373A6">
              <w:rPr>
                <w:rStyle w:val="NormalCharacter"/>
                <w:rFonts w:ascii="宋体" w:hAnsi="宋体" w:hint="eastAsia"/>
                <w:sz w:val="24"/>
              </w:rPr>
              <w:t>檀绝智</w:t>
            </w:r>
            <w:proofErr w:type="gramEnd"/>
            <w:r w:rsidR="00A373A6">
              <w:rPr>
                <w:rStyle w:val="NormalCharacter"/>
                <w:rFonts w:ascii="宋体" w:hAnsi="宋体" w:hint="eastAsia"/>
                <w:sz w:val="24"/>
              </w:rPr>
              <w:t>基金、华侨基金、</w:t>
            </w:r>
            <w:r w:rsidR="00575B68">
              <w:rPr>
                <w:rStyle w:val="NormalCharacter"/>
                <w:rFonts w:ascii="宋体" w:hAnsi="宋体" w:hint="eastAsia"/>
                <w:sz w:val="24"/>
              </w:rPr>
              <w:t>北京</w:t>
            </w:r>
            <w:proofErr w:type="gramStart"/>
            <w:r w:rsidR="00575B68">
              <w:rPr>
                <w:rStyle w:val="NormalCharacter"/>
                <w:rFonts w:ascii="宋体" w:hAnsi="宋体" w:hint="eastAsia"/>
                <w:sz w:val="24"/>
              </w:rPr>
              <w:t>恒</w:t>
            </w:r>
            <w:proofErr w:type="gramEnd"/>
            <w:r w:rsidR="00575B68">
              <w:rPr>
                <w:rStyle w:val="NormalCharacter"/>
                <w:rFonts w:ascii="宋体" w:hAnsi="宋体" w:hint="eastAsia"/>
                <w:sz w:val="24"/>
              </w:rPr>
              <w:t>天明泽基金、</w:t>
            </w:r>
            <w:proofErr w:type="gramStart"/>
            <w:r w:rsidR="00A373A6">
              <w:rPr>
                <w:rStyle w:val="NormalCharacter"/>
                <w:rFonts w:ascii="宋体" w:hAnsi="宋体" w:hint="eastAsia"/>
                <w:sz w:val="24"/>
              </w:rPr>
              <w:t>汇势通</w:t>
            </w:r>
            <w:proofErr w:type="gramEnd"/>
            <w:r w:rsidR="00A373A6">
              <w:rPr>
                <w:rStyle w:val="NormalCharacter"/>
                <w:rFonts w:ascii="宋体" w:hAnsi="宋体" w:hint="eastAsia"/>
                <w:sz w:val="24"/>
              </w:rPr>
              <w:t>投资、厚达投资、查理投资、</w:t>
            </w:r>
            <w:proofErr w:type="gramStart"/>
            <w:r w:rsidR="00A373A6">
              <w:rPr>
                <w:rStyle w:val="NormalCharacter"/>
                <w:rFonts w:ascii="宋体" w:hAnsi="宋体" w:hint="eastAsia"/>
                <w:sz w:val="24"/>
              </w:rPr>
              <w:t>浙江晖鸿投资</w:t>
            </w:r>
            <w:proofErr w:type="gramEnd"/>
            <w:r w:rsidR="00A373A6">
              <w:rPr>
                <w:rStyle w:val="NormalCharacter"/>
                <w:rFonts w:ascii="宋体" w:hAnsi="宋体" w:hint="eastAsia"/>
                <w:sz w:val="24"/>
              </w:rPr>
              <w:t>、宁波市若</w:t>
            </w:r>
            <w:proofErr w:type="gramStart"/>
            <w:r w:rsidR="00A373A6">
              <w:rPr>
                <w:rStyle w:val="NormalCharacter"/>
                <w:rFonts w:ascii="宋体" w:hAnsi="宋体" w:hint="eastAsia"/>
                <w:sz w:val="24"/>
              </w:rPr>
              <w:t>汐</w:t>
            </w:r>
            <w:proofErr w:type="gramEnd"/>
            <w:r w:rsidR="00A373A6">
              <w:rPr>
                <w:rStyle w:val="NormalCharacter"/>
                <w:rFonts w:ascii="宋体" w:hAnsi="宋体" w:hint="eastAsia"/>
                <w:sz w:val="24"/>
              </w:rPr>
              <w:t>投资、大唐投资、上海东青石投资、</w:t>
            </w:r>
            <w:proofErr w:type="gramStart"/>
            <w:r w:rsidR="00A373A6">
              <w:rPr>
                <w:rStyle w:val="NormalCharacter"/>
                <w:rFonts w:ascii="宋体" w:hAnsi="宋体" w:hint="eastAsia"/>
                <w:sz w:val="24"/>
              </w:rPr>
              <w:t>杭州明悦资产</w:t>
            </w:r>
            <w:proofErr w:type="gramEnd"/>
            <w:r w:rsidR="00A373A6">
              <w:rPr>
                <w:rStyle w:val="NormalCharacter"/>
                <w:rFonts w:ascii="宋体" w:hAnsi="宋体" w:hint="eastAsia"/>
                <w:sz w:val="24"/>
              </w:rPr>
              <w:t>、</w:t>
            </w:r>
            <w:proofErr w:type="gramStart"/>
            <w:r w:rsidR="00A373A6">
              <w:rPr>
                <w:rStyle w:val="NormalCharacter"/>
                <w:rFonts w:ascii="宋体" w:hAnsi="宋体" w:hint="eastAsia"/>
                <w:sz w:val="24"/>
              </w:rPr>
              <w:t>杭州巨基资产</w:t>
            </w:r>
            <w:proofErr w:type="gramEnd"/>
            <w:r w:rsidR="00A373A6">
              <w:rPr>
                <w:rStyle w:val="NormalCharacter"/>
                <w:rFonts w:ascii="宋体" w:hAnsi="宋体" w:hint="eastAsia"/>
                <w:sz w:val="24"/>
              </w:rPr>
              <w:t>、致道投资、</w:t>
            </w:r>
            <w:r w:rsidR="00A373A6" w:rsidRPr="00CA50A2">
              <w:rPr>
                <w:rStyle w:val="NormalCharacter"/>
                <w:rFonts w:ascii="宋体" w:hAnsi="宋体" w:hint="eastAsia"/>
                <w:sz w:val="24"/>
              </w:rPr>
              <w:t>杭州金投、</w:t>
            </w:r>
            <w:proofErr w:type="gramStart"/>
            <w:r w:rsidR="00A373A6">
              <w:rPr>
                <w:rStyle w:val="NormalCharacter"/>
                <w:rFonts w:ascii="宋体" w:hAnsi="宋体" w:hint="eastAsia"/>
                <w:sz w:val="24"/>
              </w:rPr>
              <w:t>浙江图原资产</w:t>
            </w:r>
            <w:proofErr w:type="gramEnd"/>
            <w:r w:rsidR="00A373A6">
              <w:rPr>
                <w:rStyle w:val="NormalCharacter"/>
                <w:rFonts w:ascii="宋体" w:hAnsi="宋体" w:hint="eastAsia"/>
                <w:sz w:val="24"/>
              </w:rPr>
              <w:t>、</w:t>
            </w:r>
            <w:proofErr w:type="gramStart"/>
            <w:r w:rsidR="00A373A6">
              <w:rPr>
                <w:rStyle w:val="NormalCharacter"/>
                <w:rFonts w:ascii="宋体" w:hAnsi="宋体" w:hint="eastAsia"/>
                <w:sz w:val="24"/>
              </w:rPr>
              <w:t>巨古集团</w:t>
            </w:r>
            <w:proofErr w:type="gramEnd"/>
            <w:r w:rsidR="00A373A6">
              <w:rPr>
                <w:rStyle w:val="NormalCharacter"/>
                <w:rFonts w:ascii="宋体" w:hAnsi="宋体" w:hint="eastAsia"/>
                <w:sz w:val="24"/>
              </w:rPr>
              <w:t>、</w:t>
            </w:r>
            <w:proofErr w:type="gramStart"/>
            <w:r w:rsidR="00A373A6">
              <w:rPr>
                <w:rStyle w:val="NormalCharacter"/>
                <w:rFonts w:ascii="宋体" w:hAnsi="宋体" w:hint="eastAsia"/>
                <w:sz w:val="24"/>
              </w:rPr>
              <w:t>浙江景裕资产</w:t>
            </w:r>
            <w:proofErr w:type="gramEnd"/>
            <w:r w:rsidR="00A373A6">
              <w:rPr>
                <w:rStyle w:val="NormalCharacter"/>
                <w:rFonts w:ascii="宋体" w:hAnsi="宋体" w:hint="eastAsia"/>
                <w:sz w:val="24"/>
              </w:rPr>
              <w:t>、巨星控股集团、杭州东方嘉富资产、深圳</w:t>
            </w:r>
            <w:proofErr w:type="gramStart"/>
            <w:r w:rsidR="00A373A6">
              <w:rPr>
                <w:rStyle w:val="NormalCharacter"/>
                <w:rFonts w:ascii="宋体" w:hAnsi="宋体" w:hint="eastAsia"/>
                <w:sz w:val="24"/>
              </w:rPr>
              <w:t>前海国元基金</w:t>
            </w:r>
            <w:proofErr w:type="gramEnd"/>
            <w:r w:rsidR="00A373A6">
              <w:rPr>
                <w:rStyle w:val="NormalCharacter"/>
                <w:rFonts w:ascii="宋体" w:hAnsi="宋体" w:hint="eastAsia"/>
                <w:sz w:val="24"/>
              </w:rPr>
              <w:t>、伟</w:t>
            </w:r>
            <w:proofErr w:type="gramStart"/>
            <w:r w:rsidR="00A373A6">
              <w:rPr>
                <w:rStyle w:val="NormalCharacter"/>
                <w:rFonts w:ascii="宋体" w:hAnsi="宋体" w:hint="eastAsia"/>
                <w:sz w:val="24"/>
              </w:rPr>
              <w:t>晟</w:t>
            </w:r>
            <w:proofErr w:type="gramEnd"/>
            <w:r w:rsidR="00A373A6">
              <w:rPr>
                <w:rStyle w:val="NormalCharacter"/>
                <w:rFonts w:ascii="宋体" w:hAnsi="宋体" w:hint="eastAsia"/>
                <w:sz w:val="24"/>
              </w:rPr>
              <w:t>投资、杭州甄盛科技、杭州正班资产、华信设计、杭州城投网新资产、</w:t>
            </w:r>
            <w:proofErr w:type="gramStart"/>
            <w:r w:rsidR="00A373A6">
              <w:rPr>
                <w:rStyle w:val="NormalCharacter"/>
                <w:rFonts w:ascii="宋体" w:hAnsi="宋体" w:hint="eastAsia"/>
                <w:sz w:val="24"/>
              </w:rPr>
              <w:t>杭州玖誉资产</w:t>
            </w:r>
            <w:proofErr w:type="gramEnd"/>
            <w:r w:rsidR="00A373A6">
              <w:rPr>
                <w:rStyle w:val="NormalCharacter"/>
                <w:rFonts w:ascii="宋体" w:hAnsi="宋体" w:hint="eastAsia"/>
                <w:sz w:val="24"/>
              </w:rPr>
              <w:t>、</w:t>
            </w:r>
            <w:proofErr w:type="gramStart"/>
            <w:r w:rsidR="00A373A6">
              <w:rPr>
                <w:rStyle w:val="NormalCharacter"/>
                <w:rFonts w:ascii="宋体" w:hAnsi="宋体" w:hint="eastAsia"/>
                <w:sz w:val="24"/>
              </w:rPr>
              <w:t>上海承周资产</w:t>
            </w:r>
            <w:proofErr w:type="gramEnd"/>
            <w:r w:rsidR="00A373A6">
              <w:rPr>
                <w:rStyle w:val="NormalCharacter"/>
                <w:rFonts w:ascii="宋体" w:hAnsi="宋体" w:hint="eastAsia"/>
                <w:sz w:val="24"/>
              </w:rPr>
              <w:t>、浙江省中医药健康产业集团、上海</w:t>
            </w:r>
            <w:proofErr w:type="gramStart"/>
            <w:r w:rsidR="00A373A6">
              <w:rPr>
                <w:rStyle w:val="NormalCharacter"/>
                <w:rFonts w:ascii="宋体" w:hAnsi="宋体" w:hint="eastAsia"/>
                <w:sz w:val="24"/>
              </w:rPr>
              <w:t>宇博投资</w:t>
            </w:r>
            <w:proofErr w:type="gramEnd"/>
            <w:r w:rsidR="00A373A6">
              <w:rPr>
                <w:rStyle w:val="NormalCharacter"/>
                <w:rFonts w:ascii="宋体" w:hAnsi="宋体" w:hint="eastAsia"/>
                <w:sz w:val="24"/>
              </w:rPr>
              <w:t>咨询、杭州一加一控股、</w:t>
            </w:r>
            <w:proofErr w:type="gramStart"/>
            <w:r w:rsidR="00A373A6">
              <w:rPr>
                <w:rStyle w:val="NormalCharacter"/>
                <w:rFonts w:ascii="宋体" w:hAnsi="宋体" w:hint="eastAsia"/>
                <w:sz w:val="24"/>
              </w:rPr>
              <w:t>杭州八采中</w:t>
            </w:r>
            <w:proofErr w:type="gramEnd"/>
            <w:r w:rsidR="00A373A6">
              <w:rPr>
                <w:rStyle w:val="NormalCharacter"/>
                <w:rFonts w:ascii="宋体" w:hAnsi="宋体" w:hint="eastAsia"/>
                <w:sz w:val="24"/>
              </w:rPr>
              <w:t>资产、杭州火</w:t>
            </w:r>
            <w:proofErr w:type="gramStart"/>
            <w:r w:rsidR="00A373A6">
              <w:rPr>
                <w:rStyle w:val="NormalCharacter"/>
                <w:rFonts w:ascii="宋体" w:hAnsi="宋体" w:hint="eastAsia"/>
                <w:sz w:val="24"/>
              </w:rPr>
              <w:t>炎</w:t>
            </w:r>
            <w:r w:rsidR="00CA50A2">
              <w:rPr>
                <w:rStyle w:val="NormalCharacter"/>
                <w:rFonts w:ascii="宋体" w:hAnsi="宋体" w:hint="eastAsia"/>
                <w:sz w:val="24"/>
              </w:rPr>
              <w:t>资产</w:t>
            </w:r>
            <w:proofErr w:type="gramEnd"/>
            <w:r>
              <w:rPr>
                <w:rStyle w:val="NormalCharacter"/>
                <w:rFonts w:ascii="宋体" w:hAnsi="宋体" w:hint="eastAsia"/>
                <w:sz w:val="24"/>
              </w:rPr>
              <w:t>以及个人</w:t>
            </w:r>
            <w:r w:rsidR="00A373A6">
              <w:rPr>
                <w:rStyle w:val="NormalCharacter"/>
                <w:rFonts w:ascii="宋体" w:hAnsi="宋体" w:hint="eastAsia"/>
                <w:sz w:val="24"/>
              </w:rPr>
              <w:t>投资者等</w:t>
            </w:r>
            <w:r w:rsidR="00A373A6">
              <w:rPr>
                <w:kern w:val="0"/>
                <w:sz w:val="24"/>
              </w:rPr>
              <w:t>共约</w:t>
            </w:r>
            <w:r w:rsidR="00A373A6">
              <w:rPr>
                <w:rFonts w:hint="eastAsia"/>
                <w:kern w:val="0"/>
                <w:sz w:val="24"/>
              </w:rPr>
              <w:t>3</w:t>
            </w:r>
            <w:r w:rsidR="00A373A6">
              <w:rPr>
                <w:kern w:val="0"/>
                <w:sz w:val="24"/>
              </w:rPr>
              <w:t>0</w:t>
            </w:r>
            <w:r w:rsidR="00A373A6">
              <w:rPr>
                <w:kern w:val="0"/>
                <w:sz w:val="24"/>
              </w:rPr>
              <w:t>余人。</w:t>
            </w:r>
          </w:p>
        </w:tc>
      </w:tr>
      <w:tr w:rsidR="005665D4" w14:paraId="34F45327" w14:textId="77777777">
        <w:trPr>
          <w:trHeight w:val="595"/>
        </w:trPr>
        <w:tc>
          <w:tcPr>
            <w:tcW w:w="1242" w:type="dxa"/>
            <w:tcBorders>
              <w:top w:val="single" w:sz="4" w:space="0" w:color="000000"/>
              <w:left w:val="single" w:sz="4" w:space="0" w:color="000000"/>
              <w:bottom w:val="single" w:sz="4" w:space="0" w:color="000000"/>
              <w:right w:val="single" w:sz="4" w:space="0" w:color="000000"/>
            </w:tcBorders>
          </w:tcPr>
          <w:p w14:paraId="3A2E9D33" w14:textId="77777777" w:rsidR="005665D4" w:rsidRDefault="00A373A6">
            <w:pPr>
              <w:spacing w:line="440" w:lineRule="exact"/>
              <w:rPr>
                <w:rStyle w:val="NormalCharacter"/>
                <w:bCs/>
                <w:iCs/>
                <w:sz w:val="24"/>
              </w:rPr>
            </w:pPr>
            <w:r>
              <w:rPr>
                <w:rStyle w:val="NormalCharacter"/>
                <w:bCs/>
                <w:iCs/>
                <w:sz w:val="24"/>
              </w:rPr>
              <w:t>时间</w:t>
            </w:r>
          </w:p>
        </w:tc>
        <w:tc>
          <w:tcPr>
            <w:tcW w:w="7302" w:type="dxa"/>
            <w:tcBorders>
              <w:top w:val="single" w:sz="4" w:space="0" w:color="000000"/>
              <w:left w:val="single" w:sz="4" w:space="0" w:color="000000"/>
              <w:bottom w:val="single" w:sz="4" w:space="0" w:color="000000"/>
              <w:right w:val="single" w:sz="4" w:space="0" w:color="000000"/>
            </w:tcBorders>
          </w:tcPr>
          <w:p w14:paraId="295174A3" w14:textId="77777777" w:rsidR="005665D4" w:rsidRDefault="00A373A6">
            <w:pPr>
              <w:spacing w:line="440" w:lineRule="exact"/>
              <w:rPr>
                <w:rStyle w:val="NormalCharacter"/>
                <w:bCs/>
                <w:iCs/>
                <w:sz w:val="24"/>
              </w:rPr>
            </w:pPr>
            <w:r>
              <w:rPr>
                <w:rStyle w:val="NormalCharacter"/>
                <w:bCs/>
                <w:iCs/>
                <w:sz w:val="24"/>
              </w:rPr>
              <w:t>2020</w:t>
            </w:r>
            <w:r>
              <w:rPr>
                <w:rStyle w:val="NormalCharacter"/>
                <w:bCs/>
                <w:iCs/>
                <w:sz w:val="24"/>
              </w:rPr>
              <w:t>年</w:t>
            </w:r>
            <w:r>
              <w:rPr>
                <w:rStyle w:val="NormalCharacter"/>
                <w:bCs/>
                <w:iCs/>
                <w:sz w:val="24"/>
              </w:rPr>
              <w:t>11</w:t>
            </w:r>
            <w:r>
              <w:rPr>
                <w:rStyle w:val="NormalCharacter"/>
                <w:bCs/>
                <w:iCs/>
                <w:sz w:val="24"/>
              </w:rPr>
              <w:t>月</w:t>
            </w:r>
            <w:r>
              <w:rPr>
                <w:rStyle w:val="NormalCharacter"/>
                <w:rFonts w:hint="eastAsia"/>
                <w:bCs/>
                <w:iCs/>
                <w:sz w:val="24"/>
              </w:rPr>
              <w:t>10</w:t>
            </w:r>
            <w:r>
              <w:rPr>
                <w:rStyle w:val="NormalCharacter"/>
                <w:bCs/>
                <w:iCs/>
                <w:sz w:val="24"/>
              </w:rPr>
              <w:t>日</w:t>
            </w:r>
          </w:p>
        </w:tc>
      </w:tr>
      <w:tr w:rsidR="005665D4" w14:paraId="1B085232" w14:textId="77777777">
        <w:trPr>
          <w:trHeight w:val="670"/>
        </w:trPr>
        <w:tc>
          <w:tcPr>
            <w:tcW w:w="1242" w:type="dxa"/>
            <w:tcBorders>
              <w:top w:val="single" w:sz="4" w:space="0" w:color="000000"/>
              <w:left w:val="single" w:sz="4" w:space="0" w:color="000000"/>
              <w:bottom w:val="single" w:sz="4" w:space="0" w:color="000000"/>
              <w:right w:val="single" w:sz="4" w:space="0" w:color="000000"/>
            </w:tcBorders>
          </w:tcPr>
          <w:p w14:paraId="1C26D304" w14:textId="77777777" w:rsidR="005665D4" w:rsidRDefault="00A373A6">
            <w:pPr>
              <w:spacing w:line="440" w:lineRule="exact"/>
              <w:rPr>
                <w:rStyle w:val="NormalCharacter"/>
                <w:bCs/>
                <w:iCs/>
                <w:sz w:val="24"/>
              </w:rPr>
            </w:pPr>
            <w:r>
              <w:rPr>
                <w:rStyle w:val="NormalCharacter"/>
                <w:bCs/>
                <w:iCs/>
                <w:sz w:val="24"/>
              </w:rPr>
              <w:t>地点</w:t>
            </w:r>
          </w:p>
        </w:tc>
        <w:tc>
          <w:tcPr>
            <w:tcW w:w="7302" w:type="dxa"/>
            <w:tcBorders>
              <w:top w:val="single" w:sz="4" w:space="0" w:color="000000"/>
              <w:left w:val="single" w:sz="4" w:space="0" w:color="000000"/>
              <w:bottom w:val="single" w:sz="4" w:space="0" w:color="000000"/>
              <w:right w:val="single" w:sz="4" w:space="0" w:color="000000"/>
            </w:tcBorders>
          </w:tcPr>
          <w:p w14:paraId="1879FDBF" w14:textId="77777777" w:rsidR="005665D4" w:rsidRDefault="00A373A6">
            <w:pPr>
              <w:spacing w:line="440" w:lineRule="exact"/>
              <w:rPr>
                <w:rStyle w:val="NormalCharacter"/>
                <w:bCs/>
                <w:iCs/>
                <w:sz w:val="24"/>
              </w:rPr>
            </w:pPr>
            <w:r>
              <w:rPr>
                <w:rStyle w:val="NormalCharacter"/>
                <w:bCs/>
                <w:iCs/>
                <w:sz w:val="24"/>
              </w:rPr>
              <w:t>公司</w:t>
            </w:r>
          </w:p>
        </w:tc>
      </w:tr>
      <w:tr w:rsidR="005665D4" w14:paraId="56176B57" w14:textId="77777777">
        <w:trPr>
          <w:trHeight w:val="1197"/>
        </w:trPr>
        <w:tc>
          <w:tcPr>
            <w:tcW w:w="1242" w:type="dxa"/>
            <w:tcBorders>
              <w:top w:val="single" w:sz="4" w:space="0" w:color="000000"/>
              <w:left w:val="single" w:sz="4" w:space="0" w:color="000000"/>
              <w:bottom w:val="single" w:sz="4" w:space="0" w:color="000000"/>
              <w:right w:val="single" w:sz="4" w:space="0" w:color="000000"/>
            </w:tcBorders>
          </w:tcPr>
          <w:p w14:paraId="2945F86B" w14:textId="77777777" w:rsidR="005665D4" w:rsidRDefault="00A373A6">
            <w:pPr>
              <w:spacing w:line="440" w:lineRule="exact"/>
              <w:rPr>
                <w:rStyle w:val="NormalCharacter"/>
                <w:bCs/>
                <w:iCs/>
                <w:sz w:val="24"/>
              </w:rPr>
            </w:pPr>
            <w:r>
              <w:rPr>
                <w:rStyle w:val="NormalCharacter"/>
                <w:bCs/>
                <w:iCs/>
                <w:sz w:val="24"/>
              </w:rPr>
              <w:t>上市公司接待人员姓名</w:t>
            </w:r>
          </w:p>
        </w:tc>
        <w:tc>
          <w:tcPr>
            <w:tcW w:w="7302" w:type="dxa"/>
            <w:tcBorders>
              <w:top w:val="single" w:sz="4" w:space="0" w:color="000000"/>
              <w:left w:val="single" w:sz="4" w:space="0" w:color="000000"/>
              <w:bottom w:val="single" w:sz="4" w:space="0" w:color="000000"/>
              <w:right w:val="single" w:sz="4" w:space="0" w:color="000000"/>
            </w:tcBorders>
          </w:tcPr>
          <w:p w14:paraId="7C57F9CF" w14:textId="77777777" w:rsidR="005665D4" w:rsidRDefault="00A373A6">
            <w:pPr>
              <w:spacing w:line="440" w:lineRule="exact"/>
              <w:rPr>
                <w:rStyle w:val="NormalCharacter"/>
                <w:bCs/>
                <w:iCs/>
                <w:sz w:val="24"/>
              </w:rPr>
            </w:pPr>
            <w:r>
              <w:rPr>
                <w:rStyle w:val="NormalCharacter"/>
                <w:rFonts w:ascii="宋体" w:hAnsi="宋体"/>
                <w:bCs/>
                <w:iCs/>
                <w:sz w:val="24"/>
              </w:rPr>
              <w:t>公司董事会秘书</w:t>
            </w:r>
            <w:r>
              <w:rPr>
                <w:rStyle w:val="NormalCharacter"/>
                <w:rFonts w:ascii="宋体" w:hAnsi="宋体" w:hint="eastAsia"/>
                <w:bCs/>
                <w:iCs/>
                <w:sz w:val="24"/>
              </w:rPr>
              <w:t>、证券事务代表</w:t>
            </w:r>
          </w:p>
        </w:tc>
      </w:tr>
      <w:tr w:rsidR="005665D4" w14:paraId="7F80A546" w14:textId="77777777">
        <w:tc>
          <w:tcPr>
            <w:tcW w:w="1242" w:type="dxa"/>
            <w:tcBorders>
              <w:top w:val="single" w:sz="4" w:space="0" w:color="000000"/>
              <w:left w:val="single" w:sz="4" w:space="0" w:color="000000"/>
              <w:bottom w:val="single" w:sz="4" w:space="0" w:color="000000"/>
              <w:right w:val="single" w:sz="4" w:space="0" w:color="000000"/>
            </w:tcBorders>
            <w:vAlign w:val="center"/>
          </w:tcPr>
          <w:p w14:paraId="5B7DCD3C" w14:textId="77777777" w:rsidR="005665D4" w:rsidRDefault="00A373A6">
            <w:pPr>
              <w:spacing w:line="440" w:lineRule="exact"/>
              <w:rPr>
                <w:rStyle w:val="NormalCharacter"/>
                <w:bCs/>
                <w:iCs/>
                <w:sz w:val="24"/>
              </w:rPr>
            </w:pPr>
            <w:r>
              <w:rPr>
                <w:rStyle w:val="NormalCharacter"/>
                <w:bCs/>
                <w:iCs/>
                <w:sz w:val="24"/>
              </w:rPr>
              <w:t>投资者关系活动主要内容介绍</w:t>
            </w:r>
          </w:p>
        </w:tc>
        <w:tc>
          <w:tcPr>
            <w:tcW w:w="7302" w:type="dxa"/>
            <w:tcBorders>
              <w:top w:val="single" w:sz="4" w:space="0" w:color="000000"/>
              <w:left w:val="single" w:sz="4" w:space="0" w:color="000000"/>
              <w:bottom w:val="single" w:sz="4" w:space="0" w:color="000000"/>
              <w:right w:val="single" w:sz="4" w:space="0" w:color="000000"/>
            </w:tcBorders>
          </w:tcPr>
          <w:p w14:paraId="04374E78" w14:textId="77777777" w:rsidR="005665D4" w:rsidRPr="00D55CB3" w:rsidRDefault="00A373A6" w:rsidP="0025685D">
            <w:pPr>
              <w:spacing w:line="520" w:lineRule="exact"/>
              <w:ind w:firstLineChars="200" w:firstLine="482"/>
              <w:rPr>
                <w:rFonts w:ascii="宋体" w:hAnsi="宋体" w:cs="宋体"/>
                <w:b/>
                <w:kern w:val="0"/>
                <w:sz w:val="24"/>
              </w:rPr>
            </w:pPr>
            <w:r w:rsidRPr="00D55CB3">
              <w:rPr>
                <w:rFonts w:ascii="宋体" w:hAnsi="宋体" w:cs="宋体"/>
                <w:b/>
                <w:kern w:val="0"/>
                <w:sz w:val="24"/>
              </w:rPr>
              <w:t>一、</w:t>
            </w:r>
            <w:r w:rsidRPr="00D55CB3">
              <w:rPr>
                <w:rFonts w:ascii="宋体" w:hAnsi="宋体" w:cs="宋体" w:hint="eastAsia"/>
                <w:b/>
                <w:kern w:val="0"/>
                <w:sz w:val="24"/>
              </w:rPr>
              <w:t>参观公司展厅</w:t>
            </w:r>
          </w:p>
          <w:p w14:paraId="58C9F2A3" w14:textId="0A066CC5" w:rsidR="003E6A44" w:rsidRPr="0025685D" w:rsidRDefault="00A373A6" w:rsidP="0025685D">
            <w:pPr>
              <w:spacing w:line="520" w:lineRule="exact"/>
              <w:ind w:firstLineChars="200" w:firstLine="480"/>
              <w:rPr>
                <w:rFonts w:ascii="宋体" w:hAnsi="宋体" w:cs="宋体"/>
                <w:kern w:val="0"/>
                <w:sz w:val="24"/>
              </w:rPr>
            </w:pPr>
            <w:r w:rsidRPr="0025685D">
              <w:rPr>
                <w:rFonts w:ascii="宋体" w:hAnsi="宋体" w:cs="宋体" w:hint="eastAsia"/>
                <w:kern w:val="0"/>
                <w:sz w:val="24"/>
              </w:rPr>
              <w:t>公司组织</w:t>
            </w:r>
            <w:r w:rsidR="00782F6D" w:rsidRPr="0025685D">
              <w:rPr>
                <w:rFonts w:ascii="宋体" w:hAnsi="宋体" w:cs="宋体" w:hint="eastAsia"/>
                <w:kern w:val="0"/>
                <w:sz w:val="24"/>
              </w:rPr>
              <w:t>来访客人、</w:t>
            </w:r>
            <w:r w:rsidRPr="0025685D">
              <w:rPr>
                <w:rFonts w:ascii="宋体" w:hAnsi="宋体" w:cs="宋体" w:hint="eastAsia"/>
                <w:kern w:val="0"/>
                <w:sz w:val="24"/>
              </w:rPr>
              <w:t>投资者参观公司展厅</w:t>
            </w:r>
            <w:r w:rsidR="00850878">
              <w:rPr>
                <w:rFonts w:ascii="宋体" w:hAnsi="宋体" w:cs="宋体" w:hint="eastAsia"/>
                <w:kern w:val="0"/>
                <w:sz w:val="24"/>
              </w:rPr>
              <w:t>，了解公司发展历程</w:t>
            </w:r>
            <w:r w:rsidR="00511BA1">
              <w:rPr>
                <w:rFonts w:ascii="宋体" w:hAnsi="宋体" w:cs="宋体" w:hint="eastAsia"/>
                <w:kern w:val="0"/>
                <w:sz w:val="24"/>
              </w:rPr>
              <w:t>、</w:t>
            </w:r>
            <w:r w:rsidR="00B445AA">
              <w:rPr>
                <w:rFonts w:ascii="宋体" w:hAnsi="宋体" w:cs="宋体" w:hint="eastAsia"/>
                <w:kern w:val="0"/>
                <w:sz w:val="24"/>
              </w:rPr>
              <w:t>企业文化、</w:t>
            </w:r>
            <w:r w:rsidR="00511BA1">
              <w:rPr>
                <w:rFonts w:ascii="宋体" w:hAnsi="宋体" w:cs="宋体" w:hint="eastAsia"/>
                <w:kern w:val="0"/>
                <w:sz w:val="24"/>
              </w:rPr>
              <w:t>产品信息</w:t>
            </w:r>
            <w:r w:rsidR="00B445AA">
              <w:rPr>
                <w:rFonts w:ascii="宋体" w:hAnsi="宋体" w:cs="宋体" w:hint="eastAsia"/>
                <w:kern w:val="0"/>
                <w:sz w:val="24"/>
              </w:rPr>
              <w:t>、业务发展状况</w:t>
            </w:r>
            <w:r w:rsidR="00511BA1">
              <w:rPr>
                <w:rFonts w:ascii="宋体" w:hAnsi="宋体" w:cs="宋体" w:hint="eastAsia"/>
                <w:kern w:val="0"/>
                <w:sz w:val="24"/>
              </w:rPr>
              <w:t>以及</w:t>
            </w:r>
            <w:r w:rsidR="00B445AA">
              <w:rPr>
                <w:rFonts w:ascii="宋体" w:hAnsi="宋体" w:cs="宋体" w:hint="eastAsia"/>
                <w:kern w:val="0"/>
                <w:sz w:val="24"/>
              </w:rPr>
              <w:t>社会责任等情况</w:t>
            </w:r>
            <w:r w:rsidR="00782F6D" w:rsidRPr="0025685D">
              <w:rPr>
                <w:rFonts w:ascii="宋体" w:hAnsi="宋体" w:cs="宋体" w:hint="eastAsia"/>
                <w:kern w:val="0"/>
                <w:sz w:val="24"/>
              </w:rPr>
              <w:t>。</w:t>
            </w:r>
          </w:p>
          <w:p w14:paraId="566E3506" w14:textId="77777777" w:rsidR="003E6A44" w:rsidRPr="0025685D" w:rsidRDefault="003E6A44" w:rsidP="0025685D">
            <w:pPr>
              <w:spacing w:line="520" w:lineRule="exact"/>
              <w:ind w:firstLineChars="200" w:firstLine="480"/>
              <w:rPr>
                <w:rFonts w:ascii="宋体" w:hAnsi="宋体" w:cs="宋体"/>
                <w:kern w:val="0"/>
                <w:sz w:val="24"/>
              </w:rPr>
            </w:pPr>
          </w:p>
          <w:p w14:paraId="5CF510E7" w14:textId="77777777" w:rsidR="005665D4" w:rsidRPr="00D55CB3" w:rsidRDefault="00A373A6" w:rsidP="0025685D">
            <w:pPr>
              <w:spacing w:line="520" w:lineRule="exact"/>
              <w:ind w:firstLineChars="200" w:firstLine="482"/>
              <w:rPr>
                <w:rFonts w:ascii="宋体" w:hAnsi="宋体" w:cs="宋体"/>
                <w:b/>
                <w:kern w:val="0"/>
                <w:sz w:val="24"/>
              </w:rPr>
            </w:pPr>
            <w:r w:rsidRPr="00D55CB3">
              <w:rPr>
                <w:rFonts w:ascii="宋体" w:hAnsi="宋体" w:cs="宋体" w:hint="eastAsia"/>
                <w:b/>
                <w:kern w:val="0"/>
                <w:sz w:val="24"/>
              </w:rPr>
              <w:t>二</w:t>
            </w:r>
            <w:r w:rsidRPr="00D55CB3">
              <w:rPr>
                <w:rFonts w:ascii="宋体" w:hAnsi="宋体" w:cs="宋体"/>
                <w:b/>
                <w:kern w:val="0"/>
                <w:sz w:val="24"/>
              </w:rPr>
              <w:t>、</w:t>
            </w:r>
            <w:r w:rsidRPr="00D55CB3">
              <w:rPr>
                <w:rFonts w:ascii="宋体" w:hAnsi="宋体" w:cs="宋体" w:hint="eastAsia"/>
                <w:b/>
                <w:kern w:val="0"/>
                <w:sz w:val="24"/>
              </w:rPr>
              <w:t>公司经营情况介绍</w:t>
            </w:r>
          </w:p>
          <w:p w14:paraId="40965312" w14:textId="77777777" w:rsidR="00575B68" w:rsidRDefault="00A373A6" w:rsidP="00575B68">
            <w:pPr>
              <w:spacing w:line="520" w:lineRule="exact"/>
              <w:ind w:firstLineChars="200" w:firstLine="480"/>
              <w:rPr>
                <w:rFonts w:ascii="宋体" w:hAnsi="宋体" w:cs="宋体"/>
                <w:kern w:val="0"/>
                <w:sz w:val="24"/>
              </w:rPr>
            </w:pPr>
            <w:r w:rsidRPr="0025685D">
              <w:rPr>
                <w:rFonts w:ascii="宋体" w:hAnsi="宋体" w:cs="宋体" w:hint="eastAsia"/>
                <w:kern w:val="0"/>
                <w:sz w:val="24"/>
              </w:rPr>
              <w:t>公司董事会秘书对</w:t>
            </w:r>
            <w:r w:rsidR="003E6A44" w:rsidRPr="0025685D">
              <w:rPr>
                <w:rFonts w:ascii="宋体" w:hAnsi="宋体" w:cs="宋体" w:hint="eastAsia"/>
                <w:kern w:val="0"/>
                <w:sz w:val="24"/>
              </w:rPr>
              <w:t>公司</w:t>
            </w:r>
            <w:r w:rsidR="00850878">
              <w:rPr>
                <w:rFonts w:ascii="宋体" w:hAnsi="宋体" w:cs="宋体" w:hint="eastAsia"/>
                <w:kern w:val="0"/>
                <w:sz w:val="24"/>
              </w:rPr>
              <w:t>经营情况</w:t>
            </w:r>
            <w:r w:rsidRPr="0025685D">
              <w:rPr>
                <w:rFonts w:ascii="宋体" w:hAnsi="宋体" w:cs="宋体" w:hint="eastAsia"/>
                <w:kern w:val="0"/>
                <w:sz w:val="24"/>
              </w:rPr>
              <w:t>作简要介绍。</w:t>
            </w:r>
          </w:p>
          <w:p w14:paraId="61FDBB9E" w14:textId="77777777" w:rsidR="00575B68" w:rsidRDefault="00575B68" w:rsidP="00575B68">
            <w:pPr>
              <w:spacing w:line="520" w:lineRule="exact"/>
              <w:ind w:firstLineChars="200" w:firstLine="480"/>
              <w:rPr>
                <w:rFonts w:ascii="宋体" w:hAnsi="宋体" w:cs="宋体"/>
                <w:kern w:val="0"/>
                <w:sz w:val="24"/>
              </w:rPr>
            </w:pPr>
            <w:r>
              <w:rPr>
                <w:rFonts w:ascii="宋体" w:hAnsi="宋体" w:cs="宋体" w:hint="eastAsia"/>
                <w:kern w:val="0"/>
                <w:sz w:val="24"/>
              </w:rPr>
              <w:t>作为一</w:t>
            </w:r>
            <w:r w:rsidRPr="0025685D">
              <w:rPr>
                <w:rFonts w:ascii="宋体" w:hAnsi="宋体" w:cs="宋体"/>
                <w:kern w:val="0"/>
                <w:sz w:val="24"/>
              </w:rPr>
              <w:t>家集</w:t>
            </w:r>
            <w:r w:rsidRPr="0025685D">
              <w:rPr>
                <w:rFonts w:ascii="宋体" w:hAnsi="宋体" w:cs="宋体" w:hint="eastAsia"/>
                <w:kern w:val="0"/>
                <w:sz w:val="24"/>
              </w:rPr>
              <w:t>医药</w:t>
            </w:r>
            <w:r w:rsidRPr="0025685D">
              <w:rPr>
                <w:rFonts w:ascii="宋体" w:hAnsi="宋体" w:cs="宋体"/>
                <w:kern w:val="0"/>
                <w:sz w:val="24"/>
              </w:rPr>
              <w:t>研发、</w:t>
            </w:r>
            <w:r w:rsidRPr="0025685D">
              <w:rPr>
                <w:rFonts w:ascii="宋体" w:hAnsi="宋体" w:cs="宋体" w:hint="eastAsia"/>
                <w:kern w:val="0"/>
                <w:sz w:val="24"/>
              </w:rPr>
              <w:t>生产、经销为一体的大型综合性医药上市公司</w:t>
            </w:r>
            <w:r>
              <w:rPr>
                <w:rFonts w:ascii="宋体" w:hAnsi="宋体" w:cs="宋体" w:hint="eastAsia"/>
                <w:kern w:val="0"/>
                <w:sz w:val="24"/>
              </w:rPr>
              <w:t>，</w:t>
            </w:r>
            <w:r w:rsidRPr="0025685D">
              <w:rPr>
                <w:rFonts w:ascii="宋体" w:hAnsi="宋体" w:cs="宋体" w:hint="eastAsia"/>
                <w:kern w:val="0"/>
                <w:sz w:val="24"/>
              </w:rPr>
              <w:t>公司秉承“以科研为基础、以患者为中心”的企业理念，立足于医药健康产业，以医药工业为主导，同时拓展医药商业和</w:t>
            </w:r>
            <w:proofErr w:type="gramStart"/>
            <w:r w:rsidRPr="0025685D">
              <w:rPr>
                <w:rFonts w:ascii="宋体" w:hAnsi="宋体" w:cs="宋体" w:hint="eastAsia"/>
                <w:kern w:val="0"/>
                <w:sz w:val="24"/>
              </w:rPr>
              <w:t>医美</w:t>
            </w:r>
            <w:proofErr w:type="gramEnd"/>
            <w:r w:rsidRPr="0025685D">
              <w:rPr>
                <w:rFonts w:ascii="宋体" w:hAnsi="宋体" w:cs="宋体" w:hint="eastAsia"/>
                <w:kern w:val="0"/>
                <w:sz w:val="24"/>
              </w:rPr>
              <w:t>产业。</w:t>
            </w:r>
            <w:r w:rsidR="004F2BF2">
              <w:rPr>
                <w:rFonts w:ascii="宋体" w:hAnsi="宋体" w:cs="宋体" w:hint="eastAsia"/>
                <w:kern w:val="0"/>
                <w:sz w:val="24"/>
              </w:rPr>
              <w:t>今年以来，公司生产经营稳健，业绩保持持续增长。</w:t>
            </w:r>
          </w:p>
          <w:p w14:paraId="5E1393AF" w14:textId="77777777" w:rsidR="005665D4" w:rsidRPr="0025685D" w:rsidRDefault="00D34173" w:rsidP="00575B68">
            <w:pPr>
              <w:spacing w:line="520" w:lineRule="exact"/>
              <w:ind w:firstLineChars="200" w:firstLine="480"/>
              <w:rPr>
                <w:rFonts w:ascii="宋体" w:hAnsi="宋体" w:cs="宋体"/>
                <w:kern w:val="0"/>
                <w:sz w:val="24"/>
              </w:rPr>
            </w:pPr>
            <w:r>
              <w:rPr>
                <w:rFonts w:ascii="宋体" w:hAnsi="宋体" w:cs="宋体" w:hint="eastAsia"/>
                <w:kern w:val="0"/>
                <w:sz w:val="24"/>
              </w:rPr>
              <w:t>公司现有主要工业产品市场销售稳步增长，同时，</w:t>
            </w:r>
            <w:r w:rsidR="00575B68">
              <w:rPr>
                <w:rFonts w:ascii="宋体" w:hAnsi="宋体" w:cs="宋体" w:hint="eastAsia"/>
                <w:kern w:val="0"/>
                <w:sz w:val="24"/>
              </w:rPr>
              <w:t>公司</w:t>
            </w:r>
            <w:r w:rsidR="00575B68" w:rsidRPr="0025685D">
              <w:rPr>
                <w:rFonts w:ascii="宋体" w:hAnsi="宋体" w:cs="宋体" w:hint="eastAsia"/>
                <w:kern w:val="0"/>
                <w:sz w:val="24"/>
              </w:rPr>
              <w:t>通过自主开发、外部引进、项目合作等方式</w:t>
            </w:r>
            <w:r>
              <w:rPr>
                <w:rFonts w:ascii="宋体" w:hAnsi="宋体" w:cs="宋体" w:hint="eastAsia"/>
                <w:kern w:val="0"/>
                <w:sz w:val="24"/>
              </w:rPr>
              <w:t>，</w:t>
            </w:r>
            <w:r w:rsidR="00575B68" w:rsidRPr="0025685D">
              <w:rPr>
                <w:rFonts w:ascii="宋体" w:hAnsi="宋体" w:cs="宋体" w:hint="eastAsia"/>
                <w:kern w:val="0"/>
                <w:sz w:val="24"/>
              </w:rPr>
              <w:t>重点在抗肿瘤、内分泌和自身免疫三大核心治疗领域的创新药及高技术壁垒仿制药进行研发布局。</w:t>
            </w:r>
            <w:r w:rsidR="00575B68">
              <w:rPr>
                <w:rFonts w:ascii="宋体" w:hAnsi="宋体" w:cs="宋体" w:hint="eastAsia"/>
                <w:kern w:val="0"/>
                <w:sz w:val="24"/>
              </w:rPr>
              <w:t>医药商业</w:t>
            </w:r>
            <w:r w:rsidR="00A373A6" w:rsidRPr="0025685D">
              <w:rPr>
                <w:rFonts w:ascii="宋体" w:hAnsi="宋体" w:cs="宋体" w:hint="eastAsia"/>
                <w:kern w:val="0"/>
                <w:sz w:val="24"/>
              </w:rPr>
              <w:t>积极通过特色产品代理业务拓展全国市场，冷链物流配送业务处于全国领先水平。</w:t>
            </w:r>
            <w:proofErr w:type="gramStart"/>
            <w:r w:rsidR="00A373A6" w:rsidRPr="0025685D">
              <w:rPr>
                <w:rFonts w:ascii="宋体" w:hAnsi="宋体" w:cs="宋体" w:hint="eastAsia"/>
                <w:kern w:val="0"/>
                <w:sz w:val="24"/>
              </w:rPr>
              <w:t>医美业务</w:t>
            </w:r>
            <w:proofErr w:type="gramEnd"/>
            <w:r w:rsidR="00650C1B" w:rsidRPr="0025685D">
              <w:rPr>
                <w:rFonts w:ascii="宋体" w:hAnsi="宋体" w:cs="宋体" w:hint="eastAsia"/>
                <w:kern w:val="0"/>
                <w:sz w:val="24"/>
              </w:rPr>
              <w:t>采用“全球化运营布局，双循环经营发展”策略，将中国市场作为公司</w:t>
            </w:r>
            <w:proofErr w:type="gramStart"/>
            <w:r w:rsidR="00650C1B" w:rsidRPr="0025685D">
              <w:rPr>
                <w:rFonts w:ascii="宋体" w:hAnsi="宋体" w:cs="宋体" w:hint="eastAsia"/>
                <w:kern w:val="0"/>
                <w:sz w:val="24"/>
              </w:rPr>
              <w:t>医美业务</w:t>
            </w:r>
            <w:proofErr w:type="gramEnd"/>
            <w:r w:rsidR="00650C1B" w:rsidRPr="0025685D">
              <w:rPr>
                <w:rFonts w:ascii="宋体" w:hAnsi="宋体" w:cs="宋体" w:hint="eastAsia"/>
                <w:kern w:val="0"/>
                <w:sz w:val="24"/>
              </w:rPr>
              <w:t>一个特殊市场，将国际一流的、科技含金量高的产品陆续引入国内。</w:t>
            </w:r>
          </w:p>
          <w:p w14:paraId="30158102" w14:textId="77777777" w:rsidR="00B05797" w:rsidRPr="0025685D" w:rsidRDefault="00575B68" w:rsidP="0025685D">
            <w:pPr>
              <w:spacing w:line="520" w:lineRule="exact"/>
              <w:ind w:firstLineChars="200" w:firstLine="480"/>
              <w:rPr>
                <w:rFonts w:ascii="宋体" w:hAnsi="宋体" w:cs="宋体"/>
                <w:kern w:val="0"/>
                <w:sz w:val="24"/>
              </w:rPr>
            </w:pPr>
            <w:r>
              <w:rPr>
                <w:rFonts w:ascii="宋体" w:hAnsi="宋体" w:cs="宋体" w:hint="eastAsia"/>
                <w:kern w:val="0"/>
                <w:sz w:val="24"/>
              </w:rPr>
              <w:t>当前，</w:t>
            </w:r>
            <w:r w:rsidR="00B05797" w:rsidRPr="0025685D">
              <w:rPr>
                <w:rFonts w:ascii="宋体" w:hAnsi="宋体" w:cs="宋体" w:hint="eastAsia"/>
                <w:kern w:val="0"/>
                <w:sz w:val="24"/>
              </w:rPr>
              <w:t>公司正大力推进科研创新和国际化转型发展战略，致力于成为一家以科研创新驱动的国际化品牌医药强</w:t>
            </w:r>
            <w:proofErr w:type="gramStart"/>
            <w:r w:rsidR="00B05797" w:rsidRPr="0025685D">
              <w:rPr>
                <w:rFonts w:ascii="宋体" w:hAnsi="宋体" w:cs="宋体" w:hint="eastAsia"/>
                <w:kern w:val="0"/>
                <w:sz w:val="24"/>
              </w:rPr>
              <w:t>企</w:t>
            </w:r>
            <w:proofErr w:type="gramEnd"/>
            <w:r w:rsidR="00B05797" w:rsidRPr="0025685D">
              <w:rPr>
                <w:rFonts w:ascii="宋体" w:hAnsi="宋体" w:cs="宋体" w:hint="eastAsia"/>
                <w:kern w:val="0"/>
                <w:sz w:val="24"/>
              </w:rPr>
              <w:t>。</w:t>
            </w:r>
          </w:p>
          <w:p w14:paraId="4402FACD" w14:textId="77777777" w:rsidR="00B05797" w:rsidRPr="0025685D" w:rsidRDefault="00B05797" w:rsidP="0025685D">
            <w:pPr>
              <w:spacing w:line="520" w:lineRule="exact"/>
              <w:ind w:firstLineChars="200" w:firstLine="480"/>
              <w:rPr>
                <w:rFonts w:ascii="宋体" w:hAnsi="宋体" w:cs="宋体"/>
                <w:kern w:val="0"/>
                <w:sz w:val="24"/>
              </w:rPr>
            </w:pPr>
          </w:p>
          <w:p w14:paraId="415C527B" w14:textId="77777777" w:rsidR="005665D4" w:rsidRPr="00D55CB3" w:rsidRDefault="00A373A6" w:rsidP="0025685D">
            <w:pPr>
              <w:widowControl w:val="0"/>
              <w:spacing w:line="520" w:lineRule="exact"/>
              <w:ind w:firstLineChars="200" w:firstLine="482"/>
              <w:textAlignment w:val="auto"/>
              <w:rPr>
                <w:rFonts w:ascii="宋体" w:hAnsi="宋体" w:cs="宋体"/>
                <w:b/>
                <w:kern w:val="0"/>
                <w:sz w:val="24"/>
              </w:rPr>
            </w:pPr>
            <w:r w:rsidRPr="00D55CB3">
              <w:rPr>
                <w:rFonts w:ascii="宋体" w:hAnsi="宋体" w:cs="宋体" w:hint="eastAsia"/>
                <w:b/>
                <w:kern w:val="0"/>
                <w:sz w:val="24"/>
              </w:rPr>
              <w:t>三</w:t>
            </w:r>
            <w:r w:rsidRPr="00D55CB3">
              <w:rPr>
                <w:rFonts w:ascii="宋体" w:hAnsi="宋体" w:cs="宋体"/>
                <w:b/>
                <w:kern w:val="0"/>
                <w:sz w:val="24"/>
              </w:rPr>
              <w:t>、</w:t>
            </w:r>
            <w:r w:rsidRPr="00D55CB3">
              <w:rPr>
                <w:rFonts w:ascii="宋体" w:hAnsi="宋体" w:cs="宋体" w:hint="eastAsia"/>
                <w:b/>
                <w:kern w:val="0"/>
                <w:sz w:val="24"/>
              </w:rPr>
              <w:t>互动交流</w:t>
            </w:r>
          </w:p>
          <w:p w14:paraId="0DD50184" w14:textId="77777777" w:rsidR="005665D4" w:rsidRPr="00D55CB3" w:rsidRDefault="00A373A6" w:rsidP="0025685D">
            <w:pPr>
              <w:spacing w:line="520" w:lineRule="exact"/>
              <w:ind w:firstLineChars="200" w:firstLine="482"/>
              <w:rPr>
                <w:rFonts w:ascii="宋体" w:hAnsi="宋体" w:cs="宋体"/>
                <w:b/>
                <w:kern w:val="0"/>
                <w:sz w:val="24"/>
              </w:rPr>
            </w:pPr>
            <w:r w:rsidRPr="00D55CB3">
              <w:rPr>
                <w:rFonts w:ascii="宋体" w:hAnsi="宋体" w:cs="宋体"/>
                <w:b/>
                <w:kern w:val="0"/>
                <w:sz w:val="24"/>
              </w:rPr>
              <w:t>提问1：</w:t>
            </w:r>
            <w:r w:rsidR="006A0B89" w:rsidRPr="00D55CB3">
              <w:rPr>
                <w:rFonts w:ascii="宋体" w:hAnsi="宋体" w:cs="宋体" w:hint="eastAsia"/>
                <w:b/>
                <w:kern w:val="0"/>
                <w:sz w:val="24"/>
              </w:rPr>
              <w:t>公司在内分泌领域和免疫领域</w:t>
            </w:r>
            <w:r w:rsidRPr="00D55CB3">
              <w:rPr>
                <w:rFonts w:ascii="宋体" w:hAnsi="宋体" w:cs="宋体" w:hint="eastAsia"/>
                <w:b/>
                <w:kern w:val="0"/>
                <w:sz w:val="24"/>
              </w:rPr>
              <w:t>布局</w:t>
            </w:r>
            <w:r w:rsidR="006A0B89" w:rsidRPr="00D55CB3">
              <w:rPr>
                <w:rFonts w:ascii="宋体" w:hAnsi="宋体" w:cs="宋体" w:hint="eastAsia"/>
                <w:b/>
                <w:kern w:val="0"/>
                <w:sz w:val="24"/>
              </w:rPr>
              <w:t>情况如何</w:t>
            </w:r>
            <w:r w:rsidRPr="00D55CB3">
              <w:rPr>
                <w:rFonts w:ascii="宋体" w:hAnsi="宋体" w:cs="宋体"/>
                <w:b/>
                <w:kern w:val="0"/>
                <w:sz w:val="24"/>
              </w:rPr>
              <w:t>？</w:t>
            </w:r>
          </w:p>
          <w:p w14:paraId="3FA7EDB5" w14:textId="77777777" w:rsidR="00355FFE" w:rsidRDefault="00A373A6" w:rsidP="0025685D">
            <w:pPr>
              <w:spacing w:line="520" w:lineRule="exact"/>
              <w:ind w:firstLineChars="200" w:firstLine="482"/>
              <w:rPr>
                <w:rFonts w:ascii="宋体" w:hAnsi="宋体" w:cs="宋体"/>
                <w:kern w:val="0"/>
                <w:sz w:val="24"/>
              </w:rPr>
            </w:pPr>
            <w:r w:rsidRPr="00D55CB3">
              <w:rPr>
                <w:rFonts w:ascii="宋体" w:hAnsi="宋体" w:cs="宋体"/>
                <w:b/>
                <w:kern w:val="0"/>
                <w:sz w:val="24"/>
              </w:rPr>
              <w:t>答：</w:t>
            </w:r>
            <w:r w:rsidR="00696723" w:rsidRPr="00696723">
              <w:rPr>
                <w:rFonts w:ascii="宋体" w:hAnsi="宋体" w:cs="宋体" w:hint="eastAsia"/>
                <w:kern w:val="0"/>
                <w:sz w:val="24"/>
              </w:rPr>
              <w:t>公司在</w:t>
            </w:r>
            <w:r w:rsidR="00696723">
              <w:rPr>
                <w:rFonts w:ascii="宋体" w:hAnsi="宋体" w:cs="宋体" w:hint="eastAsia"/>
                <w:kern w:val="0"/>
                <w:sz w:val="24"/>
              </w:rPr>
              <w:t>内分泌和</w:t>
            </w:r>
            <w:r w:rsidR="00817435">
              <w:rPr>
                <w:rFonts w:ascii="宋体" w:hAnsi="宋体" w:cs="宋体" w:hint="eastAsia"/>
                <w:kern w:val="0"/>
                <w:sz w:val="24"/>
              </w:rPr>
              <w:t>自身</w:t>
            </w:r>
            <w:r w:rsidR="00696723">
              <w:rPr>
                <w:rFonts w:ascii="宋体" w:hAnsi="宋体" w:cs="宋体" w:hint="eastAsia"/>
                <w:kern w:val="0"/>
                <w:sz w:val="24"/>
              </w:rPr>
              <w:t>免疫领域，已有</w:t>
            </w:r>
            <w:r w:rsidR="00355FFE">
              <w:rPr>
                <w:rFonts w:ascii="宋体" w:hAnsi="宋体" w:cs="宋体" w:hint="eastAsia"/>
                <w:kern w:val="0"/>
                <w:sz w:val="24"/>
              </w:rPr>
              <w:t>系列</w:t>
            </w:r>
            <w:r w:rsidR="00696723">
              <w:rPr>
                <w:rFonts w:ascii="宋体" w:hAnsi="宋体" w:cs="宋体" w:hint="eastAsia"/>
                <w:kern w:val="0"/>
                <w:sz w:val="24"/>
              </w:rPr>
              <w:t>重点上市产品，</w:t>
            </w:r>
            <w:r w:rsidR="00355FFE" w:rsidRPr="00355FFE">
              <w:rPr>
                <w:rFonts w:ascii="宋体" w:hAnsi="宋体" w:cs="宋体" w:hint="eastAsia"/>
                <w:kern w:val="0"/>
                <w:sz w:val="24"/>
              </w:rPr>
              <w:t>研发</w:t>
            </w:r>
            <w:r w:rsidR="00817435" w:rsidRPr="00355FFE">
              <w:rPr>
                <w:rFonts w:ascii="宋体" w:hAnsi="宋体" w:cs="宋体" w:hint="eastAsia"/>
                <w:kern w:val="0"/>
                <w:sz w:val="24"/>
              </w:rPr>
              <w:t>储备</w:t>
            </w:r>
            <w:r w:rsidR="00355FFE" w:rsidRPr="00355FFE">
              <w:rPr>
                <w:rFonts w:ascii="宋体" w:hAnsi="宋体" w:cs="宋体" w:hint="eastAsia"/>
                <w:kern w:val="0"/>
                <w:sz w:val="24"/>
              </w:rPr>
              <w:t>产品</w:t>
            </w:r>
            <w:r w:rsidR="00817435" w:rsidRPr="00355FFE">
              <w:rPr>
                <w:rFonts w:ascii="宋体" w:hAnsi="宋体" w:cs="宋体" w:hint="eastAsia"/>
                <w:kern w:val="0"/>
                <w:sz w:val="24"/>
              </w:rPr>
              <w:t>丰富</w:t>
            </w:r>
            <w:r w:rsidR="00355FFE" w:rsidRPr="00355FFE">
              <w:rPr>
                <w:rFonts w:ascii="宋体" w:hAnsi="宋体" w:cs="宋体" w:hint="eastAsia"/>
                <w:kern w:val="0"/>
                <w:sz w:val="24"/>
              </w:rPr>
              <w:t>，</w:t>
            </w:r>
            <w:r w:rsidR="00355FFE">
              <w:rPr>
                <w:rFonts w:ascii="宋体" w:hAnsi="宋体" w:cs="宋体" w:hint="eastAsia"/>
                <w:kern w:val="0"/>
                <w:sz w:val="24"/>
              </w:rPr>
              <w:t>并通过项目引进以及外部合作，不断丰富产品管线。</w:t>
            </w:r>
          </w:p>
          <w:p w14:paraId="285720E8" w14:textId="77777777" w:rsidR="005665D4" w:rsidRPr="0025685D" w:rsidRDefault="00A373A6" w:rsidP="0025685D">
            <w:pPr>
              <w:spacing w:line="520" w:lineRule="exact"/>
              <w:ind w:firstLineChars="200" w:firstLine="480"/>
              <w:rPr>
                <w:rFonts w:ascii="宋体" w:hAnsi="宋体" w:cs="宋体"/>
                <w:kern w:val="0"/>
                <w:sz w:val="24"/>
              </w:rPr>
            </w:pPr>
            <w:r w:rsidRPr="0025685D">
              <w:rPr>
                <w:rFonts w:ascii="宋体" w:hAnsi="宋体" w:cs="宋体" w:hint="eastAsia"/>
                <w:kern w:val="0"/>
                <w:sz w:val="24"/>
              </w:rPr>
              <w:t>内分泌领域已有</w:t>
            </w:r>
            <w:r w:rsidRPr="00A82538">
              <w:rPr>
                <w:rFonts w:ascii="宋体" w:hAnsi="宋体" w:cs="宋体" w:hint="eastAsia"/>
                <w:kern w:val="0"/>
                <w:sz w:val="24"/>
              </w:rPr>
              <w:t>卡博平</w:t>
            </w:r>
            <w:r w:rsidR="00850878">
              <w:rPr>
                <w:rFonts w:ascii="宋体" w:hAnsi="宋体" w:cs="宋体" w:hint="eastAsia"/>
                <w:kern w:val="0"/>
                <w:sz w:val="24"/>
              </w:rPr>
              <w:t>（阿卡波糖片</w:t>
            </w:r>
            <w:r w:rsidR="00476692">
              <w:rPr>
                <w:rFonts w:ascii="宋体" w:hAnsi="宋体" w:cs="宋体" w:hint="eastAsia"/>
                <w:kern w:val="0"/>
                <w:sz w:val="24"/>
              </w:rPr>
              <w:t>）、新卡博平（</w:t>
            </w:r>
            <w:r w:rsidR="00476692" w:rsidRPr="00476692">
              <w:rPr>
                <w:rFonts w:ascii="宋体" w:hAnsi="宋体" w:cs="宋体" w:hint="eastAsia"/>
                <w:kern w:val="0"/>
                <w:sz w:val="24"/>
              </w:rPr>
              <w:t>阿</w:t>
            </w:r>
            <w:proofErr w:type="gramStart"/>
            <w:r w:rsidR="00476692" w:rsidRPr="00476692">
              <w:rPr>
                <w:rFonts w:ascii="宋体" w:hAnsi="宋体" w:cs="宋体" w:hint="eastAsia"/>
                <w:kern w:val="0"/>
                <w:sz w:val="24"/>
              </w:rPr>
              <w:t>卡波糖</w:t>
            </w:r>
            <w:r w:rsidR="00850878">
              <w:rPr>
                <w:rFonts w:ascii="宋体" w:hAnsi="宋体" w:cs="宋体" w:hint="eastAsia"/>
                <w:kern w:val="0"/>
                <w:sz w:val="24"/>
              </w:rPr>
              <w:t>咀嚼</w:t>
            </w:r>
            <w:proofErr w:type="gramEnd"/>
            <w:r w:rsidR="00850878">
              <w:rPr>
                <w:rFonts w:ascii="宋体" w:hAnsi="宋体" w:cs="宋体" w:hint="eastAsia"/>
                <w:kern w:val="0"/>
                <w:sz w:val="24"/>
              </w:rPr>
              <w:t>片）</w:t>
            </w:r>
            <w:r w:rsidRPr="00A82538">
              <w:rPr>
                <w:rFonts w:ascii="宋体" w:hAnsi="宋体" w:cs="宋体" w:hint="eastAsia"/>
                <w:kern w:val="0"/>
                <w:sz w:val="24"/>
              </w:rPr>
              <w:t>、</w:t>
            </w:r>
            <w:proofErr w:type="gramStart"/>
            <w:r w:rsidRPr="00A82538">
              <w:rPr>
                <w:rFonts w:ascii="宋体" w:hAnsi="宋体" w:cs="宋体" w:hint="eastAsia"/>
                <w:kern w:val="0"/>
                <w:sz w:val="24"/>
              </w:rPr>
              <w:t>卡双平</w:t>
            </w:r>
            <w:proofErr w:type="gramEnd"/>
            <w:r w:rsidR="00850878">
              <w:rPr>
                <w:rFonts w:ascii="宋体" w:hAnsi="宋体" w:cs="宋体" w:hint="eastAsia"/>
                <w:kern w:val="0"/>
                <w:sz w:val="24"/>
              </w:rPr>
              <w:t>（</w:t>
            </w:r>
            <w:proofErr w:type="gramStart"/>
            <w:r w:rsidR="00850878">
              <w:rPr>
                <w:rFonts w:ascii="宋体" w:hAnsi="宋体" w:cs="宋体" w:hint="eastAsia"/>
                <w:kern w:val="0"/>
                <w:sz w:val="24"/>
              </w:rPr>
              <w:t>吡</w:t>
            </w:r>
            <w:proofErr w:type="gramEnd"/>
            <w:r w:rsidR="00850878">
              <w:rPr>
                <w:rFonts w:ascii="宋体" w:hAnsi="宋体" w:cs="宋体" w:hint="eastAsia"/>
                <w:kern w:val="0"/>
                <w:sz w:val="24"/>
              </w:rPr>
              <w:t>格</w:t>
            </w:r>
            <w:proofErr w:type="gramStart"/>
            <w:r w:rsidR="00850878">
              <w:rPr>
                <w:rFonts w:ascii="宋体" w:hAnsi="宋体" w:cs="宋体" w:hint="eastAsia"/>
                <w:kern w:val="0"/>
                <w:sz w:val="24"/>
              </w:rPr>
              <w:t>列酮二甲</w:t>
            </w:r>
            <w:proofErr w:type="gramEnd"/>
            <w:r w:rsidR="00850878">
              <w:rPr>
                <w:rFonts w:ascii="宋体" w:hAnsi="宋体" w:cs="宋体" w:hint="eastAsia"/>
                <w:kern w:val="0"/>
                <w:sz w:val="24"/>
              </w:rPr>
              <w:t>双</w:t>
            </w:r>
            <w:proofErr w:type="gramStart"/>
            <w:r w:rsidR="00850878">
              <w:rPr>
                <w:rFonts w:ascii="宋体" w:hAnsi="宋体" w:cs="宋体" w:hint="eastAsia"/>
                <w:kern w:val="0"/>
                <w:sz w:val="24"/>
              </w:rPr>
              <w:t>胍</w:t>
            </w:r>
            <w:proofErr w:type="gramEnd"/>
            <w:r w:rsidR="00850878">
              <w:rPr>
                <w:rFonts w:ascii="宋体" w:hAnsi="宋体" w:cs="宋体" w:hint="eastAsia"/>
                <w:kern w:val="0"/>
                <w:sz w:val="24"/>
              </w:rPr>
              <w:t>片）</w:t>
            </w:r>
            <w:r w:rsidRPr="00A82538">
              <w:rPr>
                <w:rFonts w:ascii="宋体" w:hAnsi="宋体" w:cs="宋体" w:hint="eastAsia"/>
                <w:kern w:val="0"/>
                <w:sz w:val="24"/>
              </w:rPr>
              <w:t>等主要上市产品，</w:t>
            </w:r>
            <w:r w:rsidR="009C29E2">
              <w:rPr>
                <w:rFonts w:ascii="宋体" w:hAnsi="宋体" w:cs="宋体" w:hint="eastAsia"/>
                <w:kern w:val="0"/>
                <w:sz w:val="24"/>
              </w:rPr>
              <w:t>在国内糖尿病领域</w:t>
            </w:r>
            <w:r w:rsidR="009B2A9E">
              <w:rPr>
                <w:rFonts w:ascii="宋体" w:hAnsi="宋体" w:cs="宋体" w:hint="eastAsia"/>
                <w:kern w:val="0"/>
                <w:sz w:val="24"/>
              </w:rPr>
              <w:t>整体</w:t>
            </w:r>
            <w:r w:rsidRPr="00A82538">
              <w:rPr>
                <w:rFonts w:ascii="宋体" w:hAnsi="宋体" w:cs="宋体" w:hint="eastAsia"/>
                <w:kern w:val="0"/>
                <w:sz w:val="24"/>
              </w:rPr>
              <w:t>市场占有率行业</w:t>
            </w:r>
            <w:r w:rsidR="006B669F" w:rsidRPr="00A82538">
              <w:rPr>
                <w:rFonts w:ascii="宋体" w:hAnsi="宋体" w:cs="宋体" w:hint="eastAsia"/>
                <w:kern w:val="0"/>
                <w:sz w:val="24"/>
              </w:rPr>
              <w:t>领先</w:t>
            </w:r>
            <w:r w:rsidRPr="00A82538">
              <w:rPr>
                <w:rFonts w:ascii="宋体" w:hAnsi="宋体" w:cs="宋体" w:hint="eastAsia"/>
                <w:kern w:val="0"/>
                <w:sz w:val="24"/>
              </w:rPr>
              <w:t>。</w:t>
            </w:r>
            <w:r w:rsidR="003E50AF">
              <w:rPr>
                <w:rFonts w:ascii="宋体" w:hAnsi="宋体" w:cs="宋体" w:hint="eastAsia"/>
                <w:kern w:val="0"/>
                <w:sz w:val="24"/>
              </w:rPr>
              <w:t>今</w:t>
            </w:r>
            <w:r w:rsidRPr="0025685D">
              <w:rPr>
                <w:rFonts w:ascii="宋体" w:hAnsi="宋体" w:cs="宋体" w:hint="eastAsia"/>
                <w:kern w:val="0"/>
                <w:sz w:val="24"/>
              </w:rPr>
              <w:t>年10月，公司</w:t>
            </w:r>
            <w:r w:rsidRPr="0025685D">
              <w:rPr>
                <w:rFonts w:ascii="宋体" w:hAnsi="宋体" w:cs="宋体"/>
                <w:kern w:val="0"/>
                <w:sz w:val="24"/>
              </w:rPr>
              <w:t>与重庆派金就其在</w:t>
            </w:r>
            <w:proofErr w:type="gramStart"/>
            <w:r w:rsidRPr="0025685D">
              <w:rPr>
                <w:rFonts w:ascii="宋体" w:hAnsi="宋体" w:cs="宋体"/>
                <w:kern w:val="0"/>
                <w:sz w:val="24"/>
              </w:rPr>
              <w:t>研</w:t>
            </w:r>
            <w:proofErr w:type="gramEnd"/>
            <w:r w:rsidRPr="0025685D">
              <w:rPr>
                <w:rFonts w:ascii="宋体" w:hAnsi="宋体" w:cs="宋体"/>
                <w:kern w:val="0"/>
                <w:sz w:val="24"/>
              </w:rPr>
              <w:t>的索马鲁</w:t>
            </w:r>
            <w:proofErr w:type="gramStart"/>
            <w:r w:rsidRPr="0025685D">
              <w:rPr>
                <w:rFonts w:ascii="宋体" w:hAnsi="宋体" w:cs="宋体"/>
                <w:kern w:val="0"/>
                <w:sz w:val="24"/>
              </w:rPr>
              <w:t>肽</w:t>
            </w:r>
            <w:proofErr w:type="gramEnd"/>
            <w:r w:rsidRPr="0025685D">
              <w:rPr>
                <w:rFonts w:ascii="宋体" w:hAnsi="宋体" w:cs="宋体"/>
                <w:kern w:val="0"/>
                <w:sz w:val="24"/>
              </w:rPr>
              <w:t>产品的合作开发及商业化正式签署协议，将进一步丰</w:t>
            </w:r>
            <w:r w:rsidRPr="0025685D">
              <w:rPr>
                <w:rFonts w:ascii="宋体" w:hAnsi="宋体" w:cs="宋体"/>
                <w:kern w:val="0"/>
                <w:sz w:val="24"/>
              </w:rPr>
              <w:lastRenderedPageBreak/>
              <w:t>富公司糖尿病领域重磅产品管线，与现有在</w:t>
            </w:r>
            <w:proofErr w:type="gramStart"/>
            <w:r w:rsidRPr="0025685D">
              <w:rPr>
                <w:rFonts w:ascii="宋体" w:hAnsi="宋体" w:cs="宋体"/>
                <w:kern w:val="0"/>
                <w:sz w:val="24"/>
              </w:rPr>
              <w:t>研</w:t>
            </w:r>
            <w:proofErr w:type="gramEnd"/>
            <w:r w:rsidRPr="0025685D">
              <w:rPr>
                <w:rFonts w:ascii="宋体" w:hAnsi="宋体" w:cs="宋体"/>
                <w:kern w:val="0"/>
                <w:sz w:val="24"/>
              </w:rPr>
              <w:t>产品产生协同效应，巩固国内糖尿病用药领域的市场领先地位。</w:t>
            </w:r>
          </w:p>
          <w:p w14:paraId="31962A31" w14:textId="77777777" w:rsidR="005665D4" w:rsidRPr="0025685D" w:rsidRDefault="006B669F" w:rsidP="0025685D">
            <w:pPr>
              <w:spacing w:line="520" w:lineRule="exact"/>
              <w:ind w:firstLineChars="200" w:firstLine="480"/>
              <w:rPr>
                <w:rFonts w:ascii="宋体" w:hAnsi="宋体" w:cs="宋体"/>
                <w:kern w:val="0"/>
                <w:sz w:val="24"/>
              </w:rPr>
            </w:pPr>
            <w:r w:rsidRPr="0025685D">
              <w:rPr>
                <w:rFonts w:ascii="宋体" w:hAnsi="宋体" w:cs="宋体" w:hint="eastAsia"/>
                <w:kern w:val="0"/>
                <w:sz w:val="24"/>
              </w:rPr>
              <w:t>公司</w:t>
            </w:r>
            <w:r w:rsidR="00A373A6" w:rsidRPr="0025685D">
              <w:rPr>
                <w:rFonts w:ascii="宋体" w:hAnsi="宋体" w:cs="宋体"/>
                <w:kern w:val="0"/>
                <w:sz w:val="24"/>
              </w:rPr>
              <w:t>同步推进在</w:t>
            </w:r>
            <w:proofErr w:type="gramStart"/>
            <w:r w:rsidR="00A373A6" w:rsidRPr="0025685D">
              <w:rPr>
                <w:rFonts w:ascii="宋体" w:hAnsi="宋体" w:cs="宋体"/>
                <w:kern w:val="0"/>
                <w:sz w:val="24"/>
              </w:rPr>
              <w:t>研</w:t>
            </w:r>
            <w:proofErr w:type="gramEnd"/>
            <w:r w:rsidR="00A373A6" w:rsidRPr="0025685D">
              <w:rPr>
                <w:rFonts w:ascii="宋体" w:hAnsi="宋体" w:cs="宋体"/>
                <w:kern w:val="0"/>
                <w:sz w:val="24"/>
              </w:rPr>
              <w:t>及引进新药的产业化进程工作，已在位于杭州</w:t>
            </w:r>
            <w:proofErr w:type="gramStart"/>
            <w:r w:rsidR="00A373A6" w:rsidRPr="0025685D">
              <w:rPr>
                <w:rFonts w:ascii="宋体" w:hAnsi="宋体" w:cs="宋体"/>
                <w:kern w:val="0"/>
                <w:sz w:val="24"/>
              </w:rPr>
              <w:t>钱塘新区</w:t>
            </w:r>
            <w:proofErr w:type="gramEnd"/>
            <w:r w:rsidR="00A373A6" w:rsidRPr="0025685D">
              <w:rPr>
                <w:rFonts w:ascii="宋体" w:hAnsi="宋体" w:cs="宋体"/>
                <w:kern w:val="0"/>
                <w:sz w:val="24"/>
              </w:rPr>
              <w:t>的公司江东项目二期预留项目用地上启动建设具有国际领先水平的糖尿病大分子药物生产基地。</w:t>
            </w:r>
          </w:p>
          <w:p w14:paraId="68DD5F55" w14:textId="77777777" w:rsidR="005665D4" w:rsidRPr="0025685D" w:rsidRDefault="00A373A6" w:rsidP="0025685D">
            <w:pPr>
              <w:spacing w:line="520" w:lineRule="exact"/>
              <w:ind w:firstLineChars="200" w:firstLine="480"/>
              <w:rPr>
                <w:rFonts w:ascii="宋体" w:hAnsi="宋体" w:cs="宋体"/>
                <w:kern w:val="0"/>
                <w:sz w:val="24"/>
              </w:rPr>
            </w:pPr>
            <w:r w:rsidRPr="0025685D">
              <w:rPr>
                <w:rFonts w:ascii="宋体" w:hAnsi="宋体" w:cs="宋体" w:hint="eastAsia"/>
                <w:kern w:val="0"/>
                <w:sz w:val="24"/>
              </w:rPr>
              <w:t>在免疫领域已有</w:t>
            </w:r>
            <w:r w:rsidRPr="00A82538">
              <w:rPr>
                <w:rFonts w:ascii="宋体" w:hAnsi="宋体" w:cs="宋体" w:hint="eastAsia"/>
                <w:kern w:val="0"/>
                <w:sz w:val="24"/>
              </w:rPr>
              <w:t>新赛斯平</w:t>
            </w:r>
            <w:r w:rsidR="00850878">
              <w:rPr>
                <w:rFonts w:ascii="宋体" w:hAnsi="宋体" w:cs="宋体" w:hint="eastAsia"/>
                <w:kern w:val="0"/>
                <w:sz w:val="24"/>
              </w:rPr>
              <w:t>（环</w:t>
            </w:r>
            <w:proofErr w:type="gramStart"/>
            <w:r w:rsidR="00850878">
              <w:rPr>
                <w:rFonts w:ascii="宋体" w:hAnsi="宋体" w:cs="宋体" w:hint="eastAsia"/>
                <w:kern w:val="0"/>
                <w:sz w:val="24"/>
              </w:rPr>
              <w:t>孢</w:t>
            </w:r>
            <w:proofErr w:type="gramEnd"/>
            <w:r w:rsidR="00850878">
              <w:rPr>
                <w:rFonts w:ascii="宋体" w:hAnsi="宋体" w:cs="宋体" w:hint="eastAsia"/>
                <w:kern w:val="0"/>
                <w:sz w:val="24"/>
              </w:rPr>
              <w:t>素胶囊）</w:t>
            </w:r>
            <w:r w:rsidRPr="00A82538">
              <w:rPr>
                <w:rFonts w:ascii="宋体" w:hAnsi="宋体" w:cs="宋体" w:hint="eastAsia"/>
                <w:kern w:val="0"/>
                <w:sz w:val="24"/>
              </w:rPr>
              <w:t>、赛福开</w:t>
            </w:r>
            <w:r w:rsidR="00850878">
              <w:rPr>
                <w:rFonts w:ascii="宋体" w:hAnsi="宋体" w:cs="宋体" w:hint="eastAsia"/>
                <w:kern w:val="0"/>
                <w:sz w:val="24"/>
              </w:rPr>
              <w:t>（他</w:t>
            </w:r>
            <w:proofErr w:type="gramStart"/>
            <w:r w:rsidR="00850878">
              <w:rPr>
                <w:rFonts w:ascii="宋体" w:hAnsi="宋体" w:cs="宋体" w:hint="eastAsia"/>
                <w:kern w:val="0"/>
                <w:sz w:val="24"/>
              </w:rPr>
              <w:t>克莫司</w:t>
            </w:r>
            <w:proofErr w:type="gramEnd"/>
            <w:r w:rsidR="00850878">
              <w:rPr>
                <w:rFonts w:ascii="宋体" w:hAnsi="宋体" w:cs="宋体" w:hint="eastAsia"/>
                <w:kern w:val="0"/>
                <w:sz w:val="24"/>
              </w:rPr>
              <w:t>胶囊）</w:t>
            </w:r>
            <w:r w:rsidRPr="00A82538">
              <w:rPr>
                <w:rFonts w:ascii="宋体" w:hAnsi="宋体" w:cs="宋体" w:hint="eastAsia"/>
                <w:kern w:val="0"/>
                <w:sz w:val="24"/>
              </w:rPr>
              <w:t>、赛可平</w:t>
            </w:r>
            <w:r w:rsidR="00850878">
              <w:rPr>
                <w:rFonts w:ascii="宋体" w:hAnsi="宋体" w:cs="宋体" w:hint="eastAsia"/>
                <w:kern w:val="0"/>
                <w:sz w:val="24"/>
              </w:rPr>
              <w:t>（</w:t>
            </w:r>
            <w:proofErr w:type="gramStart"/>
            <w:r w:rsidR="00850878">
              <w:rPr>
                <w:rFonts w:ascii="宋体" w:hAnsi="宋体" w:cs="宋体" w:hint="eastAsia"/>
                <w:kern w:val="0"/>
                <w:sz w:val="24"/>
              </w:rPr>
              <w:t>吗替麦考酚</w:t>
            </w:r>
            <w:proofErr w:type="gramEnd"/>
            <w:r w:rsidR="00850878">
              <w:rPr>
                <w:rFonts w:ascii="宋体" w:hAnsi="宋体" w:cs="宋体" w:hint="eastAsia"/>
                <w:kern w:val="0"/>
                <w:sz w:val="24"/>
              </w:rPr>
              <w:t>酯分散片）</w:t>
            </w:r>
            <w:r w:rsidRPr="00A82538">
              <w:rPr>
                <w:rFonts w:ascii="宋体" w:hAnsi="宋体" w:cs="宋体" w:hint="eastAsia"/>
                <w:kern w:val="0"/>
                <w:sz w:val="24"/>
              </w:rPr>
              <w:t>等</w:t>
            </w:r>
            <w:r w:rsidR="006A0B89" w:rsidRPr="00A82538">
              <w:rPr>
                <w:rFonts w:ascii="宋体" w:hAnsi="宋体" w:cs="宋体" w:hint="eastAsia"/>
                <w:kern w:val="0"/>
                <w:sz w:val="24"/>
              </w:rPr>
              <w:t>重点</w:t>
            </w:r>
            <w:r w:rsidRPr="00A82538">
              <w:rPr>
                <w:rFonts w:ascii="宋体" w:hAnsi="宋体" w:cs="宋体" w:hint="eastAsia"/>
                <w:kern w:val="0"/>
                <w:sz w:val="24"/>
              </w:rPr>
              <w:t>上市产品，</w:t>
            </w:r>
            <w:r w:rsidR="006B669F" w:rsidRPr="00A82538">
              <w:rPr>
                <w:rFonts w:ascii="宋体" w:hAnsi="宋体" w:cs="宋体" w:hint="eastAsia"/>
                <w:kern w:val="0"/>
                <w:sz w:val="24"/>
              </w:rPr>
              <w:t>在国内</w:t>
            </w:r>
            <w:r w:rsidR="00850878">
              <w:rPr>
                <w:rFonts w:ascii="宋体" w:hAnsi="宋体" w:cs="宋体" w:hint="eastAsia"/>
                <w:kern w:val="0"/>
                <w:sz w:val="24"/>
              </w:rPr>
              <w:t>整体</w:t>
            </w:r>
            <w:r w:rsidR="006B669F" w:rsidRPr="00A82538">
              <w:rPr>
                <w:rFonts w:ascii="宋体" w:hAnsi="宋体" w:cs="宋体" w:hint="eastAsia"/>
                <w:kern w:val="0"/>
                <w:sz w:val="24"/>
              </w:rPr>
              <w:t>市场占有率</w:t>
            </w:r>
            <w:r w:rsidR="006A0B89" w:rsidRPr="00A82538">
              <w:rPr>
                <w:rFonts w:ascii="宋体" w:hAnsi="宋体" w:cs="宋体" w:hint="eastAsia"/>
                <w:kern w:val="0"/>
                <w:sz w:val="24"/>
              </w:rPr>
              <w:t>行业</w:t>
            </w:r>
            <w:r w:rsidR="006B669F" w:rsidRPr="00A82538">
              <w:rPr>
                <w:rFonts w:ascii="宋体" w:hAnsi="宋体" w:cs="宋体" w:hint="eastAsia"/>
                <w:kern w:val="0"/>
                <w:sz w:val="24"/>
              </w:rPr>
              <w:t>领先</w:t>
            </w:r>
            <w:r w:rsidRPr="00A82538">
              <w:rPr>
                <w:rFonts w:ascii="宋体" w:hAnsi="宋体" w:cs="宋体" w:hint="eastAsia"/>
                <w:kern w:val="0"/>
                <w:sz w:val="24"/>
              </w:rPr>
              <w:t>。</w:t>
            </w:r>
            <w:r w:rsidR="003E50AF">
              <w:rPr>
                <w:rFonts w:ascii="宋体" w:hAnsi="宋体" w:cs="宋体" w:hint="eastAsia"/>
                <w:kern w:val="0"/>
                <w:sz w:val="24"/>
              </w:rPr>
              <w:t>今</w:t>
            </w:r>
            <w:r>
              <w:rPr>
                <w:rFonts w:ascii="宋体" w:hAnsi="宋体" w:cs="宋体" w:hint="eastAsia"/>
                <w:kern w:val="0"/>
                <w:sz w:val="24"/>
              </w:rPr>
              <w:t>年8月，公司全资子公司</w:t>
            </w:r>
            <w:r w:rsidRPr="0025685D">
              <w:rPr>
                <w:rFonts w:ascii="宋体" w:hAnsi="宋体" w:cs="宋体" w:hint="eastAsia"/>
                <w:kern w:val="0"/>
                <w:sz w:val="24"/>
              </w:rPr>
              <w:t>中美华东与江苏</w:t>
            </w:r>
            <w:proofErr w:type="gramStart"/>
            <w:r w:rsidRPr="0025685D">
              <w:rPr>
                <w:rFonts w:ascii="宋体" w:hAnsi="宋体" w:cs="宋体" w:hint="eastAsia"/>
                <w:kern w:val="0"/>
                <w:sz w:val="24"/>
              </w:rPr>
              <w:t>荃</w:t>
            </w:r>
            <w:proofErr w:type="gramEnd"/>
            <w:r w:rsidRPr="0025685D">
              <w:rPr>
                <w:rFonts w:ascii="宋体" w:hAnsi="宋体" w:cs="宋体" w:hint="eastAsia"/>
                <w:kern w:val="0"/>
                <w:sz w:val="24"/>
              </w:rPr>
              <w:t>信生物在</w:t>
            </w:r>
            <w:proofErr w:type="gramStart"/>
            <w:r w:rsidRPr="0025685D">
              <w:rPr>
                <w:rFonts w:ascii="宋体" w:hAnsi="宋体" w:cs="宋体" w:hint="eastAsia"/>
                <w:kern w:val="0"/>
                <w:sz w:val="24"/>
              </w:rPr>
              <w:t>研</w:t>
            </w:r>
            <w:proofErr w:type="gramEnd"/>
            <w:r w:rsidRPr="0025685D">
              <w:rPr>
                <w:rFonts w:ascii="宋体" w:hAnsi="宋体" w:cs="宋体" w:hint="eastAsia"/>
                <w:kern w:val="0"/>
                <w:sz w:val="24"/>
              </w:rPr>
              <w:t>的 QX001S 产品（原</w:t>
            </w:r>
            <w:proofErr w:type="gramStart"/>
            <w:r w:rsidRPr="0025685D">
              <w:rPr>
                <w:rFonts w:ascii="宋体" w:hAnsi="宋体" w:cs="宋体" w:hint="eastAsia"/>
                <w:kern w:val="0"/>
                <w:sz w:val="24"/>
              </w:rPr>
              <w:t>研</w:t>
            </w:r>
            <w:proofErr w:type="gramEnd"/>
            <w:r w:rsidRPr="0025685D">
              <w:rPr>
                <w:rFonts w:ascii="宋体" w:hAnsi="宋体" w:cs="宋体" w:hint="eastAsia"/>
                <w:kern w:val="0"/>
                <w:sz w:val="24"/>
              </w:rPr>
              <w:t xml:space="preserve">药 </w:t>
            </w:r>
            <w:proofErr w:type="spellStart"/>
            <w:r w:rsidRPr="0025685D">
              <w:rPr>
                <w:rFonts w:ascii="宋体" w:hAnsi="宋体" w:cs="宋体" w:hint="eastAsia"/>
                <w:kern w:val="0"/>
                <w:sz w:val="24"/>
              </w:rPr>
              <w:t>Stelara</w:t>
            </w:r>
            <w:proofErr w:type="spellEnd"/>
            <w:r w:rsidRPr="0025685D">
              <w:rPr>
                <w:rFonts w:ascii="宋体" w:hAnsi="宋体" w:cs="宋体" w:hint="eastAsia"/>
                <w:kern w:val="0"/>
                <w:sz w:val="24"/>
              </w:rPr>
              <w:t>®（</w:t>
            </w:r>
            <w:proofErr w:type="gramStart"/>
            <w:r w:rsidRPr="0025685D">
              <w:rPr>
                <w:rFonts w:ascii="宋体" w:hAnsi="宋体" w:cs="宋体" w:hint="eastAsia"/>
                <w:kern w:val="0"/>
                <w:sz w:val="24"/>
              </w:rPr>
              <w:t>乌司奴单</w:t>
            </w:r>
            <w:proofErr w:type="gramEnd"/>
            <w:r w:rsidRPr="0025685D">
              <w:rPr>
                <w:rFonts w:ascii="宋体" w:hAnsi="宋体" w:cs="宋体" w:hint="eastAsia"/>
                <w:kern w:val="0"/>
                <w:sz w:val="24"/>
              </w:rPr>
              <w:t>抗）的生物类似药，用于治疗银屑病、克罗恩病等）在中国大陆境内达成合作开发和商业化协议，进一步完善了公司在免疫领域大分子创新药布局，为公司逐步进入生物制药领域</w:t>
            </w:r>
            <w:proofErr w:type="gramStart"/>
            <w:r w:rsidRPr="0025685D">
              <w:rPr>
                <w:rFonts w:ascii="宋体" w:hAnsi="宋体" w:cs="宋体" w:hint="eastAsia"/>
                <w:kern w:val="0"/>
                <w:sz w:val="24"/>
              </w:rPr>
              <w:t>单抗类产品</w:t>
            </w:r>
            <w:proofErr w:type="gramEnd"/>
            <w:r w:rsidRPr="0025685D">
              <w:rPr>
                <w:rFonts w:ascii="宋体" w:hAnsi="宋体" w:cs="宋体" w:hint="eastAsia"/>
                <w:kern w:val="0"/>
                <w:sz w:val="24"/>
              </w:rPr>
              <w:t>的研发管线布局创造良好的合作条件。</w:t>
            </w:r>
          </w:p>
          <w:p w14:paraId="0F9F2F4D" w14:textId="77777777" w:rsidR="006A0B89" w:rsidRPr="0025685D" w:rsidRDefault="006A0B89" w:rsidP="0025685D">
            <w:pPr>
              <w:spacing w:line="520" w:lineRule="exact"/>
              <w:ind w:firstLineChars="200" w:firstLine="480"/>
              <w:rPr>
                <w:rFonts w:ascii="宋体" w:hAnsi="宋体" w:cs="宋体"/>
                <w:kern w:val="0"/>
                <w:sz w:val="24"/>
              </w:rPr>
            </w:pPr>
            <w:r w:rsidRPr="0025685D">
              <w:rPr>
                <w:rFonts w:ascii="宋体" w:hAnsi="宋体" w:cs="宋体" w:hint="eastAsia"/>
                <w:kern w:val="0"/>
                <w:sz w:val="24"/>
              </w:rPr>
              <w:t>公司</w:t>
            </w:r>
            <w:r w:rsidR="003E50AF">
              <w:rPr>
                <w:rFonts w:ascii="宋体" w:hAnsi="宋体" w:cs="宋体" w:hint="eastAsia"/>
                <w:kern w:val="0"/>
                <w:sz w:val="24"/>
              </w:rPr>
              <w:t>在上述领域已储备丰富的研发品种，</w:t>
            </w:r>
            <w:r w:rsidRPr="0025685D">
              <w:rPr>
                <w:rFonts w:ascii="宋体" w:hAnsi="宋体" w:cs="宋体" w:hint="eastAsia"/>
                <w:kern w:val="0"/>
                <w:sz w:val="24"/>
              </w:rPr>
              <w:t>后续还将</w:t>
            </w:r>
            <w:r w:rsidR="003E50AF">
              <w:rPr>
                <w:rFonts w:ascii="宋体" w:hAnsi="宋体" w:cs="宋体" w:hint="eastAsia"/>
                <w:kern w:val="0"/>
                <w:sz w:val="24"/>
              </w:rPr>
              <w:t>继续</w:t>
            </w:r>
            <w:r w:rsidRPr="0025685D">
              <w:rPr>
                <w:rFonts w:ascii="宋体" w:hAnsi="宋体" w:cs="宋体" w:hint="eastAsia"/>
                <w:kern w:val="0"/>
                <w:sz w:val="24"/>
              </w:rPr>
              <w:t>加大研发布局</w:t>
            </w:r>
            <w:r w:rsidR="00817435">
              <w:rPr>
                <w:rFonts w:ascii="宋体" w:hAnsi="宋体" w:cs="宋体" w:hint="eastAsia"/>
                <w:kern w:val="0"/>
                <w:sz w:val="24"/>
              </w:rPr>
              <w:t>以及项目引进</w:t>
            </w:r>
            <w:r w:rsidRPr="0025685D">
              <w:rPr>
                <w:rFonts w:ascii="宋体" w:hAnsi="宋体" w:cs="宋体" w:hint="eastAsia"/>
                <w:kern w:val="0"/>
                <w:sz w:val="24"/>
              </w:rPr>
              <w:t>力度。</w:t>
            </w:r>
          </w:p>
          <w:p w14:paraId="68E65444" w14:textId="77777777" w:rsidR="005665D4" w:rsidRPr="003E50AF" w:rsidRDefault="005665D4" w:rsidP="0025685D">
            <w:pPr>
              <w:spacing w:line="520" w:lineRule="exact"/>
              <w:rPr>
                <w:rFonts w:ascii="宋体" w:hAnsi="宋体" w:cs="宋体"/>
                <w:kern w:val="0"/>
                <w:sz w:val="24"/>
              </w:rPr>
            </w:pPr>
          </w:p>
          <w:p w14:paraId="673BB6DA" w14:textId="77777777" w:rsidR="005665D4" w:rsidRPr="00D55CB3" w:rsidRDefault="00A373A6" w:rsidP="0025685D">
            <w:pPr>
              <w:spacing w:line="520" w:lineRule="exact"/>
              <w:ind w:firstLineChars="200" w:firstLine="482"/>
              <w:rPr>
                <w:rFonts w:ascii="宋体" w:hAnsi="宋体" w:cs="宋体"/>
                <w:b/>
                <w:kern w:val="0"/>
                <w:sz w:val="24"/>
              </w:rPr>
            </w:pPr>
            <w:r w:rsidRPr="00D55CB3">
              <w:rPr>
                <w:rFonts w:ascii="宋体" w:hAnsi="宋体" w:cs="宋体"/>
                <w:b/>
                <w:kern w:val="0"/>
                <w:sz w:val="24"/>
              </w:rPr>
              <w:t>提问2：</w:t>
            </w:r>
            <w:r w:rsidRPr="00D55CB3">
              <w:rPr>
                <w:rFonts w:ascii="宋体" w:hAnsi="宋体" w:cs="宋体" w:hint="eastAsia"/>
                <w:b/>
                <w:kern w:val="0"/>
                <w:sz w:val="24"/>
              </w:rPr>
              <w:t>公司</w:t>
            </w:r>
            <w:proofErr w:type="gramStart"/>
            <w:r w:rsidRPr="00D55CB3">
              <w:rPr>
                <w:rFonts w:ascii="宋体" w:hAnsi="宋体" w:cs="宋体" w:hint="eastAsia"/>
                <w:b/>
                <w:kern w:val="0"/>
                <w:sz w:val="24"/>
              </w:rPr>
              <w:t>迈华替尼</w:t>
            </w:r>
            <w:proofErr w:type="gramEnd"/>
            <w:r w:rsidRPr="00D55CB3">
              <w:rPr>
                <w:rFonts w:ascii="宋体" w:hAnsi="宋体" w:cs="宋体" w:hint="eastAsia"/>
                <w:b/>
                <w:kern w:val="0"/>
                <w:sz w:val="24"/>
              </w:rPr>
              <w:t>和</w:t>
            </w:r>
            <w:proofErr w:type="gramStart"/>
            <w:r w:rsidRPr="00D55CB3">
              <w:rPr>
                <w:rFonts w:ascii="宋体" w:hAnsi="宋体" w:cs="宋体" w:hint="eastAsia"/>
                <w:b/>
                <w:kern w:val="0"/>
                <w:sz w:val="24"/>
              </w:rPr>
              <w:t>利拉</w:t>
            </w:r>
            <w:proofErr w:type="gramEnd"/>
            <w:r w:rsidRPr="00D55CB3">
              <w:rPr>
                <w:rFonts w:ascii="宋体" w:hAnsi="宋体" w:cs="宋体" w:hint="eastAsia"/>
                <w:b/>
                <w:kern w:val="0"/>
                <w:sz w:val="24"/>
              </w:rPr>
              <w:t>鲁</w:t>
            </w:r>
            <w:proofErr w:type="gramStart"/>
            <w:r w:rsidRPr="00D55CB3">
              <w:rPr>
                <w:rFonts w:ascii="宋体" w:hAnsi="宋体" w:cs="宋体" w:hint="eastAsia"/>
                <w:b/>
                <w:kern w:val="0"/>
                <w:sz w:val="24"/>
              </w:rPr>
              <w:t>肽具体</w:t>
            </w:r>
            <w:proofErr w:type="gramEnd"/>
            <w:r w:rsidRPr="00D55CB3">
              <w:rPr>
                <w:rFonts w:ascii="宋体" w:hAnsi="宋体" w:cs="宋体" w:hint="eastAsia"/>
                <w:b/>
                <w:kern w:val="0"/>
                <w:sz w:val="24"/>
              </w:rPr>
              <w:t>上市时间</w:t>
            </w:r>
            <w:r w:rsidRPr="00D55CB3">
              <w:rPr>
                <w:rFonts w:ascii="宋体" w:hAnsi="宋体" w:cs="宋体"/>
                <w:b/>
                <w:kern w:val="0"/>
                <w:sz w:val="24"/>
              </w:rPr>
              <w:t>？</w:t>
            </w:r>
          </w:p>
          <w:p w14:paraId="78E2B696" w14:textId="77777777" w:rsidR="00A82538" w:rsidRDefault="00A373A6" w:rsidP="0025685D">
            <w:pPr>
              <w:spacing w:line="520" w:lineRule="exact"/>
              <w:ind w:firstLineChars="200" w:firstLine="482"/>
              <w:rPr>
                <w:rFonts w:ascii="宋体" w:hAnsi="宋体" w:cs="宋体"/>
                <w:kern w:val="0"/>
                <w:sz w:val="24"/>
              </w:rPr>
            </w:pPr>
            <w:r w:rsidRPr="00D55CB3">
              <w:rPr>
                <w:rFonts w:ascii="宋体" w:hAnsi="宋体" w:cs="宋体"/>
                <w:b/>
                <w:kern w:val="0"/>
                <w:sz w:val="24"/>
              </w:rPr>
              <w:t>答：</w:t>
            </w:r>
            <w:r w:rsidR="00A82538" w:rsidRPr="0025685D">
              <w:rPr>
                <w:rFonts w:ascii="宋体" w:hAnsi="宋体" w:cs="宋体" w:hint="eastAsia"/>
                <w:kern w:val="0"/>
                <w:sz w:val="24"/>
              </w:rPr>
              <w:t>公司</w:t>
            </w:r>
            <w:r w:rsidR="00A82538" w:rsidRPr="00A82538">
              <w:rPr>
                <w:rFonts w:ascii="宋体" w:hAnsi="宋体" w:cs="宋体" w:hint="eastAsia"/>
                <w:kern w:val="0"/>
                <w:sz w:val="24"/>
              </w:rPr>
              <w:t>治疗晚期非小细胞肺癌的</w:t>
            </w:r>
            <w:proofErr w:type="gramStart"/>
            <w:r w:rsidR="00A82538" w:rsidRPr="00A82538">
              <w:rPr>
                <w:rFonts w:ascii="宋体" w:hAnsi="宋体" w:cs="宋体" w:hint="eastAsia"/>
                <w:kern w:val="0"/>
                <w:sz w:val="24"/>
              </w:rPr>
              <w:t>迈华替尼</w:t>
            </w:r>
            <w:proofErr w:type="gramEnd"/>
            <w:r w:rsidR="00A82538" w:rsidRPr="00A82538">
              <w:rPr>
                <w:rFonts w:ascii="宋体" w:hAnsi="宋体" w:cs="宋体" w:hint="eastAsia"/>
                <w:kern w:val="0"/>
                <w:sz w:val="24"/>
              </w:rPr>
              <w:t>正在进行III期临床试验；用于</w:t>
            </w:r>
            <w:proofErr w:type="gramStart"/>
            <w:r w:rsidR="00A82538" w:rsidRPr="00A82538">
              <w:rPr>
                <w:rFonts w:ascii="宋体" w:hAnsi="宋体" w:cs="宋体" w:hint="eastAsia"/>
                <w:kern w:val="0"/>
                <w:sz w:val="24"/>
              </w:rPr>
              <w:t>一</w:t>
            </w:r>
            <w:proofErr w:type="gramEnd"/>
            <w:r w:rsidR="00A82538" w:rsidRPr="00A82538">
              <w:rPr>
                <w:rFonts w:ascii="宋体" w:hAnsi="宋体" w:cs="宋体" w:hint="eastAsia"/>
                <w:kern w:val="0"/>
                <w:sz w:val="24"/>
              </w:rPr>
              <w:t>/</w:t>
            </w:r>
            <w:proofErr w:type="gramStart"/>
            <w:r w:rsidR="00A82538" w:rsidRPr="00A82538">
              <w:rPr>
                <w:rFonts w:ascii="宋体" w:hAnsi="宋体" w:cs="宋体" w:hint="eastAsia"/>
                <w:kern w:val="0"/>
                <w:sz w:val="24"/>
              </w:rPr>
              <w:t>二线罕见</w:t>
            </w:r>
            <w:proofErr w:type="gramEnd"/>
            <w:r w:rsidR="00A82538" w:rsidRPr="00A82538">
              <w:rPr>
                <w:rFonts w:ascii="宋体" w:hAnsi="宋体" w:cs="宋体" w:hint="eastAsia"/>
                <w:kern w:val="0"/>
                <w:sz w:val="24"/>
              </w:rPr>
              <w:t>基因突变的II期单臂临床试验，在获得第一阶段良好疗效的基础上完成与CDE沟通，根据CDE沟通结果要求，在罕见突变II期临床中使用低剂量进行第二阶段试验，争取以罕见突变II期临床结果直接申报上市。</w:t>
            </w:r>
            <w:bookmarkStart w:id="0" w:name="_Hlk38990078"/>
          </w:p>
          <w:p w14:paraId="2C83A030" w14:textId="77777777" w:rsidR="00A82538" w:rsidRDefault="00A82538" w:rsidP="0025685D">
            <w:pPr>
              <w:spacing w:line="520" w:lineRule="exact"/>
              <w:ind w:firstLineChars="200" w:firstLine="480"/>
              <w:rPr>
                <w:rFonts w:ascii="宋体" w:hAnsi="宋体" w:cs="宋体"/>
                <w:kern w:val="0"/>
                <w:sz w:val="24"/>
              </w:rPr>
            </w:pPr>
            <w:r w:rsidRPr="00A82538">
              <w:rPr>
                <w:rFonts w:ascii="宋体" w:hAnsi="宋体" w:cs="宋体" w:hint="eastAsia"/>
                <w:kern w:val="0"/>
                <w:sz w:val="24"/>
              </w:rPr>
              <w:t>公司利拉鲁肽注射液糖尿病适应症以及减肥适应症均进入Ⅲ期临床研究，糖尿病适应症已完成全部受试者入组，目前公司的利拉鲁</w:t>
            </w:r>
            <w:proofErr w:type="gramStart"/>
            <w:r w:rsidRPr="00A82538">
              <w:rPr>
                <w:rFonts w:ascii="宋体" w:hAnsi="宋体" w:cs="宋体" w:hint="eastAsia"/>
                <w:kern w:val="0"/>
                <w:sz w:val="24"/>
              </w:rPr>
              <w:t>肽</w:t>
            </w:r>
            <w:proofErr w:type="gramEnd"/>
            <w:r w:rsidRPr="00A82538">
              <w:rPr>
                <w:rFonts w:ascii="宋体" w:hAnsi="宋体" w:cs="宋体" w:hint="eastAsia"/>
                <w:kern w:val="0"/>
                <w:sz w:val="24"/>
              </w:rPr>
              <w:t>产品临床进度处于国内领先状态，预计明年有望完成全部临床工作并申报上市。</w:t>
            </w:r>
          </w:p>
          <w:p w14:paraId="50A5297A" w14:textId="77777777" w:rsidR="005665D4" w:rsidRDefault="00A82538" w:rsidP="0025685D">
            <w:pPr>
              <w:spacing w:line="520" w:lineRule="exact"/>
              <w:ind w:firstLineChars="200" w:firstLine="480"/>
              <w:rPr>
                <w:rFonts w:ascii="宋体" w:hAnsi="宋体" w:cs="宋体"/>
                <w:kern w:val="0"/>
                <w:sz w:val="24"/>
              </w:rPr>
            </w:pPr>
            <w:r>
              <w:rPr>
                <w:rFonts w:ascii="宋体" w:hAnsi="宋体" w:cs="宋体" w:hint="eastAsia"/>
                <w:kern w:val="0"/>
                <w:sz w:val="24"/>
              </w:rPr>
              <w:lastRenderedPageBreak/>
              <w:t>上述品种</w:t>
            </w:r>
            <w:r w:rsidR="00A373A6">
              <w:rPr>
                <w:rFonts w:ascii="宋体" w:hAnsi="宋体" w:cs="宋体" w:hint="eastAsia"/>
                <w:kern w:val="0"/>
                <w:sz w:val="24"/>
              </w:rPr>
              <w:t>具体上市时间取决于临床结束时间</w:t>
            </w:r>
            <w:r w:rsidR="00F174B8">
              <w:rPr>
                <w:rFonts w:ascii="宋体" w:hAnsi="宋体" w:cs="宋体" w:hint="eastAsia"/>
                <w:kern w:val="0"/>
                <w:sz w:val="24"/>
              </w:rPr>
              <w:t>以及</w:t>
            </w:r>
            <w:r>
              <w:rPr>
                <w:rFonts w:ascii="宋体" w:hAnsi="宋体" w:cs="宋体" w:hint="eastAsia"/>
                <w:kern w:val="0"/>
                <w:sz w:val="24"/>
              </w:rPr>
              <w:t>药监部门的</w:t>
            </w:r>
            <w:r w:rsidR="00315BFC">
              <w:rPr>
                <w:rFonts w:ascii="宋体" w:hAnsi="宋体" w:cs="宋体" w:hint="eastAsia"/>
                <w:kern w:val="0"/>
                <w:sz w:val="24"/>
              </w:rPr>
              <w:t>审批进度</w:t>
            </w:r>
            <w:r>
              <w:rPr>
                <w:rFonts w:ascii="宋体" w:hAnsi="宋体" w:cs="宋体" w:hint="eastAsia"/>
                <w:kern w:val="0"/>
                <w:sz w:val="24"/>
              </w:rPr>
              <w:t>，在临床试验结束后，公司会积极开展相关产品的</w:t>
            </w:r>
            <w:r w:rsidR="00A373A6">
              <w:rPr>
                <w:rFonts w:ascii="宋体" w:hAnsi="宋体" w:cs="宋体" w:hint="eastAsia"/>
                <w:kern w:val="0"/>
                <w:sz w:val="24"/>
              </w:rPr>
              <w:t>上市</w:t>
            </w:r>
            <w:r>
              <w:rPr>
                <w:rFonts w:ascii="宋体" w:hAnsi="宋体" w:cs="宋体" w:hint="eastAsia"/>
                <w:kern w:val="0"/>
                <w:sz w:val="24"/>
              </w:rPr>
              <w:t>申报</w:t>
            </w:r>
            <w:r w:rsidR="00A373A6">
              <w:rPr>
                <w:rFonts w:ascii="宋体" w:hAnsi="宋体" w:cs="宋体" w:hint="eastAsia"/>
                <w:kern w:val="0"/>
                <w:sz w:val="24"/>
              </w:rPr>
              <w:t>工作。</w:t>
            </w:r>
          </w:p>
          <w:p w14:paraId="6B351791" w14:textId="77777777" w:rsidR="005665D4" w:rsidRPr="0025685D" w:rsidRDefault="005665D4" w:rsidP="0025685D">
            <w:pPr>
              <w:spacing w:line="520" w:lineRule="exact"/>
              <w:ind w:firstLineChars="200" w:firstLine="480"/>
              <w:rPr>
                <w:rFonts w:ascii="宋体" w:hAnsi="宋体" w:cs="宋体"/>
                <w:kern w:val="0"/>
                <w:sz w:val="24"/>
              </w:rPr>
            </w:pPr>
          </w:p>
          <w:p w14:paraId="6ED6053E" w14:textId="77777777" w:rsidR="005665D4" w:rsidRPr="00D55CB3" w:rsidRDefault="00A373A6" w:rsidP="0025685D">
            <w:pPr>
              <w:spacing w:line="520" w:lineRule="exact"/>
              <w:ind w:firstLineChars="200" w:firstLine="482"/>
              <w:rPr>
                <w:rFonts w:ascii="宋体" w:hAnsi="宋体" w:cs="宋体"/>
                <w:b/>
                <w:kern w:val="0"/>
                <w:sz w:val="24"/>
              </w:rPr>
            </w:pPr>
            <w:r w:rsidRPr="00D55CB3">
              <w:rPr>
                <w:rFonts w:ascii="宋体" w:hAnsi="宋体" w:cs="宋体"/>
                <w:b/>
                <w:kern w:val="0"/>
                <w:sz w:val="24"/>
              </w:rPr>
              <w:t>提问3：</w:t>
            </w:r>
            <w:r w:rsidRPr="00D55CB3">
              <w:rPr>
                <w:rFonts w:ascii="宋体" w:hAnsi="宋体" w:cs="宋体" w:hint="eastAsia"/>
                <w:b/>
                <w:kern w:val="0"/>
                <w:sz w:val="24"/>
              </w:rPr>
              <w:t>公司在阿卡波糖</w:t>
            </w:r>
            <w:r w:rsidR="008A441A">
              <w:rPr>
                <w:rFonts w:ascii="宋体" w:hAnsi="宋体" w:cs="宋体" w:hint="eastAsia"/>
                <w:b/>
                <w:kern w:val="0"/>
                <w:sz w:val="24"/>
              </w:rPr>
              <w:t>片</w:t>
            </w:r>
            <w:r w:rsidRPr="00D55CB3">
              <w:rPr>
                <w:rFonts w:ascii="宋体" w:hAnsi="宋体" w:cs="宋体" w:hint="eastAsia"/>
                <w:b/>
                <w:kern w:val="0"/>
                <w:sz w:val="24"/>
              </w:rPr>
              <w:t>失标后如何应对今后的集采</w:t>
            </w:r>
            <w:r w:rsidRPr="00D55CB3">
              <w:rPr>
                <w:rFonts w:ascii="宋体" w:hAnsi="宋体" w:cs="宋体"/>
                <w:b/>
                <w:kern w:val="0"/>
                <w:sz w:val="24"/>
              </w:rPr>
              <w:t>？</w:t>
            </w:r>
          </w:p>
          <w:p w14:paraId="23940733" w14:textId="77777777" w:rsidR="005665D4" w:rsidRDefault="00A373A6" w:rsidP="0025685D">
            <w:pPr>
              <w:spacing w:line="520" w:lineRule="exact"/>
              <w:ind w:firstLineChars="200" w:firstLine="482"/>
              <w:rPr>
                <w:rFonts w:ascii="宋体" w:hAnsi="宋体" w:cs="宋体"/>
                <w:kern w:val="0"/>
                <w:sz w:val="24"/>
              </w:rPr>
            </w:pPr>
            <w:r w:rsidRPr="00D55CB3">
              <w:rPr>
                <w:rFonts w:ascii="宋体" w:hAnsi="宋体" w:cs="宋体"/>
                <w:b/>
                <w:kern w:val="0"/>
                <w:sz w:val="24"/>
              </w:rPr>
              <w:t>答：</w:t>
            </w:r>
            <w:r>
              <w:rPr>
                <w:rFonts w:ascii="宋体" w:hAnsi="宋体" w:cs="宋体" w:hint="eastAsia"/>
                <w:kern w:val="0"/>
                <w:sz w:val="24"/>
              </w:rPr>
              <w:t>公司阿卡波糖片在</w:t>
            </w:r>
            <w:r w:rsidR="00C0655E">
              <w:rPr>
                <w:rFonts w:ascii="宋体" w:hAnsi="宋体" w:cs="宋体" w:hint="eastAsia"/>
                <w:kern w:val="0"/>
                <w:sz w:val="24"/>
              </w:rPr>
              <w:t>今年初</w:t>
            </w:r>
            <w:r>
              <w:rPr>
                <w:rFonts w:ascii="宋体" w:hAnsi="宋体" w:cs="宋体" w:hint="eastAsia"/>
                <w:kern w:val="0"/>
                <w:sz w:val="24"/>
              </w:rPr>
              <w:t>第二批国家</w:t>
            </w:r>
            <w:proofErr w:type="gramStart"/>
            <w:r>
              <w:rPr>
                <w:rFonts w:ascii="宋体" w:hAnsi="宋体" w:cs="宋体" w:hint="eastAsia"/>
                <w:kern w:val="0"/>
                <w:sz w:val="24"/>
              </w:rPr>
              <w:t>集采</w:t>
            </w:r>
            <w:r w:rsidR="00C0655E">
              <w:rPr>
                <w:rFonts w:ascii="宋体" w:hAnsi="宋体" w:cs="宋体" w:hint="eastAsia"/>
                <w:kern w:val="0"/>
                <w:sz w:val="24"/>
              </w:rPr>
              <w:t>中</w:t>
            </w:r>
            <w:r>
              <w:rPr>
                <w:rFonts w:ascii="宋体" w:hAnsi="宋体" w:cs="宋体" w:hint="eastAsia"/>
                <w:kern w:val="0"/>
                <w:sz w:val="24"/>
              </w:rPr>
              <w:t>失</w:t>
            </w:r>
            <w:proofErr w:type="gramEnd"/>
            <w:r>
              <w:rPr>
                <w:rFonts w:ascii="宋体" w:hAnsi="宋体" w:cs="宋体" w:hint="eastAsia"/>
                <w:kern w:val="0"/>
                <w:sz w:val="24"/>
              </w:rPr>
              <w:t>标后，公司</w:t>
            </w:r>
            <w:r w:rsidRPr="0025685D">
              <w:rPr>
                <w:rFonts w:ascii="宋体" w:hAnsi="宋体" w:cs="宋体" w:hint="eastAsia"/>
                <w:kern w:val="0"/>
                <w:sz w:val="24"/>
              </w:rPr>
              <w:t>根据当前</w:t>
            </w:r>
            <w:r w:rsidR="008A441A">
              <w:rPr>
                <w:rFonts w:ascii="宋体" w:hAnsi="宋体" w:cs="宋体" w:hint="eastAsia"/>
                <w:kern w:val="0"/>
                <w:sz w:val="24"/>
              </w:rPr>
              <w:t>的</w:t>
            </w:r>
            <w:r w:rsidRPr="0025685D">
              <w:rPr>
                <w:rFonts w:ascii="宋体" w:hAnsi="宋体" w:cs="宋体" w:hint="eastAsia"/>
                <w:kern w:val="0"/>
                <w:sz w:val="24"/>
              </w:rPr>
              <w:t>市场竞争形势及销售状况，</w:t>
            </w:r>
            <w:r>
              <w:rPr>
                <w:rFonts w:ascii="宋体" w:hAnsi="宋体" w:cs="宋体" w:hint="eastAsia"/>
                <w:kern w:val="0"/>
                <w:sz w:val="24"/>
              </w:rPr>
              <w:t>主动调低价格，大力拓展基层、院外、OTC等</w:t>
            </w:r>
            <w:proofErr w:type="gramStart"/>
            <w:r>
              <w:rPr>
                <w:rFonts w:ascii="宋体" w:hAnsi="宋体" w:cs="宋体" w:hint="eastAsia"/>
                <w:kern w:val="0"/>
                <w:sz w:val="24"/>
              </w:rPr>
              <w:t>非集</w:t>
            </w:r>
            <w:r w:rsidR="008A441A">
              <w:rPr>
                <w:rFonts w:ascii="宋体" w:hAnsi="宋体" w:cs="宋体" w:hint="eastAsia"/>
                <w:kern w:val="0"/>
                <w:sz w:val="24"/>
              </w:rPr>
              <w:t>采外</w:t>
            </w:r>
            <w:proofErr w:type="gramEnd"/>
            <w:r w:rsidR="008A441A">
              <w:rPr>
                <w:rFonts w:ascii="宋体" w:hAnsi="宋体" w:cs="宋体" w:hint="eastAsia"/>
                <w:kern w:val="0"/>
                <w:sz w:val="24"/>
              </w:rPr>
              <w:t>市场，并积极开展阿</w:t>
            </w:r>
            <w:proofErr w:type="gramStart"/>
            <w:r w:rsidR="008A441A">
              <w:rPr>
                <w:rFonts w:ascii="宋体" w:hAnsi="宋体" w:cs="宋体" w:hint="eastAsia"/>
                <w:kern w:val="0"/>
                <w:sz w:val="24"/>
              </w:rPr>
              <w:t>卡波糖咀嚼</w:t>
            </w:r>
            <w:proofErr w:type="gramEnd"/>
            <w:r w:rsidR="008A441A">
              <w:rPr>
                <w:rFonts w:ascii="宋体" w:hAnsi="宋体" w:cs="宋体" w:hint="eastAsia"/>
                <w:kern w:val="0"/>
                <w:sz w:val="24"/>
              </w:rPr>
              <w:t>片在全国医院市场的销售工作，</w:t>
            </w:r>
            <w:r w:rsidR="00C0655E">
              <w:rPr>
                <w:rFonts w:ascii="宋体" w:hAnsi="宋体" w:cs="宋体" w:hint="eastAsia"/>
                <w:kern w:val="0"/>
                <w:sz w:val="24"/>
              </w:rPr>
              <w:t>今年</w:t>
            </w:r>
            <w:r>
              <w:rPr>
                <w:rFonts w:ascii="宋体" w:hAnsi="宋体" w:cs="宋体" w:hint="eastAsia"/>
                <w:kern w:val="0"/>
                <w:sz w:val="24"/>
              </w:rPr>
              <w:t>前</w:t>
            </w:r>
            <w:r w:rsidR="00182CD0">
              <w:rPr>
                <w:rFonts w:ascii="宋体" w:hAnsi="宋体" w:cs="宋体" w:hint="eastAsia"/>
                <w:kern w:val="0"/>
                <w:sz w:val="24"/>
              </w:rPr>
              <w:t>三季度公司阿卡</w:t>
            </w:r>
            <w:proofErr w:type="gramStart"/>
            <w:r w:rsidR="00182CD0">
              <w:rPr>
                <w:rFonts w:ascii="宋体" w:hAnsi="宋体" w:cs="宋体" w:hint="eastAsia"/>
                <w:kern w:val="0"/>
                <w:sz w:val="24"/>
              </w:rPr>
              <w:t>波糖产品</w:t>
            </w:r>
            <w:proofErr w:type="gramEnd"/>
            <w:r w:rsidR="00182CD0">
              <w:rPr>
                <w:rFonts w:ascii="宋体" w:hAnsi="宋体" w:cs="宋体" w:hint="eastAsia"/>
                <w:kern w:val="0"/>
                <w:sz w:val="24"/>
              </w:rPr>
              <w:t>加大了市场覆盖</w:t>
            </w:r>
            <w:r w:rsidR="008A441A">
              <w:rPr>
                <w:rFonts w:ascii="宋体" w:hAnsi="宋体" w:cs="宋体" w:hint="eastAsia"/>
                <w:kern w:val="0"/>
                <w:sz w:val="24"/>
              </w:rPr>
              <w:t>，</w:t>
            </w:r>
            <w:r w:rsidR="00C0655E">
              <w:rPr>
                <w:rFonts w:ascii="宋体" w:hAnsi="宋体" w:cs="宋体" w:hint="eastAsia"/>
                <w:kern w:val="0"/>
                <w:sz w:val="24"/>
              </w:rPr>
              <w:t>公司</w:t>
            </w:r>
            <w:r>
              <w:rPr>
                <w:rFonts w:ascii="宋体" w:hAnsi="宋体" w:cs="宋体" w:hint="eastAsia"/>
                <w:kern w:val="0"/>
                <w:sz w:val="24"/>
              </w:rPr>
              <w:t>争取</w:t>
            </w:r>
            <w:r w:rsidR="00C0655E">
              <w:rPr>
                <w:rFonts w:ascii="宋体" w:hAnsi="宋体" w:cs="宋体" w:hint="eastAsia"/>
                <w:kern w:val="0"/>
                <w:sz w:val="24"/>
              </w:rPr>
              <w:t>该产品今年</w:t>
            </w:r>
            <w:r>
              <w:rPr>
                <w:rFonts w:ascii="宋体" w:hAnsi="宋体" w:cs="宋体" w:hint="eastAsia"/>
                <w:kern w:val="0"/>
                <w:sz w:val="24"/>
              </w:rPr>
              <w:t>全年</w:t>
            </w:r>
            <w:r w:rsidR="00C0655E">
              <w:rPr>
                <w:rFonts w:ascii="宋体" w:hAnsi="宋体" w:cs="宋体" w:hint="eastAsia"/>
                <w:kern w:val="0"/>
                <w:sz w:val="24"/>
              </w:rPr>
              <w:t>的销量不低于去年</w:t>
            </w:r>
            <w:r>
              <w:rPr>
                <w:rFonts w:ascii="宋体" w:hAnsi="宋体" w:cs="宋体" w:hint="eastAsia"/>
                <w:kern w:val="0"/>
                <w:sz w:val="24"/>
              </w:rPr>
              <w:t>水平。</w:t>
            </w:r>
          </w:p>
          <w:p w14:paraId="00E4E3C2" w14:textId="77777777" w:rsidR="005665D4" w:rsidRPr="0025685D" w:rsidRDefault="00A373A6" w:rsidP="0025685D">
            <w:pPr>
              <w:spacing w:line="520" w:lineRule="exact"/>
              <w:ind w:firstLineChars="200" w:firstLine="480"/>
              <w:rPr>
                <w:rFonts w:ascii="宋体" w:hAnsi="宋体" w:cs="宋体"/>
                <w:kern w:val="0"/>
                <w:sz w:val="24"/>
              </w:rPr>
            </w:pPr>
            <w:r>
              <w:rPr>
                <w:rFonts w:ascii="宋体" w:hAnsi="宋体" w:cs="宋体" w:hint="eastAsia"/>
                <w:kern w:val="0"/>
                <w:sz w:val="24"/>
              </w:rPr>
              <w:t>在今后的集采中，公司也</w:t>
            </w:r>
            <w:r w:rsidR="005541DA">
              <w:rPr>
                <w:rFonts w:ascii="宋体" w:hAnsi="宋体" w:cs="宋体" w:hint="eastAsia"/>
                <w:kern w:val="0"/>
                <w:sz w:val="24"/>
              </w:rPr>
              <w:t>将结合企业发展情况、产品竞争以及产能状况</w:t>
            </w:r>
            <w:r w:rsidR="00C0655E" w:rsidRPr="0025685D">
              <w:rPr>
                <w:rFonts w:ascii="宋体" w:hAnsi="宋体" w:cs="宋体" w:hint="eastAsia"/>
                <w:kern w:val="0"/>
                <w:sz w:val="24"/>
              </w:rPr>
              <w:t>，积极参与</w:t>
            </w:r>
            <w:r w:rsidR="001516EE">
              <w:rPr>
                <w:rFonts w:ascii="宋体" w:hAnsi="宋体" w:cs="宋体" w:hint="eastAsia"/>
                <w:kern w:val="0"/>
                <w:sz w:val="24"/>
              </w:rPr>
              <w:t>竞争</w:t>
            </w:r>
            <w:r w:rsidR="00C0655E" w:rsidRPr="0025685D">
              <w:rPr>
                <w:rFonts w:ascii="宋体" w:hAnsi="宋体" w:cs="宋体" w:hint="eastAsia"/>
                <w:kern w:val="0"/>
                <w:sz w:val="24"/>
              </w:rPr>
              <w:t>。今年8月20日国家第三批国家药品集中采购中，公司全资子公司中美华东的阿那曲</w:t>
            </w:r>
            <w:proofErr w:type="gramStart"/>
            <w:r w:rsidR="00C0655E" w:rsidRPr="0025685D">
              <w:rPr>
                <w:rFonts w:ascii="宋体" w:hAnsi="宋体" w:cs="宋体" w:hint="eastAsia"/>
                <w:kern w:val="0"/>
                <w:sz w:val="24"/>
              </w:rPr>
              <w:t>唑</w:t>
            </w:r>
            <w:proofErr w:type="gramEnd"/>
            <w:r w:rsidR="00C0655E" w:rsidRPr="0025685D">
              <w:rPr>
                <w:rFonts w:ascii="宋体" w:hAnsi="宋体" w:cs="宋体" w:hint="eastAsia"/>
                <w:kern w:val="0"/>
                <w:sz w:val="24"/>
              </w:rPr>
              <w:t>片（1mg）、西安博华的多潘立酮片（10mg）双双中标，将有利于公司该两款产品快速扩大在国内市场的销售覆盖面，提高市场占有率和品牌影响力，对公司经营业绩也将产生积极影响。</w:t>
            </w:r>
          </w:p>
          <w:p w14:paraId="68022DBD" w14:textId="77777777" w:rsidR="005665D4" w:rsidRPr="0025685D" w:rsidRDefault="005665D4" w:rsidP="0025685D">
            <w:pPr>
              <w:spacing w:line="520" w:lineRule="exact"/>
              <w:rPr>
                <w:rFonts w:ascii="宋体" w:hAnsi="宋体" w:cs="宋体"/>
                <w:kern w:val="0"/>
                <w:sz w:val="24"/>
              </w:rPr>
            </w:pPr>
          </w:p>
          <w:p w14:paraId="36A1A891" w14:textId="77777777" w:rsidR="005665D4" w:rsidRPr="00D55CB3" w:rsidRDefault="00A373A6" w:rsidP="0025685D">
            <w:pPr>
              <w:spacing w:line="520" w:lineRule="exact"/>
              <w:ind w:firstLineChars="200" w:firstLine="482"/>
              <w:rPr>
                <w:rFonts w:ascii="宋体" w:hAnsi="宋体" w:cs="宋体"/>
                <w:b/>
                <w:kern w:val="0"/>
                <w:sz w:val="24"/>
              </w:rPr>
            </w:pPr>
            <w:r w:rsidRPr="00D55CB3">
              <w:rPr>
                <w:rFonts w:ascii="宋体" w:hAnsi="宋体" w:cs="宋体"/>
                <w:b/>
                <w:kern w:val="0"/>
                <w:sz w:val="24"/>
              </w:rPr>
              <w:t>提问</w:t>
            </w:r>
            <w:r w:rsidR="00A62858" w:rsidRPr="00D55CB3">
              <w:rPr>
                <w:rFonts w:ascii="宋体" w:hAnsi="宋体" w:cs="宋体" w:hint="eastAsia"/>
                <w:b/>
                <w:kern w:val="0"/>
                <w:sz w:val="24"/>
              </w:rPr>
              <w:t>4</w:t>
            </w:r>
            <w:r w:rsidRPr="00D55CB3">
              <w:rPr>
                <w:rFonts w:ascii="宋体" w:hAnsi="宋体" w:cs="宋体"/>
                <w:b/>
                <w:kern w:val="0"/>
                <w:sz w:val="24"/>
              </w:rPr>
              <w:t>：</w:t>
            </w:r>
            <w:r w:rsidR="00D02AF8" w:rsidRPr="00D55CB3">
              <w:rPr>
                <w:rFonts w:ascii="宋体" w:hAnsi="宋体" w:cs="宋体" w:hint="eastAsia"/>
                <w:b/>
                <w:kern w:val="0"/>
                <w:sz w:val="24"/>
              </w:rPr>
              <w:t>今年的疫情对公司</w:t>
            </w:r>
            <w:proofErr w:type="gramStart"/>
            <w:r w:rsidR="00D02AF8" w:rsidRPr="00D55CB3">
              <w:rPr>
                <w:rFonts w:ascii="宋体" w:hAnsi="宋体" w:cs="宋体" w:hint="eastAsia"/>
                <w:b/>
                <w:kern w:val="0"/>
                <w:sz w:val="24"/>
              </w:rPr>
              <w:t>医美</w:t>
            </w:r>
            <w:r w:rsidR="00DF7E5C">
              <w:rPr>
                <w:rFonts w:ascii="宋体" w:hAnsi="宋体" w:cs="宋体" w:hint="eastAsia"/>
                <w:b/>
                <w:kern w:val="0"/>
                <w:sz w:val="24"/>
              </w:rPr>
              <w:t>业务</w:t>
            </w:r>
            <w:proofErr w:type="gramEnd"/>
            <w:r w:rsidR="00D02AF8" w:rsidRPr="00D55CB3">
              <w:rPr>
                <w:rFonts w:ascii="宋体" w:hAnsi="宋体" w:cs="宋体" w:hint="eastAsia"/>
                <w:b/>
                <w:kern w:val="0"/>
                <w:sz w:val="24"/>
              </w:rPr>
              <w:t>有什么</w:t>
            </w:r>
            <w:r w:rsidRPr="00D55CB3">
              <w:rPr>
                <w:rFonts w:ascii="宋体" w:hAnsi="宋体" w:cs="宋体" w:hint="eastAsia"/>
                <w:b/>
                <w:kern w:val="0"/>
                <w:sz w:val="24"/>
              </w:rPr>
              <w:t>影响</w:t>
            </w:r>
            <w:r w:rsidRPr="00D55CB3">
              <w:rPr>
                <w:rFonts w:ascii="宋体" w:hAnsi="宋体" w:cs="宋体"/>
                <w:b/>
                <w:kern w:val="0"/>
                <w:sz w:val="24"/>
              </w:rPr>
              <w:t>？</w:t>
            </w:r>
          </w:p>
          <w:p w14:paraId="72CCA01C" w14:textId="77777777" w:rsidR="00D02AF8" w:rsidRDefault="00A373A6" w:rsidP="0025685D">
            <w:pPr>
              <w:spacing w:line="520" w:lineRule="exact"/>
              <w:ind w:firstLineChars="200" w:firstLine="482"/>
              <w:rPr>
                <w:rFonts w:ascii="宋体" w:hAnsi="宋体" w:cs="宋体"/>
                <w:kern w:val="0"/>
                <w:sz w:val="24"/>
              </w:rPr>
            </w:pPr>
            <w:r w:rsidRPr="00D55CB3">
              <w:rPr>
                <w:rFonts w:ascii="宋体" w:hAnsi="宋体" w:cs="宋体"/>
                <w:b/>
                <w:kern w:val="0"/>
                <w:sz w:val="24"/>
              </w:rPr>
              <w:t>答：</w:t>
            </w:r>
            <w:r w:rsidR="00A62858" w:rsidRPr="0025685D">
              <w:rPr>
                <w:rFonts w:ascii="宋体" w:hAnsi="宋体" w:cs="宋体" w:hint="eastAsia"/>
                <w:kern w:val="0"/>
                <w:sz w:val="24"/>
              </w:rPr>
              <w:t>今年</w:t>
            </w:r>
            <w:r w:rsidRPr="0025685D">
              <w:rPr>
                <w:rFonts w:ascii="宋体" w:hAnsi="宋体" w:cs="宋体" w:hint="eastAsia"/>
                <w:kern w:val="0"/>
                <w:sz w:val="24"/>
              </w:rPr>
              <w:t>以来，国内外疫情对公司</w:t>
            </w:r>
            <w:proofErr w:type="gramStart"/>
            <w:r w:rsidRPr="0025685D">
              <w:rPr>
                <w:rFonts w:ascii="宋体" w:hAnsi="宋体" w:cs="宋体" w:hint="eastAsia"/>
                <w:kern w:val="0"/>
                <w:sz w:val="24"/>
              </w:rPr>
              <w:t>医美业务</w:t>
            </w:r>
            <w:proofErr w:type="gramEnd"/>
            <w:r w:rsidRPr="0025685D">
              <w:rPr>
                <w:rFonts w:ascii="宋体" w:hAnsi="宋体" w:cs="宋体" w:hint="eastAsia"/>
                <w:kern w:val="0"/>
                <w:sz w:val="24"/>
              </w:rPr>
              <w:t>构成明显影响</w:t>
            </w:r>
            <w:r w:rsidR="00D02AF8" w:rsidRPr="0025685D">
              <w:rPr>
                <w:rFonts w:ascii="宋体" w:hAnsi="宋体" w:cs="宋体" w:hint="eastAsia"/>
                <w:kern w:val="0"/>
                <w:sz w:val="24"/>
              </w:rPr>
              <w:t>，但</w:t>
            </w:r>
            <w:r w:rsidR="00DF7E5C">
              <w:rPr>
                <w:rFonts w:ascii="宋体" w:hAnsi="宋体" w:cs="宋体" w:hint="eastAsia"/>
                <w:kern w:val="0"/>
                <w:sz w:val="24"/>
              </w:rPr>
              <w:t>从</w:t>
            </w:r>
            <w:r>
              <w:rPr>
                <w:rFonts w:ascii="宋体" w:hAnsi="宋体" w:cs="宋体" w:hint="eastAsia"/>
                <w:kern w:val="0"/>
                <w:sz w:val="24"/>
              </w:rPr>
              <w:t>第三季度</w:t>
            </w:r>
            <w:r w:rsidR="00DF7E5C">
              <w:rPr>
                <w:rFonts w:ascii="宋体" w:hAnsi="宋体" w:cs="宋体" w:hint="eastAsia"/>
                <w:kern w:val="0"/>
                <w:sz w:val="24"/>
              </w:rPr>
              <w:t>开始</w:t>
            </w:r>
            <w:r>
              <w:rPr>
                <w:rFonts w:ascii="宋体" w:hAnsi="宋体" w:cs="宋体" w:hint="eastAsia"/>
                <w:kern w:val="0"/>
                <w:sz w:val="24"/>
              </w:rPr>
              <w:t>经营情况较上半年明显好转，全球业务均呈现逐步回暖态势。子公司宁波公司扭转上半年受疫情影响下降趋势，三季度营业收入已接近去年同期水平；全资子公司英国Sinclair第三季度营业收入较二季度已明显回升。</w:t>
            </w:r>
          </w:p>
          <w:p w14:paraId="2F273F6B" w14:textId="77777777" w:rsidR="005665D4" w:rsidRPr="0025685D" w:rsidRDefault="00D02AF8" w:rsidP="0025685D">
            <w:pPr>
              <w:spacing w:line="520" w:lineRule="exact"/>
              <w:ind w:firstLineChars="200" w:firstLine="480"/>
              <w:rPr>
                <w:rFonts w:ascii="宋体" w:hAnsi="宋体" w:cs="宋体"/>
                <w:kern w:val="0"/>
                <w:sz w:val="24"/>
              </w:rPr>
            </w:pPr>
            <w:r>
              <w:rPr>
                <w:rFonts w:ascii="宋体" w:hAnsi="宋体" w:cs="宋体" w:hint="eastAsia"/>
                <w:kern w:val="0"/>
                <w:sz w:val="24"/>
              </w:rPr>
              <w:t>今年以来，</w:t>
            </w:r>
            <w:r w:rsidR="00A373A6" w:rsidRPr="0025685D">
              <w:rPr>
                <w:rFonts w:ascii="宋体" w:hAnsi="宋体" w:cs="宋体" w:hint="eastAsia"/>
                <w:kern w:val="0"/>
                <w:sz w:val="24"/>
              </w:rPr>
              <w:t>公司</w:t>
            </w:r>
            <w:r w:rsidRPr="0025685D">
              <w:rPr>
                <w:rFonts w:ascii="宋体" w:hAnsi="宋体" w:cs="宋体" w:hint="eastAsia"/>
                <w:kern w:val="0"/>
                <w:sz w:val="24"/>
              </w:rPr>
              <w:t>在重点</w:t>
            </w:r>
            <w:r w:rsidR="00A373A6" w:rsidRPr="0025685D">
              <w:rPr>
                <w:rFonts w:ascii="宋体" w:hAnsi="宋体" w:cs="宋体" w:hint="eastAsia"/>
                <w:kern w:val="0"/>
                <w:sz w:val="24"/>
              </w:rPr>
              <w:t>优化</w:t>
            </w:r>
            <w:r w:rsidRPr="0025685D">
              <w:rPr>
                <w:rFonts w:ascii="宋体" w:hAnsi="宋体" w:cs="宋体" w:hint="eastAsia"/>
                <w:kern w:val="0"/>
                <w:sz w:val="24"/>
              </w:rPr>
              <w:t>和丰富</w:t>
            </w:r>
            <w:proofErr w:type="gramStart"/>
            <w:r w:rsidRPr="0025685D">
              <w:rPr>
                <w:rFonts w:ascii="宋体" w:hAnsi="宋体" w:cs="宋体" w:hint="eastAsia"/>
                <w:kern w:val="0"/>
                <w:sz w:val="24"/>
              </w:rPr>
              <w:t>医美</w:t>
            </w:r>
            <w:r w:rsidR="00A373A6" w:rsidRPr="0025685D">
              <w:rPr>
                <w:rFonts w:ascii="宋体" w:hAnsi="宋体" w:cs="宋体" w:hint="eastAsia"/>
                <w:kern w:val="0"/>
                <w:sz w:val="24"/>
              </w:rPr>
              <w:t>产品</w:t>
            </w:r>
            <w:proofErr w:type="gramEnd"/>
            <w:r w:rsidR="00A373A6" w:rsidRPr="0025685D">
              <w:rPr>
                <w:rFonts w:ascii="宋体" w:hAnsi="宋体" w:cs="宋体" w:hint="eastAsia"/>
                <w:kern w:val="0"/>
                <w:sz w:val="24"/>
              </w:rPr>
              <w:t>管线，力争在疫情得到有效控制后，加快推进</w:t>
            </w:r>
            <w:r w:rsidRPr="0025685D">
              <w:rPr>
                <w:rFonts w:ascii="宋体" w:hAnsi="宋体" w:cs="宋体" w:hint="eastAsia"/>
                <w:kern w:val="0"/>
                <w:sz w:val="24"/>
              </w:rPr>
              <w:t>全球</w:t>
            </w:r>
            <w:proofErr w:type="gramStart"/>
            <w:r w:rsidR="00A373A6" w:rsidRPr="0025685D">
              <w:rPr>
                <w:rFonts w:ascii="宋体" w:hAnsi="宋体" w:cs="宋体" w:hint="eastAsia"/>
                <w:kern w:val="0"/>
                <w:sz w:val="24"/>
              </w:rPr>
              <w:t>医</w:t>
            </w:r>
            <w:proofErr w:type="gramEnd"/>
            <w:r w:rsidR="00A373A6" w:rsidRPr="0025685D">
              <w:rPr>
                <w:rFonts w:ascii="宋体" w:hAnsi="宋体" w:cs="宋体" w:hint="eastAsia"/>
                <w:kern w:val="0"/>
                <w:sz w:val="24"/>
              </w:rPr>
              <w:t>美业务，</w:t>
            </w:r>
            <w:r w:rsidRPr="0025685D">
              <w:rPr>
                <w:rFonts w:ascii="宋体" w:hAnsi="宋体" w:cs="宋体" w:hint="eastAsia"/>
                <w:kern w:val="0"/>
                <w:sz w:val="24"/>
              </w:rPr>
              <w:t>并加快推进</w:t>
            </w:r>
            <w:proofErr w:type="gramStart"/>
            <w:r w:rsidR="00A373A6" w:rsidRPr="0025685D">
              <w:rPr>
                <w:rFonts w:ascii="宋体" w:hAnsi="宋体" w:cs="宋体" w:hint="eastAsia"/>
                <w:kern w:val="0"/>
                <w:sz w:val="24"/>
              </w:rPr>
              <w:t>医美</w:t>
            </w:r>
            <w:r w:rsidRPr="0025685D">
              <w:rPr>
                <w:rFonts w:ascii="宋体" w:hAnsi="宋体" w:cs="宋体" w:hint="eastAsia"/>
                <w:kern w:val="0"/>
                <w:sz w:val="24"/>
              </w:rPr>
              <w:t>产品</w:t>
            </w:r>
            <w:proofErr w:type="gramEnd"/>
            <w:r w:rsidRPr="0025685D">
              <w:rPr>
                <w:rFonts w:ascii="宋体" w:hAnsi="宋体" w:cs="宋体" w:hint="eastAsia"/>
                <w:kern w:val="0"/>
                <w:sz w:val="24"/>
              </w:rPr>
              <w:t>在</w:t>
            </w:r>
            <w:r w:rsidR="00A373A6" w:rsidRPr="0025685D">
              <w:rPr>
                <w:rFonts w:ascii="宋体" w:hAnsi="宋体" w:cs="宋体" w:hint="eastAsia"/>
                <w:kern w:val="0"/>
                <w:sz w:val="24"/>
              </w:rPr>
              <w:t>中国市场</w:t>
            </w:r>
            <w:r w:rsidRPr="0025685D">
              <w:rPr>
                <w:rFonts w:ascii="宋体" w:hAnsi="宋体" w:cs="宋体" w:hint="eastAsia"/>
                <w:kern w:val="0"/>
                <w:sz w:val="24"/>
              </w:rPr>
              <w:t>的注册与上市工作</w:t>
            </w:r>
            <w:r w:rsidR="00A373A6" w:rsidRPr="0025685D">
              <w:rPr>
                <w:rFonts w:ascii="宋体" w:hAnsi="宋体" w:cs="宋体" w:hint="eastAsia"/>
                <w:kern w:val="0"/>
                <w:sz w:val="24"/>
              </w:rPr>
              <w:t>。</w:t>
            </w:r>
          </w:p>
          <w:p w14:paraId="0FB8BF6B" w14:textId="77777777" w:rsidR="005758F4" w:rsidRDefault="005758F4" w:rsidP="0025685D">
            <w:pPr>
              <w:spacing w:line="520" w:lineRule="exact"/>
              <w:ind w:firstLineChars="200" w:firstLine="480"/>
              <w:rPr>
                <w:rFonts w:ascii="宋体" w:hAnsi="宋体" w:cs="宋体"/>
                <w:kern w:val="0"/>
                <w:sz w:val="24"/>
              </w:rPr>
            </w:pPr>
          </w:p>
          <w:p w14:paraId="3D9433A7" w14:textId="77777777" w:rsidR="00E33472" w:rsidRPr="0025685D" w:rsidRDefault="00E33472" w:rsidP="0025685D">
            <w:pPr>
              <w:spacing w:line="520" w:lineRule="exact"/>
              <w:ind w:firstLineChars="200" w:firstLine="482"/>
              <w:rPr>
                <w:rFonts w:ascii="宋体" w:hAnsi="宋体" w:cs="宋体"/>
                <w:b/>
                <w:kern w:val="0"/>
                <w:sz w:val="24"/>
              </w:rPr>
            </w:pPr>
            <w:r w:rsidRPr="0025685D">
              <w:rPr>
                <w:rFonts w:ascii="宋体" w:hAnsi="宋体" w:cs="宋体" w:hint="eastAsia"/>
                <w:b/>
                <w:kern w:val="0"/>
                <w:sz w:val="24"/>
              </w:rPr>
              <w:t>提问5：公司对</w:t>
            </w:r>
            <w:proofErr w:type="gramStart"/>
            <w:r w:rsidRPr="0025685D">
              <w:rPr>
                <w:rFonts w:ascii="宋体" w:hAnsi="宋体" w:cs="宋体" w:hint="eastAsia"/>
                <w:b/>
                <w:kern w:val="0"/>
                <w:sz w:val="24"/>
              </w:rPr>
              <w:t>医美产品</w:t>
            </w:r>
            <w:proofErr w:type="gramEnd"/>
            <w:r w:rsidRPr="0025685D">
              <w:rPr>
                <w:rFonts w:ascii="宋体" w:hAnsi="宋体" w:cs="宋体" w:hint="eastAsia"/>
                <w:b/>
                <w:kern w:val="0"/>
                <w:sz w:val="24"/>
              </w:rPr>
              <w:t>是否有国内生产的规划？</w:t>
            </w:r>
          </w:p>
          <w:p w14:paraId="798E67F4" w14:textId="77777777" w:rsidR="004F7E3D" w:rsidRDefault="00E33472" w:rsidP="0025685D">
            <w:pPr>
              <w:spacing w:line="520" w:lineRule="exact"/>
              <w:ind w:firstLineChars="200" w:firstLine="482"/>
              <w:rPr>
                <w:rFonts w:ascii="宋体" w:hAnsi="宋体" w:cs="宋体"/>
                <w:kern w:val="0"/>
                <w:sz w:val="24"/>
              </w:rPr>
            </w:pPr>
            <w:r w:rsidRPr="0025685D">
              <w:rPr>
                <w:rFonts w:ascii="宋体" w:hAnsi="宋体" w:cs="宋体" w:hint="eastAsia"/>
                <w:b/>
                <w:kern w:val="0"/>
                <w:sz w:val="24"/>
              </w:rPr>
              <w:t>答：</w:t>
            </w:r>
            <w:r w:rsidR="004F7E3D" w:rsidRPr="004F7E3D">
              <w:rPr>
                <w:rFonts w:ascii="宋体" w:hAnsi="宋体" w:cs="宋体" w:hint="eastAsia"/>
                <w:kern w:val="0"/>
                <w:sz w:val="24"/>
              </w:rPr>
              <w:t>公司</w:t>
            </w:r>
            <w:proofErr w:type="gramStart"/>
            <w:r w:rsidR="004F7E3D" w:rsidRPr="004F7E3D">
              <w:rPr>
                <w:rFonts w:ascii="宋体" w:hAnsi="宋体" w:cs="宋体" w:hint="eastAsia"/>
                <w:kern w:val="0"/>
                <w:sz w:val="24"/>
              </w:rPr>
              <w:t>医美业务</w:t>
            </w:r>
            <w:proofErr w:type="gramEnd"/>
            <w:r w:rsidR="004F7E3D" w:rsidRPr="004F7E3D">
              <w:rPr>
                <w:rFonts w:ascii="宋体" w:hAnsi="宋体" w:cs="宋体" w:hint="eastAsia"/>
                <w:kern w:val="0"/>
                <w:sz w:val="24"/>
              </w:rPr>
              <w:t>采用“全球化运营布局，双循环经营发展”策略，将中国市场作为公司</w:t>
            </w:r>
            <w:proofErr w:type="gramStart"/>
            <w:r w:rsidR="004F7E3D" w:rsidRPr="004F7E3D">
              <w:rPr>
                <w:rFonts w:ascii="宋体" w:hAnsi="宋体" w:cs="宋体" w:hint="eastAsia"/>
                <w:kern w:val="0"/>
                <w:sz w:val="24"/>
              </w:rPr>
              <w:t>医美业务</w:t>
            </w:r>
            <w:proofErr w:type="gramEnd"/>
            <w:r w:rsidR="004F7E3D" w:rsidRPr="004F7E3D">
              <w:rPr>
                <w:rFonts w:ascii="宋体" w:hAnsi="宋体" w:cs="宋体" w:hint="eastAsia"/>
                <w:kern w:val="0"/>
                <w:sz w:val="24"/>
              </w:rPr>
              <w:t>一个特殊市场，将国际一流的、科技含金量高的产品陆续引入国内。依托公司国内</w:t>
            </w:r>
            <w:proofErr w:type="gramStart"/>
            <w:r w:rsidR="004F7E3D" w:rsidRPr="004F7E3D">
              <w:rPr>
                <w:rFonts w:ascii="宋体" w:hAnsi="宋体" w:cs="宋体" w:hint="eastAsia"/>
                <w:kern w:val="0"/>
                <w:sz w:val="24"/>
              </w:rPr>
              <w:t>医</w:t>
            </w:r>
            <w:proofErr w:type="gramEnd"/>
            <w:r w:rsidR="004F7E3D" w:rsidRPr="004F7E3D">
              <w:rPr>
                <w:rFonts w:ascii="宋体" w:hAnsi="宋体" w:cs="宋体" w:hint="eastAsia"/>
                <w:kern w:val="0"/>
                <w:sz w:val="24"/>
              </w:rPr>
              <w:t>美营销基础以及</w:t>
            </w:r>
            <w:proofErr w:type="gramStart"/>
            <w:r w:rsidR="004F7E3D" w:rsidRPr="004F7E3D">
              <w:rPr>
                <w:rFonts w:ascii="宋体" w:hAnsi="宋体" w:cs="宋体" w:hint="eastAsia"/>
                <w:kern w:val="0"/>
                <w:sz w:val="24"/>
              </w:rPr>
              <w:t>医美行业</w:t>
            </w:r>
            <w:proofErr w:type="gramEnd"/>
            <w:r w:rsidR="004F7E3D" w:rsidRPr="004F7E3D">
              <w:rPr>
                <w:rFonts w:ascii="宋体" w:hAnsi="宋体" w:cs="宋体" w:hint="eastAsia"/>
                <w:kern w:val="0"/>
                <w:sz w:val="24"/>
              </w:rPr>
              <w:t>的高速发展，助力国际优质产品的迅速落地，为求美者提供个性化和差异化的</w:t>
            </w:r>
            <w:proofErr w:type="gramStart"/>
            <w:r w:rsidR="004F7E3D" w:rsidRPr="004F7E3D">
              <w:rPr>
                <w:rFonts w:ascii="宋体" w:hAnsi="宋体" w:cs="宋体" w:hint="eastAsia"/>
                <w:kern w:val="0"/>
                <w:sz w:val="24"/>
              </w:rPr>
              <w:t>医美产品</w:t>
            </w:r>
            <w:proofErr w:type="gramEnd"/>
            <w:r w:rsidR="004F7E3D" w:rsidRPr="004F7E3D">
              <w:rPr>
                <w:rFonts w:ascii="宋体" w:hAnsi="宋体" w:cs="宋体" w:hint="eastAsia"/>
                <w:kern w:val="0"/>
                <w:sz w:val="24"/>
              </w:rPr>
              <w:t>组合，从而形成国内国际双循环联动发展并相互促进的新格局。</w:t>
            </w:r>
          </w:p>
          <w:p w14:paraId="6736F71F" w14:textId="77777777" w:rsidR="004F7E3D" w:rsidRDefault="001B215E" w:rsidP="0025685D">
            <w:pPr>
              <w:spacing w:line="520" w:lineRule="exact"/>
              <w:ind w:firstLineChars="200" w:firstLine="480"/>
              <w:rPr>
                <w:rFonts w:ascii="宋体" w:hAnsi="宋体" w:cs="宋体"/>
                <w:kern w:val="0"/>
                <w:sz w:val="24"/>
              </w:rPr>
            </w:pPr>
            <w:r w:rsidRPr="004F7E3D">
              <w:rPr>
                <w:rFonts w:ascii="宋体" w:hAnsi="宋体" w:cs="宋体" w:hint="eastAsia"/>
                <w:kern w:val="0"/>
                <w:sz w:val="24"/>
              </w:rPr>
              <w:t>位于伦敦的Sinclair公司作为公司</w:t>
            </w:r>
            <w:proofErr w:type="gramStart"/>
            <w:r w:rsidR="009C6E69">
              <w:rPr>
                <w:rFonts w:ascii="宋体" w:hAnsi="宋体" w:cs="宋体" w:hint="eastAsia"/>
                <w:kern w:val="0"/>
                <w:sz w:val="24"/>
              </w:rPr>
              <w:t>医美业务</w:t>
            </w:r>
            <w:proofErr w:type="gramEnd"/>
            <w:r w:rsidR="009C6E69">
              <w:rPr>
                <w:rFonts w:ascii="宋体" w:hAnsi="宋体" w:cs="宋体" w:hint="eastAsia"/>
                <w:kern w:val="0"/>
                <w:sz w:val="24"/>
              </w:rPr>
              <w:t>的全球运营总部，在全球拥有荷兰、法国达迪利、美国密歇根</w:t>
            </w:r>
            <w:r w:rsidRPr="004F7E3D">
              <w:rPr>
                <w:rFonts w:ascii="宋体" w:hAnsi="宋体" w:cs="宋体" w:hint="eastAsia"/>
                <w:kern w:val="0"/>
                <w:sz w:val="24"/>
              </w:rPr>
              <w:t>和瑞士四大生产基地。</w:t>
            </w:r>
            <w:r>
              <w:rPr>
                <w:rFonts w:ascii="宋体" w:hAnsi="宋体" w:cs="宋体" w:hint="eastAsia"/>
                <w:kern w:val="0"/>
                <w:sz w:val="24"/>
              </w:rPr>
              <w:t>当前公司的</w:t>
            </w:r>
            <w:proofErr w:type="gramStart"/>
            <w:r>
              <w:rPr>
                <w:rFonts w:ascii="宋体" w:hAnsi="宋体" w:cs="宋体" w:hint="eastAsia"/>
                <w:kern w:val="0"/>
                <w:sz w:val="24"/>
              </w:rPr>
              <w:t>医美产品</w:t>
            </w:r>
            <w:proofErr w:type="gramEnd"/>
            <w:r>
              <w:rPr>
                <w:rFonts w:ascii="宋体" w:hAnsi="宋体" w:cs="宋体" w:hint="eastAsia"/>
                <w:kern w:val="0"/>
                <w:sz w:val="24"/>
              </w:rPr>
              <w:t>以</w:t>
            </w:r>
            <w:r w:rsidR="00EC6FA0">
              <w:rPr>
                <w:rFonts w:ascii="宋体" w:hAnsi="宋体" w:cs="宋体" w:hint="eastAsia"/>
                <w:kern w:val="0"/>
                <w:sz w:val="24"/>
              </w:rPr>
              <w:t>从</w:t>
            </w:r>
            <w:r w:rsidR="00B637BA">
              <w:rPr>
                <w:rFonts w:ascii="宋体" w:hAnsi="宋体" w:cs="宋体" w:hint="eastAsia"/>
                <w:kern w:val="0"/>
                <w:sz w:val="24"/>
              </w:rPr>
              <w:t>国际引进为主，后续</w:t>
            </w:r>
            <w:r>
              <w:rPr>
                <w:rFonts w:ascii="宋体" w:hAnsi="宋体" w:cs="宋体" w:hint="eastAsia"/>
                <w:kern w:val="0"/>
                <w:sz w:val="24"/>
              </w:rPr>
              <w:t>将</w:t>
            </w:r>
            <w:r w:rsidR="00EC6FA0">
              <w:rPr>
                <w:rFonts w:ascii="宋体" w:hAnsi="宋体" w:cs="宋体" w:hint="eastAsia"/>
                <w:kern w:val="0"/>
                <w:sz w:val="24"/>
              </w:rPr>
              <w:t>加快国内上市注册力度，并针对优势领域进行精耕细作的研发。</w:t>
            </w:r>
          </w:p>
          <w:p w14:paraId="42B3474A" w14:textId="77777777" w:rsidR="00DF7E5C" w:rsidRDefault="00DF7E5C" w:rsidP="00DF7E5C">
            <w:pPr>
              <w:spacing w:line="520" w:lineRule="exact"/>
              <w:ind w:firstLineChars="200" w:firstLine="480"/>
              <w:rPr>
                <w:rFonts w:ascii="宋体" w:hAnsi="宋体" w:cs="宋体"/>
                <w:kern w:val="0"/>
                <w:sz w:val="24"/>
              </w:rPr>
            </w:pPr>
            <w:r>
              <w:rPr>
                <w:rFonts w:ascii="宋体" w:hAnsi="宋体" w:cs="宋体" w:hint="eastAsia"/>
                <w:kern w:val="0"/>
                <w:sz w:val="24"/>
              </w:rPr>
              <w:t>公司</w:t>
            </w:r>
            <w:proofErr w:type="gramStart"/>
            <w:r>
              <w:rPr>
                <w:rFonts w:ascii="宋体" w:hAnsi="宋体" w:cs="宋体" w:hint="eastAsia"/>
                <w:kern w:val="0"/>
                <w:sz w:val="24"/>
              </w:rPr>
              <w:t>医美产品</w:t>
            </w:r>
            <w:proofErr w:type="gramEnd"/>
            <w:r>
              <w:rPr>
                <w:rFonts w:ascii="宋体" w:hAnsi="宋体" w:cs="宋体" w:hint="eastAsia"/>
                <w:kern w:val="0"/>
                <w:sz w:val="24"/>
              </w:rPr>
              <w:t>定位高端，打造全球化品牌，目前对相关全球化</w:t>
            </w:r>
            <w:proofErr w:type="gramStart"/>
            <w:r>
              <w:rPr>
                <w:rFonts w:ascii="宋体" w:hAnsi="宋体" w:cs="宋体" w:hint="eastAsia"/>
                <w:kern w:val="0"/>
                <w:sz w:val="24"/>
              </w:rPr>
              <w:t>医美品牌</w:t>
            </w:r>
            <w:proofErr w:type="gramEnd"/>
            <w:r>
              <w:rPr>
                <w:rFonts w:ascii="宋体" w:hAnsi="宋体" w:cs="宋体" w:hint="eastAsia"/>
                <w:kern w:val="0"/>
                <w:sz w:val="24"/>
              </w:rPr>
              <w:t>产品暂无在国内生产的规划。</w:t>
            </w:r>
          </w:p>
          <w:p w14:paraId="72C2B25A" w14:textId="77777777" w:rsidR="001B215E" w:rsidRPr="004F7E3D" w:rsidRDefault="001B215E" w:rsidP="0025685D">
            <w:pPr>
              <w:spacing w:line="520" w:lineRule="exact"/>
              <w:ind w:firstLineChars="200" w:firstLine="480"/>
              <w:rPr>
                <w:rFonts w:ascii="宋体" w:hAnsi="宋体" w:cs="宋体"/>
                <w:kern w:val="0"/>
                <w:sz w:val="24"/>
              </w:rPr>
            </w:pPr>
          </w:p>
          <w:p w14:paraId="32412A0C" w14:textId="77777777" w:rsidR="00B52C6E" w:rsidRPr="0025685D" w:rsidRDefault="00B52C6E" w:rsidP="0025685D">
            <w:pPr>
              <w:spacing w:line="520" w:lineRule="exact"/>
              <w:ind w:firstLineChars="200" w:firstLine="482"/>
              <w:rPr>
                <w:rFonts w:ascii="宋体" w:hAnsi="宋体" w:cs="宋体"/>
                <w:b/>
                <w:kern w:val="0"/>
                <w:sz w:val="24"/>
              </w:rPr>
            </w:pPr>
            <w:r w:rsidRPr="0025685D">
              <w:rPr>
                <w:rFonts w:ascii="宋体" w:hAnsi="宋体" w:cs="宋体" w:hint="eastAsia"/>
                <w:b/>
                <w:kern w:val="0"/>
                <w:sz w:val="24"/>
              </w:rPr>
              <w:t>提问</w:t>
            </w:r>
            <w:r w:rsidR="00A62858" w:rsidRPr="0025685D">
              <w:rPr>
                <w:rFonts w:ascii="宋体" w:hAnsi="宋体" w:cs="宋体" w:hint="eastAsia"/>
                <w:b/>
                <w:kern w:val="0"/>
                <w:sz w:val="24"/>
              </w:rPr>
              <w:t>6</w:t>
            </w:r>
            <w:r w:rsidRPr="0025685D">
              <w:rPr>
                <w:rFonts w:ascii="宋体" w:hAnsi="宋体" w:cs="宋体" w:hint="eastAsia"/>
                <w:b/>
                <w:kern w:val="0"/>
                <w:sz w:val="24"/>
              </w:rPr>
              <w:t>：公司</w:t>
            </w:r>
            <w:r w:rsidR="006513A5" w:rsidRPr="0025685D">
              <w:rPr>
                <w:rFonts w:ascii="宋体" w:hAnsi="宋体" w:cs="宋体" w:hint="eastAsia"/>
                <w:b/>
                <w:kern w:val="0"/>
                <w:sz w:val="24"/>
              </w:rPr>
              <w:t>定期</w:t>
            </w:r>
            <w:r w:rsidRPr="0025685D">
              <w:rPr>
                <w:rFonts w:ascii="宋体" w:hAnsi="宋体" w:cs="宋体" w:hint="eastAsia"/>
                <w:b/>
                <w:kern w:val="0"/>
                <w:sz w:val="24"/>
              </w:rPr>
              <w:t>报告中列示的华东医药生物医药科技园项目二期是指什么项目？</w:t>
            </w:r>
          </w:p>
          <w:p w14:paraId="08F6D1E0" w14:textId="77777777" w:rsidR="00B52C6E" w:rsidRDefault="00B52C6E" w:rsidP="0025685D">
            <w:pPr>
              <w:spacing w:line="520" w:lineRule="exact"/>
              <w:ind w:firstLineChars="200" w:firstLine="482"/>
              <w:rPr>
                <w:rFonts w:ascii="宋体" w:hAnsi="宋体" w:cs="宋体"/>
                <w:kern w:val="0"/>
                <w:sz w:val="24"/>
              </w:rPr>
            </w:pPr>
            <w:r w:rsidRPr="0025685D">
              <w:rPr>
                <w:rFonts w:ascii="宋体" w:hAnsi="宋体" w:cs="宋体" w:hint="eastAsia"/>
                <w:b/>
                <w:kern w:val="0"/>
                <w:sz w:val="24"/>
              </w:rPr>
              <w:t>答：</w:t>
            </w:r>
            <w:r w:rsidR="00BC39A3" w:rsidRPr="00BC39A3">
              <w:rPr>
                <w:rFonts w:ascii="宋体" w:hAnsi="宋体" w:cs="宋体" w:hint="eastAsia"/>
                <w:kern w:val="0"/>
                <w:sz w:val="24"/>
              </w:rPr>
              <w:t>生物医药科技园项目是公司的江东生产基地扩产项目。该项目位于杭州</w:t>
            </w:r>
            <w:proofErr w:type="gramStart"/>
            <w:r w:rsidR="00BC39A3" w:rsidRPr="00BC39A3">
              <w:rPr>
                <w:rFonts w:ascii="宋体" w:hAnsi="宋体" w:cs="宋体" w:hint="eastAsia"/>
                <w:kern w:val="0"/>
                <w:sz w:val="24"/>
              </w:rPr>
              <w:t>钱塘新区</w:t>
            </w:r>
            <w:proofErr w:type="gramEnd"/>
            <w:r w:rsidR="00BC39A3">
              <w:rPr>
                <w:rFonts w:ascii="宋体" w:hAnsi="宋体" w:cs="宋体" w:hint="eastAsia"/>
                <w:kern w:val="0"/>
                <w:sz w:val="24"/>
              </w:rPr>
              <w:t>前进工业园，分二期建设：</w:t>
            </w:r>
            <w:r w:rsidR="00BC39A3" w:rsidRPr="00BC39A3">
              <w:rPr>
                <w:rFonts w:ascii="宋体" w:hAnsi="宋体" w:cs="宋体" w:hint="eastAsia"/>
                <w:kern w:val="0"/>
                <w:sz w:val="24"/>
              </w:rPr>
              <w:t>一期投资项目占地面积96.7亩，主要用于发酵冬虫夏草菌粉的扩产，项目实际总投资额约为8亿元，已于2016年6月份全面建成、通过GMP</w:t>
            </w:r>
            <w:r w:rsidR="00BC39A3">
              <w:rPr>
                <w:rFonts w:ascii="宋体" w:hAnsi="宋体" w:cs="宋体" w:hint="eastAsia"/>
                <w:kern w:val="0"/>
                <w:sz w:val="24"/>
              </w:rPr>
              <w:t>认证并按期投产；</w:t>
            </w:r>
            <w:r w:rsidR="00BC39A3" w:rsidRPr="00BC39A3">
              <w:rPr>
                <w:rFonts w:ascii="宋体" w:hAnsi="宋体" w:cs="宋体" w:hint="eastAsia"/>
                <w:kern w:val="0"/>
                <w:sz w:val="24"/>
              </w:rPr>
              <w:t>二期占地面积223亩，计划总投资额为22.5亿元，</w:t>
            </w:r>
            <w:r w:rsidR="00FD7112">
              <w:rPr>
                <w:rFonts w:ascii="宋体" w:hAnsi="宋体" w:cs="宋体" w:hint="eastAsia"/>
                <w:kern w:val="0"/>
                <w:sz w:val="24"/>
              </w:rPr>
              <w:t>拟</w:t>
            </w:r>
            <w:r w:rsidR="00FD7112" w:rsidRPr="00FD7112">
              <w:rPr>
                <w:rFonts w:ascii="宋体" w:hAnsi="宋体" w:cs="宋体" w:hint="eastAsia"/>
                <w:kern w:val="0"/>
                <w:sz w:val="24"/>
              </w:rPr>
              <w:t>建设阿</w:t>
            </w:r>
            <w:proofErr w:type="gramStart"/>
            <w:r w:rsidR="00FD7112" w:rsidRPr="00FD7112">
              <w:rPr>
                <w:rFonts w:ascii="宋体" w:hAnsi="宋体" w:cs="宋体" w:hint="eastAsia"/>
                <w:kern w:val="0"/>
                <w:sz w:val="24"/>
              </w:rPr>
              <w:t>卡波糖原料药</w:t>
            </w:r>
            <w:proofErr w:type="gramEnd"/>
            <w:r w:rsidR="00FD7112" w:rsidRPr="00FD7112">
              <w:rPr>
                <w:rFonts w:ascii="宋体" w:hAnsi="宋体" w:cs="宋体" w:hint="eastAsia"/>
                <w:kern w:val="0"/>
                <w:sz w:val="24"/>
              </w:rPr>
              <w:t>及制剂、糖尿病</w:t>
            </w:r>
            <w:r w:rsidR="001A2CBC">
              <w:rPr>
                <w:rFonts w:ascii="宋体" w:hAnsi="宋体" w:cs="宋体" w:hint="eastAsia"/>
                <w:kern w:val="0"/>
                <w:sz w:val="24"/>
              </w:rPr>
              <w:t>大分子</w:t>
            </w:r>
            <w:r w:rsidR="00FD7112" w:rsidRPr="00FD7112">
              <w:rPr>
                <w:rFonts w:ascii="宋体" w:hAnsi="宋体" w:cs="宋体" w:hint="eastAsia"/>
                <w:kern w:val="0"/>
                <w:sz w:val="24"/>
              </w:rPr>
              <w:t>药物、超级抗生素、制剂产品、</w:t>
            </w:r>
            <w:r w:rsidR="001A2CBC">
              <w:rPr>
                <w:rFonts w:ascii="宋体" w:hAnsi="宋体" w:cs="宋体" w:hint="eastAsia"/>
                <w:kern w:val="0"/>
                <w:sz w:val="24"/>
              </w:rPr>
              <w:t>出口制剂</w:t>
            </w:r>
            <w:r w:rsidR="00FD7112" w:rsidRPr="00FD7112">
              <w:rPr>
                <w:rFonts w:ascii="宋体" w:hAnsi="宋体" w:cs="宋体" w:hint="eastAsia"/>
                <w:kern w:val="0"/>
                <w:sz w:val="24"/>
              </w:rPr>
              <w:t>等</w:t>
            </w:r>
            <w:r w:rsidR="001A2CBC">
              <w:rPr>
                <w:rFonts w:ascii="宋体" w:hAnsi="宋体" w:cs="宋体" w:hint="eastAsia"/>
                <w:kern w:val="0"/>
                <w:sz w:val="24"/>
              </w:rPr>
              <w:t>的</w:t>
            </w:r>
            <w:r w:rsidR="00FD7112" w:rsidRPr="00FD7112">
              <w:rPr>
                <w:rFonts w:ascii="宋体" w:hAnsi="宋体" w:cs="宋体" w:hint="eastAsia"/>
                <w:kern w:val="0"/>
                <w:sz w:val="24"/>
              </w:rPr>
              <w:t>生产基地及中试研发平台</w:t>
            </w:r>
            <w:r w:rsidR="00BC39A3" w:rsidRPr="00BC39A3">
              <w:rPr>
                <w:rFonts w:ascii="宋体" w:hAnsi="宋体" w:cs="宋体" w:hint="eastAsia"/>
                <w:kern w:val="0"/>
                <w:sz w:val="24"/>
              </w:rPr>
              <w:t>从2017年7月开工建设，目前已基本建成，在完成相关验证后将于2021年陆续投产。</w:t>
            </w:r>
          </w:p>
          <w:p w14:paraId="7FDE24BC" w14:textId="77777777" w:rsidR="00BC39A3" w:rsidRPr="00FD7112" w:rsidRDefault="00BC39A3" w:rsidP="0025685D">
            <w:pPr>
              <w:spacing w:line="520" w:lineRule="exact"/>
              <w:ind w:firstLineChars="200" w:firstLine="480"/>
              <w:rPr>
                <w:rFonts w:ascii="宋体" w:hAnsi="宋体" w:cs="宋体"/>
                <w:kern w:val="0"/>
                <w:sz w:val="24"/>
              </w:rPr>
            </w:pPr>
          </w:p>
          <w:p w14:paraId="08344081" w14:textId="77777777" w:rsidR="00851287" w:rsidRPr="0025685D" w:rsidRDefault="00851287" w:rsidP="0025685D">
            <w:pPr>
              <w:spacing w:line="520" w:lineRule="exact"/>
              <w:ind w:firstLineChars="200" w:firstLine="482"/>
              <w:rPr>
                <w:rFonts w:ascii="宋体" w:hAnsi="宋体" w:cs="宋体"/>
                <w:b/>
                <w:kern w:val="0"/>
                <w:sz w:val="24"/>
              </w:rPr>
            </w:pPr>
            <w:r w:rsidRPr="0025685D">
              <w:rPr>
                <w:rFonts w:ascii="宋体" w:hAnsi="宋体" w:cs="宋体"/>
                <w:b/>
                <w:kern w:val="0"/>
                <w:sz w:val="24"/>
              </w:rPr>
              <w:lastRenderedPageBreak/>
              <w:t>提问</w:t>
            </w:r>
            <w:r w:rsidR="00A62858" w:rsidRPr="0025685D">
              <w:rPr>
                <w:rFonts w:ascii="宋体" w:hAnsi="宋体" w:cs="宋体" w:hint="eastAsia"/>
                <w:b/>
                <w:kern w:val="0"/>
                <w:sz w:val="24"/>
              </w:rPr>
              <w:t>7</w:t>
            </w:r>
            <w:r w:rsidRPr="0025685D">
              <w:rPr>
                <w:rFonts w:ascii="宋体" w:hAnsi="宋体" w:cs="宋体"/>
                <w:b/>
                <w:kern w:val="0"/>
                <w:sz w:val="24"/>
              </w:rPr>
              <w:t>：</w:t>
            </w:r>
            <w:r w:rsidRPr="0025685D">
              <w:rPr>
                <w:rFonts w:ascii="宋体" w:hAnsi="宋体" w:cs="宋体" w:hint="eastAsia"/>
                <w:b/>
                <w:kern w:val="0"/>
                <w:sz w:val="24"/>
              </w:rPr>
              <w:t>公司现有创新项目</w:t>
            </w:r>
            <w:r w:rsidR="00533905" w:rsidRPr="0025685D">
              <w:rPr>
                <w:rFonts w:ascii="宋体" w:hAnsi="宋体" w:cs="宋体" w:hint="eastAsia"/>
                <w:b/>
                <w:kern w:val="0"/>
                <w:sz w:val="24"/>
              </w:rPr>
              <w:t>研发进展</w:t>
            </w:r>
            <w:r w:rsidRPr="0025685D">
              <w:rPr>
                <w:rFonts w:ascii="宋体" w:hAnsi="宋体" w:cs="宋体" w:hint="eastAsia"/>
                <w:b/>
                <w:kern w:val="0"/>
                <w:sz w:val="24"/>
              </w:rPr>
              <w:t>情况如何</w:t>
            </w:r>
            <w:r w:rsidRPr="0025685D">
              <w:rPr>
                <w:rFonts w:ascii="宋体" w:hAnsi="宋体" w:cs="宋体"/>
                <w:b/>
                <w:kern w:val="0"/>
                <w:sz w:val="24"/>
              </w:rPr>
              <w:t>？</w:t>
            </w:r>
          </w:p>
          <w:p w14:paraId="579B403F" w14:textId="77777777" w:rsidR="00851287" w:rsidRDefault="00851287" w:rsidP="0025685D">
            <w:pPr>
              <w:spacing w:line="520" w:lineRule="exact"/>
              <w:ind w:firstLineChars="200" w:firstLine="482"/>
              <w:rPr>
                <w:rFonts w:ascii="宋体" w:hAnsi="宋体" w:cs="宋体"/>
                <w:kern w:val="0"/>
                <w:sz w:val="24"/>
              </w:rPr>
            </w:pPr>
            <w:r w:rsidRPr="0025685D">
              <w:rPr>
                <w:rFonts w:ascii="宋体" w:hAnsi="宋体" w:cs="宋体"/>
                <w:b/>
                <w:kern w:val="0"/>
                <w:sz w:val="24"/>
              </w:rPr>
              <w:t>答：</w:t>
            </w:r>
            <w:r>
              <w:rPr>
                <w:rFonts w:ascii="宋体" w:hAnsi="宋体" w:cs="宋体" w:hint="eastAsia"/>
                <w:kern w:val="0"/>
                <w:sz w:val="24"/>
              </w:rPr>
              <w:t>公司正重点布局抗肿瘤、内分泌以及自身免疫三大核心领域</w:t>
            </w:r>
            <w:r w:rsidR="008B5BE5">
              <w:rPr>
                <w:rFonts w:ascii="宋体" w:hAnsi="宋体" w:cs="宋体" w:hint="eastAsia"/>
                <w:kern w:val="0"/>
                <w:sz w:val="24"/>
              </w:rPr>
              <w:t>，聚焦具有较大临床价值和市场潜力的创新品种。公司自主立项</w:t>
            </w:r>
            <w:r w:rsidR="00FE4229">
              <w:rPr>
                <w:rFonts w:ascii="宋体" w:hAnsi="宋体" w:cs="宋体" w:hint="eastAsia"/>
                <w:kern w:val="0"/>
                <w:sz w:val="24"/>
              </w:rPr>
              <w:t>了相关研发品种</w:t>
            </w:r>
            <w:r w:rsidR="008B5BE5">
              <w:rPr>
                <w:rFonts w:ascii="宋体" w:hAnsi="宋体" w:cs="宋体" w:hint="eastAsia"/>
                <w:kern w:val="0"/>
                <w:sz w:val="24"/>
              </w:rPr>
              <w:t>，同时，通过外部引进、合作，今年也有创新项目</w:t>
            </w:r>
            <w:r w:rsidR="00AC2E04">
              <w:rPr>
                <w:rFonts w:ascii="宋体" w:hAnsi="宋体" w:cs="宋体" w:hint="eastAsia"/>
                <w:kern w:val="0"/>
                <w:sz w:val="24"/>
              </w:rPr>
              <w:t>陆续</w:t>
            </w:r>
            <w:r w:rsidR="008B5BE5">
              <w:rPr>
                <w:rFonts w:ascii="宋体" w:hAnsi="宋体" w:cs="宋体" w:hint="eastAsia"/>
                <w:kern w:val="0"/>
                <w:sz w:val="24"/>
              </w:rPr>
              <w:t>落地。公司现有</w:t>
            </w:r>
            <w:r w:rsidR="0045236D">
              <w:rPr>
                <w:rFonts w:ascii="宋体" w:hAnsi="宋体" w:cs="宋体" w:hint="eastAsia"/>
                <w:kern w:val="0"/>
                <w:sz w:val="24"/>
              </w:rPr>
              <w:t>主要</w:t>
            </w:r>
            <w:r w:rsidR="008B5BE5">
              <w:rPr>
                <w:rFonts w:ascii="宋体" w:hAnsi="宋体" w:cs="宋体" w:hint="eastAsia"/>
                <w:kern w:val="0"/>
                <w:sz w:val="24"/>
              </w:rPr>
              <w:t>创新产品/项目</w:t>
            </w:r>
            <w:r w:rsidR="00AC2E04">
              <w:rPr>
                <w:rFonts w:ascii="宋体" w:hAnsi="宋体" w:cs="宋体" w:hint="eastAsia"/>
                <w:kern w:val="0"/>
                <w:sz w:val="24"/>
              </w:rPr>
              <w:t>研发</w:t>
            </w:r>
            <w:r w:rsidR="002A2F17">
              <w:rPr>
                <w:rFonts w:ascii="宋体" w:hAnsi="宋体" w:cs="宋体" w:hint="eastAsia"/>
                <w:kern w:val="0"/>
                <w:sz w:val="24"/>
              </w:rPr>
              <w:t>、上市</w:t>
            </w:r>
            <w:r w:rsidR="0045236D">
              <w:rPr>
                <w:rFonts w:ascii="宋体" w:hAnsi="宋体" w:cs="宋体" w:hint="eastAsia"/>
                <w:kern w:val="0"/>
                <w:sz w:val="24"/>
              </w:rPr>
              <w:t>进展</w:t>
            </w:r>
            <w:r w:rsidR="00AC2E04">
              <w:rPr>
                <w:rFonts w:ascii="宋体" w:hAnsi="宋体" w:cs="宋体" w:hint="eastAsia"/>
                <w:kern w:val="0"/>
                <w:sz w:val="24"/>
              </w:rPr>
              <w:t>情况如下</w:t>
            </w:r>
            <w:r w:rsidR="008B5BE5">
              <w:rPr>
                <w:rFonts w:ascii="宋体" w:hAnsi="宋体" w:cs="宋体" w:hint="eastAsia"/>
                <w:kern w:val="0"/>
                <w:sz w:val="24"/>
              </w:rPr>
              <w:t>：</w:t>
            </w:r>
          </w:p>
          <w:p w14:paraId="79FC913E" w14:textId="77777777" w:rsidR="00AA12AC" w:rsidRPr="00590C04" w:rsidRDefault="008B5BE5" w:rsidP="0025685D">
            <w:pPr>
              <w:spacing w:line="520" w:lineRule="exact"/>
              <w:ind w:firstLineChars="200" w:firstLine="482"/>
              <w:rPr>
                <w:rFonts w:ascii="宋体" w:hAnsi="宋体" w:cs="宋体"/>
                <w:b/>
                <w:kern w:val="0"/>
                <w:sz w:val="24"/>
              </w:rPr>
            </w:pPr>
            <w:r w:rsidRPr="00590C04">
              <w:rPr>
                <w:rFonts w:ascii="宋体" w:hAnsi="宋体" w:cs="宋体"/>
                <w:b/>
                <w:kern w:val="0"/>
                <w:sz w:val="24"/>
              </w:rPr>
              <w:t>1</w:t>
            </w:r>
            <w:r w:rsidR="00AA12AC" w:rsidRPr="00590C04">
              <w:rPr>
                <w:rFonts w:ascii="宋体" w:hAnsi="宋体" w:cs="宋体" w:hint="eastAsia"/>
                <w:b/>
                <w:kern w:val="0"/>
                <w:sz w:val="24"/>
              </w:rPr>
              <w:t>、抗肿瘤领域：</w:t>
            </w:r>
          </w:p>
          <w:p w14:paraId="695CE7FD" w14:textId="77777777" w:rsidR="008B5BE5" w:rsidRDefault="00AA12AC" w:rsidP="0025685D">
            <w:pPr>
              <w:spacing w:line="520" w:lineRule="exact"/>
              <w:ind w:firstLineChars="200" w:firstLine="480"/>
              <w:rPr>
                <w:rFonts w:ascii="宋体" w:hAnsi="宋体" w:cs="宋体"/>
                <w:kern w:val="0"/>
                <w:sz w:val="24"/>
              </w:rPr>
            </w:pPr>
            <w:r>
              <w:rPr>
                <w:rFonts w:ascii="宋体" w:hAnsi="宋体" w:cs="宋体" w:hint="eastAsia"/>
                <w:kern w:val="0"/>
                <w:sz w:val="24"/>
              </w:rPr>
              <w:t>（1）</w:t>
            </w:r>
            <w:proofErr w:type="gramStart"/>
            <w:r w:rsidR="008B5BE5">
              <w:rPr>
                <w:rFonts w:ascii="宋体" w:hAnsi="宋体" w:cs="宋体" w:hint="eastAsia"/>
                <w:kern w:val="0"/>
                <w:sz w:val="24"/>
              </w:rPr>
              <w:t>迈华替</w:t>
            </w:r>
            <w:proofErr w:type="gramEnd"/>
            <w:r w:rsidR="008B5BE5">
              <w:rPr>
                <w:rFonts w:ascii="宋体" w:hAnsi="宋体" w:cs="宋体" w:hint="eastAsia"/>
                <w:kern w:val="0"/>
                <w:sz w:val="24"/>
              </w:rPr>
              <w:t>尼：</w:t>
            </w:r>
            <w:r w:rsidR="00D54302" w:rsidRPr="00D54302">
              <w:rPr>
                <w:rFonts w:ascii="宋体" w:hAnsi="宋体" w:cs="宋体" w:hint="eastAsia"/>
                <w:kern w:val="0"/>
                <w:sz w:val="24"/>
              </w:rPr>
              <w:t>治疗晚期非小细胞肺癌的</w:t>
            </w:r>
            <w:proofErr w:type="gramStart"/>
            <w:r w:rsidR="00D54302" w:rsidRPr="00D54302">
              <w:rPr>
                <w:rFonts w:ascii="宋体" w:hAnsi="宋体" w:cs="宋体" w:hint="eastAsia"/>
                <w:kern w:val="0"/>
                <w:sz w:val="24"/>
              </w:rPr>
              <w:t>迈华替尼</w:t>
            </w:r>
            <w:proofErr w:type="gramEnd"/>
            <w:r w:rsidR="00D54302" w:rsidRPr="00D54302">
              <w:rPr>
                <w:rFonts w:ascii="宋体" w:hAnsi="宋体" w:cs="宋体" w:hint="eastAsia"/>
                <w:kern w:val="0"/>
                <w:sz w:val="24"/>
              </w:rPr>
              <w:t>正在进行III期临床试验；用于</w:t>
            </w:r>
            <w:proofErr w:type="gramStart"/>
            <w:r w:rsidR="00D54302" w:rsidRPr="00D54302">
              <w:rPr>
                <w:rFonts w:ascii="宋体" w:hAnsi="宋体" w:cs="宋体" w:hint="eastAsia"/>
                <w:kern w:val="0"/>
                <w:sz w:val="24"/>
              </w:rPr>
              <w:t>一</w:t>
            </w:r>
            <w:proofErr w:type="gramEnd"/>
            <w:r w:rsidR="00D54302" w:rsidRPr="00D54302">
              <w:rPr>
                <w:rFonts w:ascii="宋体" w:hAnsi="宋体" w:cs="宋体" w:hint="eastAsia"/>
                <w:kern w:val="0"/>
                <w:sz w:val="24"/>
              </w:rPr>
              <w:t>/</w:t>
            </w:r>
            <w:proofErr w:type="gramStart"/>
            <w:r w:rsidR="00D54302" w:rsidRPr="00D54302">
              <w:rPr>
                <w:rFonts w:ascii="宋体" w:hAnsi="宋体" w:cs="宋体" w:hint="eastAsia"/>
                <w:kern w:val="0"/>
                <w:sz w:val="24"/>
              </w:rPr>
              <w:t>二线罕见</w:t>
            </w:r>
            <w:proofErr w:type="gramEnd"/>
            <w:r w:rsidR="00D54302" w:rsidRPr="00D54302">
              <w:rPr>
                <w:rFonts w:ascii="宋体" w:hAnsi="宋体" w:cs="宋体" w:hint="eastAsia"/>
                <w:kern w:val="0"/>
                <w:sz w:val="24"/>
              </w:rPr>
              <w:t>基因突变的II期单臂临床试验，在获得第一阶段良好疗效的基础上完成与CDE沟通，根据CDE沟通结果要求，在罕见突变II期临床中使用低剂量进行第二阶段试验，争取以罕见突变II期临床结果直接申报上市。</w:t>
            </w:r>
          </w:p>
          <w:p w14:paraId="2C3CC77A" w14:textId="5393D1FC" w:rsidR="00AA12AC" w:rsidRPr="00AA12AC" w:rsidRDefault="00AA12AC" w:rsidP="0025685D">
            <w:pPr>
              <w:spacing w:line="520" w:lineRule="exact"/>
              <w:ind w:firstLineChars="200" w:firstLine="480"/>
              <w:rPr>
                <w:rFonts w:ascii="宋体" w:hAnsi="宋体" w:cs="宋体"/>
                <w:kern w:val="0"/>
                <w:sz w:val="24"/>
              </w:rPr>
            </w:pPr>
            <w:r w:rsidRPr="00AA12AC">
              <w:rPr>
                <w:rFonts w:ascii="宋体" w:hAnsi="宋体" w:cs="宋体" w:hint="eastAsia"/>
                <w:kern w:val="0"/>
                <w:sz w:val="24"/>
              </w:rPr>
              <w:t>（</w:t>
            </w:r>
            <w:r>
              <w:rPr>
                <w:rFonts w:ascii="宋体" w:hAnsi="宋体" w:cs="宋体" w:hint="eastAsia"/>
                <w:kern w:val="0"/>
                <w:sz w:val="24"/>
              </w:rPr>
              <w:t>2</w:t>
            </w:r>
            <w:r w:rsidRPr="00AA12AC">
              <w:rPr>
                <w:rFonts w:ascii="宋体" w:hAnsi="宋体" w:cs="宋体" w:hint="eastAsia"/>
                <w:kern w:val="0"/>
                <w:sz w:val="24"/>
              </w:rPr>
              <w:t>）</w:t>
            </w:r>
            <w:proofErr w:type="spellStart"/>
            <w:r w:rsidRPr="00AA12AC">
              <w:rPr>
                <w:rFonts w:ascii="宋体" w:hAnsi="宋体" w:cs="宋体" w:hint="eastAsia"/>
                <w:kern w:val="0"/>
                <w:sz w:val="24"/>
              </w:rPr>
              <w:t>Mirvetuximab</w:t>
            </w:r>
            <w:proofErr w:type="spellEnd"/>
            <w:r w:rsidRPr="00AA12AC">
              <w:rPr>
                <w:rFonts w:ascii="宋体" w:hAnsi="宋体" w:cs="宋体" w:hint="eastAsia"/>
                <w:kern w:val="0"/>
                <w:sz w:val="24"/>
              </w:rPr>
              <w:t xml:space="preserve"> </w:t>
            </w:r>
            <w:proofErr w:type="spellStart"/>
            <w:r w:rsidRPr="00AA12AC">
              <w:rPr>
                <w:rFonts w:ascii="宋体" w:hAnsi="宋体" w:cs="宋体" w:hint="eastAsia"/>
                <w:kern w:val="0"/>
                <w:sz w:val="24"/>
              </w:rPr>
              <w:t>Soravtansine</w:t>
            </w:r>
            <w:proofErr w:type="spellEnd"/>
            <w:r w:rsidRPr="00AA12AC">
              <w:rPr>
                <w:rFonts w:ascii="宋体" w:hAnsi="宋体" w:cs="宋体" w:hint="eastAsia"/>
                <w:kern w:val="0"/>
                <w:sz w:val="24"/>
              </w:rPr>
              <w:t xml:space="preserve"> （简称“MIRV”）：今年10月公司与全球知名的抗体偶联药物（ADC）研发公司之一美国</w:t>
            </w:r>
            <w:proofErr w:type="spellStart"/>
            <w:r w:rsidRPr="00AA12AC">
              <w:rPr>
                <w:rFonts w:ascii="宋体" w:hAnsi="宋体" w:cs="宋体" w:hint="eastAsia"/>
                <w:kern w:val="0"/>
                <w:sz w:val="24"/>
              </w:rPr>
              <w:t>ImmunoGen</w:t>
            </w:r>
            <w:proofErr w:type="spellEnd"/>
            <w:r w:rsidRPr="00AA12AC">
              <w:rPr>
                <w:rFonts w:ascii="宋体" w:hAnsi="宋体" w:cs="宋体" w:hint="eastAsia"/>
                <w:kern w:val="0"/>
                <w:sz w:val="24"/>
              </w:rPr>
              <w:t>公司合作，获得其美国临床三期在</w:t>
            </w:r>
            <w:proofErr w:type="gramStart"/>
            <w:r w:rsidRPr="00AA12AC">
              <w:rPr>
                <w:rFonts w:ascii="宋体" w:hAnsi="宋体" w:cs="宋体" w:hint="eastAsia"/>
                <w:kern w:val="0"/>
                <w:sz w:val="24"/>
              </w:rPr>
              <w:t>研</w:t>
            </w:r>
            <w:proofErr w:type="gramEnd"/>
            <w:r w:rsidRPr="00AA12AC">
              <w:rPr>
                <w:rFonts w:ascii="宋体" w:hAnsi="宋体" w:cs="宋体" w:hint="eastAsia"/>
                <w:kern w:val="0"/>
                <w:sz w:val="24"/>
              </w:rPr>
              <w:t>产品</w:t>
            </w:r>
            <w:proofErr w:type="spellStart"/>
            <w:r w:rsidRPr="00AA12AC">
              <w:rPr>
                <w:rFonts w:ascii="宋体" w:hAnsi="宋体" w:cs="宋体" w:hint="eastAsia"/>
                <w:kern w:val="0"/>
                <w:sz w:val="24"/>
              </w:rPr>
              <w:t>Mirvetuximab</w:t>
            </w:r>
            <w:proofErr w:type="spellEnd"/>
            <w:r w:rsidRPr="00AA12AC">
              <w:rPr>
                <w:rFonts w:ascii="宋体" w:hAnsi="宋体" w:cs="宋体" w:hint="eastAsia"/>
                <w:kern w:val="0"/>
                <w:sz w:val="24"/>
              </w:rPr>
              <w:t xml:space="preserve"> </w:t>
            </w:r>
            <w:proofErr w:type="spellStart"/>
            <w:r w:rsidRPr="00AA12AC">
              <w:rPr>
                <w:rFonts w:ascii="宋体" w:hAnsi="宋体" w:cs="宋体" w:hint="eastAsia"/>
                <w:kern w:val="0"/>
                <w:sz w:val="24"/>
              </w:rPr>
              <w:t>Soravtansine</w:t>
            </w:r>
            <w:proofErr w:type="spellEnd"/>
            <w:r w:rsidRPr="00AA12AC">
              <w:rPr>
                <w:rFonts w:ascii="宋体" w:hAnsi="宋体" w:cs="宋体" w:hint="eastAsia"/>
                <w:kern w:val="0"/>
                <w:sz w:val="24"/>
              </w:rPr>
              <w:t>（新型抗体偶联药物ADC，用于治疗卵巢癌）在中国大陆，香港、澳门和台湾地区的独家临床开发及商业化权益。MIRV正在进行美国III期临床试验，</w:t>
            </w:r>
            <w:proofErr w:type="spellStart"/>
            <w:r w:rsidR="00551852" w:rsidRPr="00551852">
              <w:rPr>
                <w:rFonts w:ascii="宋体" w:hAnsi="宋体" w:cs="宋体" w:hint="eastAsia"/>
                <w:kern w:val="0"/>
                <w:sz w:val="24"/>
              </w:rPr>
              <w:t>ImmunoGen</w:t>
            </w:r>
            <w:proofErr w:type="spellEnd"/>
            <w:r w:rsidR="00551852" w:rsidRPr="00551852">
              <w:rPr>
                <w:rFonts w:ascii="宋体" w:hAnsi="宋体" w:cs="宋体" w:hint="eastAsia"/>
                <w:kern w:val="0"/>
                <w:sz w:val="24"/>
              </w:rPr>
              <w:t>预计将于2021年底在美国递交上市申请，2022年有望在美国获批上市，</w:t>
            </w:r>
            <w:r w:rsidR="00551852">
              <w:rPr>
                <w:rFonts w:ascii="宋体" w:hAnsi="宋体" w:cs="宋体" w:hint="eastAsia"/>
                <w:kern w:val="0"/>
                <w:sz w:val="24"/>
              </w:rPr>
              <w:t>本</w:t>
            </w:r>
            <w:r w:rsidR="00551852" w:rsidRPr="00551852">
              <w:rPr>
                <w:rFonts w:ascii="宋体" w:hAnsi="宋体" w:cs="宋体" w:hint="eastAsia"/>
                <w:kern w:val="0"/>
                <w:sz w:val="24"/>
              </w:rPr>
              <w:t>公司计划于2021年上半年启动MIRV中国区临床注册申请。</w:t>
            </w:r>
          </w:p>
          <w:p w14:paraId="32BD62BF" w14:textId="77777777" w:rsidR="00AA12AC" w:rsidRPr="00590C04" w:rsidRDefault="00AA12AC" w:rsidP="0025685D">
            <w:pPr>
              <w:spacing w:line="520" w:lineRule="exact"/>
              <w:ind w:firstLineChars="200" w:firstLine="482"/>
              <w:rPr>
                <w:rFonts w:ascii="宋体" w:hAnsi="宋体" w:cs="宋体"/>
                <w:b/>
                <w:kern w:val="0"/>
                <w:sz w:val="24"/>
              </w:rPr>
            </w:pPr>
            <w:r w:rsidRPr="00590C04">
              <w:rPr>
                <w:rFonts w:ascii="宋体" w:hAnsi="宋体" w:cs="宋体"/>
                <w:b/>
                <w:kern w:val="0"/>
                <w:sz w:val="24"/>
              </w:rPr>
              <w:t>2、内分泌领域：</w:t>
            </w:r>
          </w:p>
          <w:p w14:paraId="2682018B" w14:textId="77777777" w:rsidR="00AA12AC" w:rsidRDefault="00AA12AC" w:rsidP="0025685D">
            <w:pPr>
              <w:spacing w:line="520" w:lineRule="exact"/>
              <w:ind w:firstLineChars="200" w:firstLine="480"/>
              <w:rPr>
                <w:rFonts w:ascii="宋体" w:hAnsi="宋体" w:cs="宋体"/>
                <w:kern w:val="0"/>
                <w:sz w:val="24"/>
              </w:rPr>
            </w:pPr>
            <w:r w:rsidRPr="00AA12AC">
              <w:rPr>
                <w:rFonts w:ascii="宋体" w:hAnsi="宋体" w:cs="宋体" w:hint="eastAsia"/>
                <w:kern w:val="0"/>
                <w:sz w:val="24"/>
              </w:rPr>
              <w:t>（</w:t>
            </w:r>
            <w:r>
              <w:rPr>
                <w:rFonts w:ascii="宋体" w:hAnsi="宋体" w:cs="宋体" w:hint="eastAsia"/>
                <w:kern w:val="0"/>
                <w:sz w:val="24"/>
              </w:rPr>
              <w:t>1</w:t>
            </w:r>
            <w:r w:rsidRPr="00AA12AC">
              <w:rPr>
                <w:rFonts w:ascii="宋体" w:hAnsi="宋体" w:cs="宋体" w:hint="eastAsia"/>
                <w:kern w:val="0"/>
                <w:sz w:val="24"/>
              </w:rPr>
              <w:t>）TTP273：</w:t>
            </w:r>
            <w:r w:rsidR="005758F4" w:rsidRPr="005758F4">
              <w:rPr>
                <w:rFonts w:ascii="宋体" w:hAnsi="宋体" w:cs="宋体" w:hint="eastAsia"/>
                <w:kern w:val="0"/>
                <w:sz w:val="24"/>
              </w:rPr>
              <w:t>2017年公司从美国</w:t>
            </w:r>
            <w:proofErr w:type="spellStart"/>
            <w:r w:rsidR="005758F4" w:rsidRPr="005758F4">
              <w:rPr>
                <w:rFonts w:ascii="宋体" w:hAnsi="宋体" w:cs="宋体" w:hint="eastAsia"/>
                <w:kern w:val="0"/>
                <w:sz w:val="24"/>
              </w:rPr>
              <w:t>vTv</w:t>
            </w:r>
            <w:proofErr w:type="spellEnd"/>
            <w:r w:rsidR="005758F4" w:rsidRPr="005758F4">
              <w:rPr>
                <w:rFonts w:ascii="宋体" w:hAnsi="宋体" w:cs="宋体" w:hint="eastAsia"/>
                <w:kern w:val="0"/>
                <w:sz w:val="24"/>
              </w:rPr>
              <w:t>公司引进的口服GLP-1创新药TTP273已完成了新处方升级改进工作，2020年下半年开展II期</w:t>
            </w:r>
            <w:r w:rsidR="00AC2A2C">
              <w:rPr>
                <w:rFonts w:ascii="宋体" w:hAnsi="宋体" w:cs="宋体" w:hint="eastAsia"/>
                <w:kern w:val="0"/>
                <w:sz w:val="24"/>
              </w:rPr>
              <w:t>中国</w:t>
            </w:r>
            <w:r w:rsidR="005758F4" w:rsidRPr="005758F4">
              <w:rPr>
                <w:rFonts w:ascii="宋体" w:hAnsi="宋体" w:cs="宋体" w:hint="eastAsia"/>
                <w:kern w:val="0"/>
                <w:sz w:val="24"/>
              </w:rPr>
              <w:t>大陆、台湾多中心临床试验，以验证新处方的安全性及疗效。</w:t>
            </w:r>
          </w:p>
          <w:p w14:paraId="64820843" w14:textId="77777777" w:rsidR="00AA12AC" w:rsidRDefault="00AA12AC" w:rsidP="0025685D">
            <w:pPr>
              <w:spacing w:line="520" w:lineRule="exact"/>
              <w:ind w:firstLineChars="200" w:firstLine="480"/>
              <w:rPr>
                <w:rFonts w:ascii="宋体" w:hAnsi="宋体" w:cs="宋体"/>
                <w:kern w:val="0"/>
                <w:sz w:val="24"/>
              </w:rPr>
            </w:pPr>
            <w:r w:rsidRPr="00AA12AC">
              <w:rPr>
                <w:rFonts w:ascii="宋体" w:hAnsi="宋体" w:cs="宋体" w:hint="eastAsia"/>
                <w:kern w:val="0"/>
                <w:sz w:val="24"/>
              </w:rPr>
              <w:t>（</w:t>
            </w:r>
            <w:r>
              <w:rPr>
                <w:rFonts w:ascii="宋体" w:hAnsi="宋体" w:cs="宋体" w:hint="eastAsia"/>
                <w:kern w:val="0"/>
                <w:sz w:val="24"/>
              </w:rPr>
              <w:t>2</w:t>
            </w:r>
            <w:r w:rsidRPr="00AA12AC">
              <w:rPr>
                <w:rFonts w:ascii="宋体" w:hAnsi="宋体" w:cs="宋体" w:hint="eastAsia"/>
                <w:kern w:val="0"/>
                <w:sz w:val="24"/>
              </w:rPr>
              <w:t>）利拉鲁肽：公司利拉鲁</w:t>
            </w:r>
            <w:proofErr w:type="gramStart"/>
            <w:r w:rsidRPr="00AA12AC">
              <w:rPr>
                <w:rFonts w:ascii="宋体" w:hAnsi="宋体" w:cs="宋体" w:hint="eastAsia"/>
                <w:kern w:val="0"/>
                <w:sz w:val="24"/>
              </w:rPr>
              <w:t>肽</w:t>
            </w:r>
            <w:proofErr w:type="gramEnd"/>
            <w:r w:rsidRPr="00AA12AC">
              <w:rPr>
                <w:rFonts w:ascii="宋体" w:hAnsi="宋体" w:cs="宋体" w:hint="eastAsia"/>
                <w:kern w:val="0"/>
                <w:sz w:val="24"/>
              </w:rPr>
              <w:t>注射液糖尿病适应症以及减肥适应症</w:t>
            </w:r>
            <w:r w:rsidR="00AC2A2C">
              <w:rPr>
                <w:rFonts w:ascii="宋体" w:hAnsi="宋体" w:cs="宋体" w:hint="eastAsia"/>
                <w:kern w:val="0"/>
                <w:sz w:val="24"/>
              </w:rPr>
              <w:t>均进入Ⅲ期临床研究，糖尿病适应症已完成全部受试者入组，目</w:t>
            </w:r>
            <w:r w:rsidR="00AC2A2C">
              <w:rPr>
                <w:rFonts w:ascii="宋体" w:hAnsi="宋体" w:cs="宋体" w:hint="eastAsia"/>
                <w:kern w:val="0"/>
                <w:sz w:val="24"/>
              </w:rPr>
              <w:lastRenderedPageBreak/>
              <w:t>前公司</w:t>
            </w:r>
            <w:r w:rsidRPr="00AA12AC">
              <w:rPr>
                <w:rFonts w:ascii="宋体" w:hAnsi="宋体" w:cs="宋体" w:hint="eastAsia"/>
                <w:kern w:val="0"/>
                <w:sz w:val="24"/>
              </w:rPr>
              <w:t>利拉鲁</w:t>
            </w:r>
            <w:proofErr w:type="gramStart"/>
            <w:r w:rsidRPr="00AA12AC">
              <w:rPr>
                <w:rFonts w:ascii="宋体" w:hAnsi="宋体" w:cs="宋体" w:hint="eastAsia"/>
                <w:kern w:val="0"/>
                <w:sz w:val="24"/>
              </w:rPr>
              <w:t>肽</w:t>
            </w:r>
            <w:proofErr w:type="gramEnd"/>
            <w:r w:rsidRPr="00AA12AC">
              <w:rPr>
                <w:rFonts w:ascii="宋体" w:hAnsi="宋体" w:cs="宋体" w:hint="eastAsia"/>
                <w:kern w:val="0"/>
                <w:sz w:val="24"/>
              </w:rPr>
              <w:t>产品临床进度处于国内领先状态，预计明年有望完成全部临床工作并申报上市。</w:t>
            </w:r>
          </w:p>
          <w:p w14:paraId="6B83D937" w14:textId="065DCBB6" w:rsidR="00AA12AC" w:rsidRPr="00AA12AC" w:rsidRDefault="00AA12AC" w:rsidP="0025685D">
            <w:pPr>
              <w:spacing w:line="520" w:lineRule="exact"/>
              <w:ind w:firstLineChars="200" w:firstLine="480"/>
              <w:rPr>
                <w:rFonts w:ascii="宋体" w:hAnsi="宋体" w:cs="宋体"/>
                <w:kern w:val="0"/>
                <w:sz w:val="24"/>
              </w:rPr>
            </w:pPr>
            <w:r w:rsidRPr="00AA12AC">
              <w:rPr>
                <w:rFonts w:ascii="宋体" w:hAnsi="宋体" w:cs="宋体" w:hint="eastAsia"/>
                <w:kern w:val="0"/>
                <w:sz w:val="24"/>
              </w:rPr>
              <w:t>（</w:t>
            </w:r>
            <w:r>
              <w:rPr>
                <w:rFonts w:ascii="宋体" w:hAnsi="宋体" w:cs="宋体" w:hint="eastAsia"/>
                <w:kern w:val="0"/>
                <w:sz w:val="24"/>
              </w:rPr>
              <w:t>3</w:t>
            </w:r>
            <w:r w:rsidRPr="00AA12AC">
              <w:rPr>
                <w:rFonts w:ascii="宋体" w:hAnsi="宋体" w:cs="宋体" w:hint="eastAsia"/>
                <w:kern w:val="0"/>
                <w:sz w:val="24"/>
              </w:rPr>
              <w:t>）索马鲁肽：</w:t>
            </w:r>
            <w:r w:rsidR="00E82C9C" w:rsidRPr="00E82C9C">
              <w:rPr>
                <w:rFonts w:ascii="宋体" w:hAnsi="宋体" w:cs="宋体" w:hint="eastAsia"/>
                <w:kern w:val="0"/>
                <w:sz w:val="24"/>
              </w:rPr>
              <w:t>公司近两年通过两次增资持有其39.80%股份，成为其第二大股东，重庆派金成为了公司加强大分子药物研发领域的重要合作伙伴。</w:t>
            </w:r>
            <w:r w:rsidR="007144A9">
              <w:rPr>
                <w:rFonts w:ascii="宋体" w:hAnsi="宋体" w:cs="宋体" w:hint="eastAsia"/>
                <w:kern w:val="0"/>
                <w:sz w:val="24"/>
              </w:rPr>
              <w:t>今</w:t>
            </w:r>
            <w:r w:rsidR="0056178B">
              <w:rPr>
                <w:rFonts w:ascii="宋体" w:hAnsi="宋体" w:cs="宋体" w:hint="eastAsia"/>
                <w:kern w:val="0"/>
                <w:sz w:val="24"/>
              </w:rPr>
              <w:t>年10月</w:t>
            </w:r>
            <w:r w:rsidRPr="00AA12AC">
              <w:rPr>
                <w:rFonts w:ascii="宋体" w:hAnsi="宋体" w:cs="宋体" w:hint="eastAsia"/>
                <w:kern w:val="0"/>
                <w:sz w:val="24"/>
              </w:rPr>
              <w:t>公司</w:t>
            </w:r>
            <w:r w:rsidR="009C6912">
              <w:rPr>
                <w:rFonts w:ascii="宋体" w:hAnsi="宋体" w:cs="宋体" w:hint="eastAsia"/>
                <w:kern w:val="0"/>
                <w:sz w:val="24"/>
              </w:rPr>
              <w:t>与</w:t>
            </w:r>
            <w:r w:rsidRPr="00AA12AC">
              <w:rPr>
                <w:rFonts w:ascii="宋体" w:hAnsi="宋体" w:cs="宋体" w:hint="eastAsia"/>
                <w:kern w:val="0"/>
                <w:sz w:val="24"/>
              </w:rPr>
              <w:t>重庆派</w:t>
            </w:r>
            <w:proofErr w:type="gramStart"/>
            <w:r w:rsidRPr="00AA12AC">
              <w:rPr>
                <w:rFonts w:ascii="宋体" w:hAnsi="宋体" w:cs="宋体" w:hint="eastAsia"/>
                <w:kern w:val="0"/>
                <w:sz w:val="24"/>
              </w:rPr>
              <w:t>金</w:t>
            </w:r>
            <w:r w:rsidR="007144A9">
              <w:rPr>
                <w:rFonts w:ascii="宋体" w:hAnsi="宋体" w:cs="宋体" w:hint="eastAsia"/>
                <w:kern w:val="0"/>
                <w:sz w:val="24"/>
              </w:rPr>
              <w:t>签订</w:t>
            </w:r>
            <w:proofErr w:type="gramEnd"/>
            <w:r w:rsidR="007144A9">
              <w:rPr>
                <w:rFonts w:ascii="宋体" w:hAnsi="宋体" w:cs="宋体" w:hint="eastAsia"/>
                <w:kern w:val="0"/>
                <w:sz w:val="24"/>
              </w:rPr>
              <w:t>合作协议，</w:t>
            </w:r>
            <w:r w:rsidR="009C6912">
              <w:rPr>
                <w:rFonts w:ascii="宋体" w:hAnsi="宋体" w:cs="宋体" w:hint="eastAsia"/>
                <w:kern w:val="0"/>
                <w:sz w:val="24"/>
              </w:rPr>
              <w:t>双方对</w:t>
            </w:r>
            <w:r w:rsidR="009C6912" w:rsidRPr="009C6912">
              <w:rPr>
                <w:rFonts w:ascii="宋体" w:hAnsi="宋体" w:cs="宋体" w:hint="eastAsia"/>
                <w:kern w:val="0"/>
                <w:sz w:val="24"/>
              </w:rPr>
              <w:t>重庆派金在</w:t>
            </w:r>
            <w:proofErr w:type="gramStart"/>
            <w:r w:rsidR="009C6912" w:rsidRPr="009C6912">
              <w:rPr>
                <w:rFonts w:ascii="宋体" w:hAnsi="宋体" w:cs="宋体" w:hint="eastAsia"/>
                <w:kern w:val="0"/>
                <w:sz w:val="24"/>
              </w:rPr>
              <w:t>研</w:t>
            </w:r>
            <w:proofErr w:type="gramEnd"/>
            <w:r w:rsidR="009C6912" w:rsidRPr="009C6912">
              <w:rPr>
                <w:rFonts w:ascii="宋体" w:hAnsi="宋体" w:cs="宋体" w:hint="eastAsia"/>
                <w:kern w:val="0"/>
                <w:sz w:val="24"/>
              </w:rPr>
              <w:t>产品索马鲁</w:t>
            </w:r>
            <w:proofErr w:type="gramStart"/>
            <w:r w:rsidR="009C6912" w:rsidRPr="009C6912">
              <w:rPr>
                <w:rFonts w:ascii="宋体" w:hAnsi="宋体" w:cs="宋体" w:hint="eastAsia"/>
                <w:kern w:val="0"/>
                <w:sz w:val="24"/>
              </w:rPr>
              <w:t>肽</w:t>
            </w:r>
            <w:proofErr w:type="gramEnd"/>
            <w:r w:rsidR="009C6912" w:rsidRPr="009C6912">
              <w:rPr>
                <w:rFonts w:ascii="宋体" w:hAnsi="宋体" w:cs="宋体" w:hint="eastAsia"/>
                <w:kern w:val="0"/>
                <w:sz w:val="24"/>
              </w:rPr>
              <w:t>注射液【一种长效胰高血糖素样肽-1 （GLP-1）类似物，诺和诺德公司原研药</w:t>
            </w:r>
            <w:proofErr w:type="spellStart"/>
            <w:r w:rsidR="009C6912" w:rsidRPr="009C6912">
              <w:rPr>
                <w:rFonts w:ascii="宋体" w:hAnsi="宋体" w:cs="宋体" w:hint="eastAsia"/>
                <w:kern w:val="0"/>
                <w:sz w:val="24"/>
              </w:rPr>
              <w:t>Ozempic</w:t>
            </w:r>
            <w:proofErr w:type="spellEnd"/>
            <w:r w:rsidR="009C6912" w:rsidRPr="009C6912">
              <w:rPr>
                <w:rFonts w:ascii="宋体" w:hAnsi="宋体" w:cs="宋体" w:hint="eastAsia"/>
                <w:kern w:val="0"/>
                <w:sz w:val="24"/>
              </w:rPr>
              <w:t>®的生物类似药，用于治疗2型糖尿病】在全球范围内进行合作开发及商业化</w:t>
            </w:r>
            <w:r w:rsidR="009C6912">
              <w:rPr>
                <w:rFonts w:ascii="宋体" w:hAnsi="宋体" w:cs="宋体" w:hint="eastAsia"/>
                <w:kern w:val="0"/>
                <w:sz w:val="24"/>
              </w:rPr>
              <w:t>。</w:t>
            </w:r>
            <w:r w:rsidR="00A4563F" w:rsidRPr="00A4563F">
              <w:rPr>
                <w:rFonts w:ascii="宋体" w:hAnsi="宋体" w:cs="宋体" w:hint="eastAsia"/>
                <w:kern w:val="0"/>
                <w:sz w:val="24"/>
              </w:rPr>
              <w:t>该产品</w:t>
            </w:r>
            <w:r w:rsidR="00C95AFF" w:rsidRPr="00C95AFF">
              <w:rPr>
                <w:rFonts w:ascii="宋体" w:hAnsi="宋体" w:cs="宋体" w:hint="eastAsia"/>
                <w:kern w:val="0"/>
                <w:sz w:val="24"/>
              </w:rPr>
              <w:t>目前国内仅有原</w:t>
            </w:r>
            <w:proofErr w:type="gramStart"/>
            <w:r w:rsidR="00C95AFF" w:rsidRPr="00C95AFF">
              <w:rPr>
                <w:rFonts w:ascii="宋体" w:hAnsi="宋体" w:cs="宋体" w:hint="eastAsia"/>
                <w:kern w:val="0"/>
                <w:sz w:val="24"/>
              </w:rPr>
              <w:t>研</w:t>
            </w:r>
            <w:proofErr w:type="gramEnd"/>
            <w:r w:rsidR="00C95AFF" w:rsidRPr="00C95AFF">
              <w:rPr>
                <w:rFonts w:ascii="宋体" w:hAnsi="宋体" w:cs="宋体" w:hint="eastAsia"/>
                <w:kern w:val="0"/>
                <w:sz w:val="24"/>
              </w:rPr>
              <w:t>企业诺和</w:t>
            </w:r>
            <w:proofErr w:type="gramStart"/>
            <w:r w:rsidR="00C95AFF" w:rsidRPr="00C95AFF">
              <w:rPr>
                <w:rFonts w:ascii="宋体" w:hAnsi="宋体" w:cs="宋体" w:hint="eastAsia"/>
                <w:kern w:val="0"/>
                <w:sz w:val="24"/>
              </w:rPr>
              <w:t>诺德</w:t>
            </w:r>
            <w:proofErr w:type="gramEnd"/>
            <w:r w:rsidR="00C95AFF" w:rsidRPr="00C95AFF">
              <w:rPr>
                <w:rFonts w:ascii="宋体" w:hAnsi="宋体" w:cs="宋体" w:hint="eastAsia"/>
                <w:kern w:val="0"/>
                <w:sz w:val="24"/>
              </w:rPr>
              <w:t>在申报进口上市申请及开展相关临床试验，尚无其他企业申报临床。</w:t>
            </w:r>
            <w:r w:rsidR="00A4563F" w:rsidRPr="00A4563F">
              <w:rPr>
                <w:rFonts w:ascii="宋体" w:hAnsi="宋体" w:cs="宋体" w:hint="eastAsia"/>
                <w:kern w:val="0"/>
                <w:sz w:val="24"/>
              </w:rPr>
              <w:t>重庆派金</w:t>
            </w:r>
            <w:r w:rsidR="00A4563F">
              <w:rPr>
                <w:rFonts w:ascii="宋体" w:hAnsi="宋体" w:cs="宋体" w:hint="eastAsia"/>
                <w:kern w:val="0"/>
                <w:sz w:val="24"/>
              </w:rPr>
              <w:t>研发的</w:t>
            </w:r>
            <w:r w:rsidR="00A4563F" w:rsidRPr="00A4563F">
              <w:rPr>
                <w:rFonts w:ascii="宋体" w:hAnsi="宋体" w:cs="宋体" w:hint="eastAsia"/>
                <w:kern w:val="0"/>
                <w:sz w:val="24"/>
              </w:rPr>
              <w:t>索马鲁</w:t>
            </w:r>
            <w:proofErr w:type="gramStart"/>
            <w:r w:rsidR="00A4563F" w:rsidRPr="00A4563F">
              <w:rPr>
                <w:rFonts w:ascii="宋体" w:hAnsi="宋体" w:cs="宋体" w:hint="eastAsia"/>
                <w:kern w:val="0"/>
                <w:sz w:val="24"/>
              </w:rPr>
              <w:t>肽</w:t>
            </w:r>
            <w:proofErr w:type="gramEnd"/>
            <w:r w:rsidR="00A4563F">
              <w:rPr>
                <w:rFonts w:ascii="宋体" w:hAnsi="宋体" w:cs="宋体" w:hint="eastAsia"/>
                <w:kern w:val="0"/>
                <w:sz w:val="24"/>
              </w:rPr>
              <w:t>产品预计明年申报临床。</w:t>
            </w:r>
          </w:p>
          <w:p w14:paraId="3C30FBE1" w14:textId="77777777" w:rsidR="00AA12AC" w:rsidRPr="00590C04" w:rsidRDefault="00AA12AC" w:rsidP="0025685D">
            <w:pPr>
              <w:spacing w:line="520" w:lineRule="exact"/>
              <w:ind w:firstLineChars="200" w:firstLine="482"/>
              <w:rPr>
                <w:rFonts w:ascii="宋体" w:hAnsi="宋体" w:cs="宋体"/>
                <w:b/>
                <w:kern w:val="0"/>
                <w:sz w:val="24"/>
              </w:rPr>
            </w:pPr>
            <w:r w:rsidRPr="00590C04">
              <w:rPr>
                <w:rFonts w:ascii="宋体" w:hAnsi="宋体" w:cs="宋体"/>
                <w:b/>
                <w:kern w:val="0"/>
                <w:sz w:val="24"/>
              </w:rPr>
              <w:t>3、自身免疫领域：</w:t>
            </w:r>
          </w:p>
          <w:p w14:paraId="3E3BCBF8" w14:textId="30122A6A" w:rsidR="00AA12AC" w:rsidRDefault="00AA12AC" w:rsidP="0025685D">
            <w:pPr>
              <w:spacing w:line="520" w:lineRule="exact"/>
              <w:ind w:firstLineChars="200" w:firstLine="480"/>
              <w:rPr>
                <w:rFonts w:ascii="宋体" w:hAnsi="宋体" w:cs="宋体"/>
                <w:kern w:val="0"/>
                <w:sz w:val="24"/>
              </w:rPr>
            </w:pPr>
            <w:r w:rsidRPr="00AA12AC">
              <w:rPr>
                <w:rFonts w:ascii="宋体" w:hAnsi="宋体" w:cs="宋体" w:hint="eastAsia"/>
                <w:kern w:val="0"/>
                <w:sz w:val="24"/>
              </w:rPr>
              <w:t>QX001S 产品：</w:t>
            </w:r>
            <w:r w:rsidR="007144A9">
              <w:rPr>
                <w:rFonts w:ascii="宋体" w:hAnsi="宋体" w:cs="宋体" w:hint="eastAsia"/>
                <w:kern w:val="0"/>
                <w:sz w:val="24"/>
              </w:rPr>
              <w:t>今年</w:t>
            </w:r>
            <w:r w:rsidRPr="00AA12AC">
              <w:rPr>
                <w:rFonts w:ascii="宋体" w:hAnsi="宋体" w:cs="宋体" w:hint="eastAsia"/>
                <w:kern w:val="0"/>
                <w:sz w:val="24"/>
              </w:rPr>
              <w:t>8月，</w:t>
            </w:r>
            <w:r w:rsidR="00AC2A2C">
              <w:rPr>
                <w:rFonts w:ascii="宋体" w:hAnsi="宋体" w:cs="宋体" w:hint="eastAsia"/>
                <w:kern w:val="0"/>
                <w:sz w:val="24"/>
              </w:rPr>
              <w:t>公司全资子公司</w:t>
            </w:r>
            <w:r w:rsidRPr="00AA12AC">
              <w:rPr>
                <w:rFonts w:ascii="宋体" w:hAnsi="宋体" w:cs="宋体" w:hint="eastAsia"/>
                <w:kern w:val="0"/>
                <w:sz w:val="24"/>
              </w:rPr>
              <w:t>中美华东对江苏荃信生物医药有限公司（简称“荃信生物”）进行股权投资，获得其20.56%股权，成为其第二大股东，</w:t>
            </w:r>
            <w:proofErr w:type="gramStart"/>
            <w:r w:rsidR="001022DC" w:rsidRPr="001022DC">
              <w:rPr>
                <w:rFonts w:ascii="宋体" w:hAnsi="宋体" w:cs="宋体" w:hint="eastAsia"/>
                <w:kern w:val="0"/>
                <w:sz w:val="24"/>
              </w:rPr>
              <w:t>荃</w:t>
            </w:r>
            <w:proofErr w:type="gramEnd"/>
            <w:r w:rsidR="001022DC" w:rsidRPr="001022DC">
              <w:rPr>
                <w:rFonts w:ascii="宋体" w:hAnsi="宋体" w:cs="宋体" w:hint="eastAsia"/>
                <w:kern w:val="0"/>
                <w:sz w:val="24"/>
              </w:rPr>
              <w:t>信生物</w:t>
            </w:r>
            <w:r w:rsidR="001022DC">
              <w:rPr>
                <w:rFonts w:ascii="宋体" w:hAnsi="宋体" w:cs="宋体" w:hint="eastAsia"/>
                <w:kern w:val="0"/>
                <w:sz w:val="24"/>
              </w:rPr>
              <w:t>成为</w:t>
            </w:r>
            <w:r w:rsidR="001022DC" w:rsidRPr="001022DC">
              <w:rPr>
                <w:rFonts w:ascii="宋体" w:hAnsi="宋体" w:cs="宋体" w:hint="eastAsia"/>
                <w:kern w:val="0"/>
                <w:sz w:val="24"/>
              </w:rPr>
              <w:t>公司大生物大分子领域重要的研发合作平台</w:t>
            </w:r>
            <w:r w:rsidR="001022DC">
              <w:rPr>
                <w:rFonts w:ascii="宋体" w:hAnsi="宋体" w:cs="宋体" w:hint="eastAsia"/>
                <w:kern w:val="0"/>
                <w:sz w:val="24"/>
              </w:rPr>
              <w:t>，</w:t>
            </w:r>
            <w:r w:rsidRPr="00AA12AC">
              <w:rPr>
                <w:rFonts w:ascii="宋体" w:hAnsi="宋体" w:cs="宋体" w:hint="eastAsia"/>
                <w:kern w:val="0"/>
                <w:sz w:val="24"/>
              </w:rPr>
              <w:t>同时就</w:t>
            </w:r>
            <w:proofErr w:type="gramStart"/>
            <w:r w:rsidRPr="00AA12AC">
              <w:rPr>
                <w:rFonts w:ascii="宋体" w:hAnsi="宋体" w:cs="宋体" w:hint="eastAsia"/>
                <w:kern w:val="0"/>
                <w:sz w:val="24"/>
              </w:rPr>
              <w:t>荃</w:t>
            </w:r>
            <w:proofErr w:type="gramEnd"/>
            <w:r w:rsidRPr="00AA12AC">
              <w:rPr>
                <w:rFonts w:ascii="宋体" w:hAnsi="宋体" w:cs="宋体" w:hint="eastAsia"/>
                <w:kern w:val="0"/>
                <w:sz w:val="24"/>
              </w:rPr>
              <w:t>信生物在</w:t>
            </w:r>
            <w:proofErr w:type="gramStart"/>
            <w:r w:rsidRPr="00AA12AC">
              <w:rPr>
                <w:rFonts w:ascii="宋体" w:hAnsi="宋体" w:cs="宋体" w:hint="eastAsia"/>
                <w:kern w:val="0"/>
                <w:sz w:val="24"/>
              </w:rPr>
              <w:t>研</w:t>
            </w:r>
            <w:proofErr w:type="gramEnd"/>
            <w:r w:rsidRPr="00AA12AC">
              <w:rPr>
                <w:rFonts w:ascii="宋体" w:hAnsi="宋体" w:cs="宋体" w:hint="eastAsia"/>
                <w:kern w:val="0"/>
                <w:sz w:val="24"/>
              </w:rPr>
              <w:t>的 QX001S 产品（原</w:t>
            </w:r>
            <w:proofErr w:type="gramStart"/>
            <w:r w:rsidRPr="00AA12AC">
              <w:rPr>
                <w:rFonts w:ascii="宋体" w:hAnsi="宋体" w:cs="宋体" w:hint="eastAsia"/>
                <w:kern w:val="0"/>
                <w:sz w:val="24"/>
              </w:rPr>
              <w:t>研</w:t>
            </w:r>
            <w:proofErr w:type="gramEnd"/>
            <w:r w:rsidRPr="00AA12AC">
              <w:rPr>
                <w:rFonts w:ascii="宋体" w:hAnsi="宋体" w:cs="宋体" w:hint="eastAsia"/>
                <w:kern w:val="0"/>
                <w:sz w:val="24"/>
              </w:rPr>
              <w:t xml:space="preserve">药 </w:t>
            </w:r>
            <w:proofErr w:type="spellStart"/>
            <w:r w:rsidRPr="00AA12AC">
              <w:rPr>
                <w:rFonts w:ascii="宋体" w:hAnsi="宋体" w:cs="宋体" w:hint="eastAsia"/>
                <w:kern w:val="0"/>
                <w:sz w:val="24"/>
              </w:rPr>
              <w:t>Stelara</w:t>
            </w:r>
            <w:proofErr w:type="spellEnd"/>
            <w:r w:rsidRPr="00AA12AC">
              <w:rPr>
                <w:rFonts w:ascii="宋体" w:hAnsi="宋体" w:cs="宋体" w:hint="eastAsia"/>
                <w:kern w:val="0"/>
                <w:sz w:val="24"/>
              </w:rPr>
              <w:t>®（</w:t>
            </w:r>
            <w:proofErr w:type="gramStart"/>
            <w:r w:rsidRPr="00AA12AC">
              <w:rPr>
                <w:rFonts w:ascii="宋体" w:hAnsi="宋体" w:cs="宋体" w:hint="eastAsia"/>
                <w:kern w:val="0"/>
                <w:sz w:val="24"/>
              </w:rPr>
              <w:t>乌司奴单</w:t>
            </w:r>
            <w:proofErr w:type="gramEnd"/>
            <w:r w:rsidRPr="00AA12AC">
              <w:rPr>
                <w:rFonts w:ascii="宋体" w:hAnsi="宋体" w:cs="宋体" w:hint="eastAsia"/>
                <w:kern w:val="0"/>
                <w:sz w:val="24"/>
              </w:rPr>
              <w:t>抗）的生物类似药，用于治疗银屑病、克罗恩病等）在中国大陆境内达成合作开发和商业化协议。QX001S</w:t>
            </w:r>
            <w:r w:rsidR="00A4563F">
              <w:rPr>
                <w:rFonts w:ascii="宋体" w:hAnsi="宋体" w:cs="宋体" w:hint="eastAsia"/>
                <w:kern w:val="0"/>
                <w:sz w:val="24"/>
              </w:rPr>
              <w:t>目前在中国</w:t>
            </w:r>
            <w:r w:rsidRPr="00AA12AC">
              <w:rPr>
                <w:rFonts w:ascii="宋体" w:hAnsi="宋体" w:cs="宋体" w:hint="eastAsia"/>
                <w:kern w:val="0"/>
                <w:sz w:val="24"/>
              </w:rPr>
              <w:t>已完成Ⅰ期临床研究，计划于2021年初启动成人中度至重度斑块状银屑病适应症的临床III期研究。</w:t>
            </w:r>
          </w:p>
          <w:p w14:paraId="170CABC8" w14:textId="77777777" w:rsidR="007778B4" w:rsidRPr="00590C04" w:rsidRDefault="007778B4" w:rsidP="007778B4">
            <w:pPr>
              <w:spacing w:line="520" w:lineRule="exact"/>
              <w:ind w:firstLineChars="200" w:firstLine="482"/>
              <w:rPr>
                <w:rFonts w:ascii="宋体" w:hAnsi="宋体" w:cs="宋体"/>
                <w:b/>
                <w:kern w:val="0"/>
                <w:sz w:val="24"/>
              </w:rPr>
            </w:pPr>
            <w:r w:rsidRPr="00590C04">
              <w:rPr>
                <w:rFonts w:ascii="宋体" w:hAnsi="宋体" w:cs="宋体"/>
                <w:b/>
                <w:kern w:val="0"/>
                <w:sz w:val="24"/>
              </w:rPr>
              <w:t>4、</w:t>
            </w:r>
            <w:proofErr w:type="gramStart"/>
            <w:r w:rsidRPr="00590C04">
              <w:rPr>
                <w:rFonts w:ascii="宋体" w:hAnsi="宋体" w:cs="宋体" w:hint="eastAsia"/>
                <w:b/>
                <w:kern w:val="0"/>
                <w:sz w:val="24"/>
              </w:rPr>
              <w:t>医</w:t>
            </w:r>
            <w:proofErr w:type="gramEnd"/>
            <w:r w:rsidRPr="00590C04">
              <w:rPr>
                <w:rFonts w:ascii="宋体" w:hAnsi="宋体" w:cs="宋体" w:hint="eastAsia"/>
                <w:b/>
                <w:kern w:val="0"/>
                <w:sz w:val="24"/>
              </w:rPr>
              <w:t>美产品：</w:t>
            </w:r>
          </w:p>
          <w:p w14:paraId="348B6C3F" w14:textId="32290628" w:rsidR="00986725" w:rsidRDefault="007778B4" w:rsidP="00986725">
            <w:pPr>
              <w:spacing w:line="520" w:lineRule="exact"/>
              <w:ind w:firstLineChars="200" w:firstLine="480"/>
              <w:rPr>
                <w:rFonts w:ascii="宋体" w:hAnsi="宋体" w:cs="宋体"/>
                <w:kern w:val="0"/>
                <w:sz w:val="24"/>
              </w:rPr>
            </w:pPr>
            <w:r w:rsidRPr="004D509F">
              <w:rPr>
                <w:rFonts w:ascii="宋体" w:hAnsi="宋体" w:cs="宋体" w:hint="eastAsia"/>
                <w:kern w:val="0"/>
                <w:sz w:val="24"/>
              </w:rPr>
              <w:t>目前公司重点医美产品储备已很丰富，包括玻尿酸、埋线、胶原蛋白刺激剂、肉毒素、冷冻祛斑设备等，满足求美者的全方位需求</w:t>
            </w:r>
            <w:r w:rsidR="00B7697A">
              <w:rPr>
                <w:rFonts w:ascii="宋体" w:hAnsi="宋体" w:cs="宋体" w:hint="eastAsia"/>
                <w:kern w:val="0"/>
                <w:sz w:val="24"/>
              </w:rPr>
              <w:t>，</w:t>
            </w:r>
            <w:r w:rsidRPr="004D509F">
              <w:rPr>
                <w:rFonts w:ascii="宋体" w:hAnsi="宋体" w:cs="宋体" w:hint="eastAsia"/>
                <w:kern w:val="0"/>
                <w:sz w:val="24"/>
              </w:rPr>
              <w:t>主要产品</w:t>
            </w:r>
            <w:r w:rsidRPr="000559C4">
              <w:rPr>
                <w:rFonts w:ascii="宋体" w:hAnsi="宋体" w:cs="宋体" w:hint="eastAsia"/>
                <w:kern w:val="0"/>
                <w:sz w:val="24"/>
              </w:rPr>
              <w:t>都在加快研发和上市注册工作。其中：</w:t>
            </w:r>
          </w:p>
          <w:p w14:paraId="6FAC4AB4" w14:textId="7F6E6D19" w:rsidR="00F706B4" w:rsidRDefault="00986725" w:rsidP="00986725">
            <w:pPr>
              <w:spacing w:line="520" w:lineRule="exact"/>
              <w:ind w:firstLineChars="200" w:firstLine="480"/>
              <w:rPr>
                <w:rFonts w:ascii="宋体" w:hAnsi="宋体" w:cs="宋体"/>
                <w:kern w:val="0"/>
                <w:sz w:val="24"/>
              </w:rPr>
            </w:pPr>
            <w:r>
              <w:rPr>
                <w:rFonts w:ascii="宋体" w:hAnsi="宋体" w:cs="宋体" w:hint="eastAsia"/>
                <w:kern w:val="0"/>
                <w:sz w:val="24"/>
              </w:rPr>
              <w:t>（1）</w:t>
            </w:r>
            <w:r w:rsidR="007778B4" w:rsidRPr="000559C4">
              <w:rPr>
                <w:rFonts w:ascii="宋体" w:hAnsi="宋体" w:cs="宋体" w:hint="eastAsia"/>
                <w:kern w:val="0"/>
                <w:sz w:val="24"/>
              </w:rPr>
              <w:t>英国全资子公司Sinclair</w:t>
            </w:r>
            <w:r w:rsidR="007778B4" w:rsidRPr="004D509F">
              <w:rPr>
                <w:rFonts w:ascii="宋体" w:hAnsi="宋体" w:cs="宋体" w:hint="eastAsia"/>
                <w:kern w:val="0"/>
                <w:sz w:val="24"/>
              </w:rPr>
              <w:t>的胶</w:t>
            </w:r>
            <w:r w:rsidR="007778B4" w:rsidRPr="007778B4">
              <w:rPr>
                <w:rFonts w:ascii="宋体" w:hAnsi="宋体" w:cs="宋体" w:hint="eastAsia"/>
                <w:kern w:val="0"/>
                <w:sz w:val="24"/>
              </w:rPr>
              <w:t>原蛋白刺激剂</w:t>
            </w:r>
            <w:proofErr w:type="spellStart"/>
            <w:r w:rsidR="007778B4" w:rsidRPr="007778B4">
              <w:rPr>
                <w:rFonts w:ascii="宋体" w:hAnsi="宋体" w:cs="宋体" w:hint="eastAsia"/>
                <w:kern w:val="0"/>
                <w:sz w:val="24"/>
              </w:rPr>
              <w:t>Ellans</w:t>
            </w:r>
            <w:proofErr w:type="spellEnd"/>
            <w:r w:rsidR="007778B4" w:rsidRPr="007778B4">
              <w:rPr>
                <w:rFonts w:ascii="宋体" w:hAnsi="宋体" w:cs="宋体" w:hint="eastAsia"/>
                <w:kern w:val="0"/>
                <w:sz w:val="24"/>
              </w:rPr>
              <w:t>é®目前已在全球60</w:t>
            </w:r>
            <w:r w:rsidR="007778B4">
              <w:rPr>
                <w:rFonts w:ascii="宋体" w:hAnsi="宋体" w:cs="宋体" w:hint="eastAsia"/>
                <w:kern w:val="0"/>
                <w:sz w:val="24"/>
              </w:rPr>
              <w:t>多个国家或地区获得注册认证或上市准入，</w:t>
            </w:r>
            <w:r w:rsidR="007778B4" w:rsidRPr="007778B4">
              <w:rPr>
                <w:rFonts w:ascii="宋体" w:hAnsi="宋体" w:cs="宋体" w:hint="eastAsia"/>
                <w:kern w:val="0"/>
                <w:sz w:val="24"/>
              </w:rPr>
              <w:t>公司已提交了</w:t>
            </w:r>
            <w:r w:rsidR="007778B4" w:rsidRPr="007778B4">
              <w:rPr>
                <w:rFonts w:ascii="宋体" w:hAnsi="宋体" w:cs="宋体" w:hint="eastAsia"/>
                <w:kern w:val="0"/>
                <w:sz w:val="24"/>
              </w:rPr>
              <w:lastRenderedPageBreak/>
              <w:t>中国的注册申请并获受理，有望明年上半年拿到上市许可，上市相关推广准备工作也在积极开展中。</w:t>
            </w:r>
          </w:p>
          <w:p w14:paraId="0D88FC72" w14:textId="17A58A73" w:rsidR="000559C4" w:rsidRDefault="00F706B4" w:rsidP="007778B4">
            <w:pPr>
              <w:spacing w:line="520" w:lineRule="exact"/>
              <w:ind w:firstLineChars="200" w:firstLine="480"/>
              <w:rPr>
                <w:rFonts w:ascii="宋体" w:hAnsi="宋体" w:cs="宋体"/>
                <w:kern w:val="0"/>
                <w:sz w:val="24"/>
              </w:rPr>
            </w:pPr>
            <w:r w:rsidRPr="00F706B4">
              <w:rPr>
                <w:rFonts w:ascii="宋体" w:hAnsi="宋体" w:cs="宋体" w:hint="eastAsia"/>
                <w:kern w:val="0"/>
                <w:sz w:val="24"/>
              </w:rPr>
              <w:t>Sinclair公司Silhouette®埋线系列产品</w:t>
            </w:r>
            <w:proofErr w:type="spellStart"/>
            <w:r w:rsidRPr="00F706B4">
              <w:rPr>
                <w:rFonts w:ascii="宋体" w:hAnsi="宋体" w:cs="宋体" w:hint="eastAsia"/>
                <w:kern w:val="0"/>
                <w:sz w:val="24"/>
              </w:rPr>
              <w:t>Instalift</w:t>
            </w:r>
            <w:proofErr w:type="spellEnd"/>
            <w:r w:rsidRPr="00F706B4">
              <w:rPr>
                <w:rFonts w:ascii="宋体" w:hAnsi="宋体" w:cs="宋体" w:hint="eastAsia"/>
                <w:kern w:val="0"/>
                <w:sz w:val="24"/>
              </w:rPr>
              <w:t xml:space="preserve"> ™是目前美国FDA批准的唯一一款用于面部组织提拉</w:t>
            </w:r>
            <w:r w:rsidR="0020681E">
              <w:rPr>
                <w:rFonts w:ascii="宋体" w:hAnsi="宋体" w:cs="宋体" w:hint="eastAsia"/>
                <w:kern w:val="0"/>
                <w:sz w:val="24"/>
              </w:rPr>
              <w:t>可吸收</w:t>
            </w:r>
            <w:r w:rsidRPr="00F706B4">
              <w:rPr>
                <w:rFonts w:ascii="宋体" w:hAnsi="宋体" w:cs="宋体" w:hint="eastAsia"/>
                <w:kern w:val="0"/>
                <w:sz w:val="24"/>
              </w:rPr>
              <w:t>埋线产品</w:t>
            </w:r>
            <w:r>
              <w:rPr>
                <w:rFonts w:ascii="宋体" w:hAnsi="宋体" w:cs="宋体" w:hint="eastAsia"/>
                <w:kern w:val="0"/>
                <w:sz w:val="24"/>
              </w:rPr>
              <w:t>，</w:t>
            </w:r>
            <w:r w:rsidR="007778B4" w:rsidRPr="007778B4">
              <w:rPr>
                <w:rFonts w:ascii="宋体" w:hAnsi="宋体" w:cs="宋体" w:hint="eastAsia"/>
                <w:kern w:val="0"/>
                <w:sz w:val="24"/>
              </w:rPr>
              <w:t>已在60多个国家或地区获得注册认证或上市准入，在中国的注册工作也已经启动。</w:t>
            </w:r>
          </w:p>
          <w:p w14:paraId="5B173D4F" w14:textId="741FA97B" w:rsidR="007778B4" w:rsidRPr="007778B4" w:rsidRDefault="00986725" w:rsidP="007778B4">
            <w:pPr>
              <w:spacing w:line="520" w:lineRule="exact"/>
              <w:ind w:firstLineChars="200" w:firstLine="480"/>
              <w:rPr>
                <w:rFonts w:ascii="宋体" w:hAnsi="宋体" w:cs="宋体"/>
                <w:kern w:val="0"/>
                <w:sz w:val="24"/>
              </w:rPr>
            </w:pPr>
            <w:r>
              <w:rPr>
                <w:rFonts w:ascii="宋体" w:hAnsi="宋体" w:cs="宋体" w:hint="eastAsia"/>
                <w:kern w:val="0"/>
                <w:sz w:val="24"/>
              </w:rPr>
              <w:t>今年上半年，</w:t>
            </w:r>
            <w:r w:rsidR="000559C4" w:rsidRPr="000559C4">
              <w:rPr>
                <w:rFonts w:ascii="宋体" w:hAnsi="宋体" w:cs="宋体"/>
                <w:kern w:val="0"/>
                <w:sz w:val="24"/>
              </w:rPr>
              <w:t>Sinclair</w:t>
            </w:r>
            <w:r w:rsidR="000559C4" w:rsidRPr="000559C4">
              <w:rPr>
                <w:rFonts w:ascii="宋体" w:hAnsi="宋体" w:cs="宋体" w:hint="eastAsia"/>
                <w:kern w:val="0"/>
                <w:sz w:val="24"/>
              </w:rPr>
              <w:t>与瑞士专业</w:t>
            </w:r>
            <w:proofErr w:type="gramStart"/>
            <w:r w:rsidR="000559C4" w:rsidRPr="000559C4">
              <w:rPr>
                <w:rFonts w:ascii="宋体" w:hAnsi="宋体" w:cs="宋体" w:hint="eastAsia"/>
                <w:kern w:val="0"/>
                <w:sz w:val="24"/>
              </w:rPr>
              <w:t>医</w:t>
            </w:r>
            <w:proofErr w:type="gramEnd"/>
            <w:r w:rsidR="000559C4" w:rsidRPr="000559C4">
              <w:rPr>
                <w:rFonts w:ascii="宋体" w:hAnsi="宋体" w:cs="宋体" w:hint="eastAsia"/>
                <w:kern w:val="0"/>
                <w:sz w:val="24"/>
              </w:rPr>
              <w:t>美研发公司</w:t>
            </w:r>
            <w:proofErr w:type="spellStart"/>
            <w:r w:rsidR="000559C4" w:rsidRPr="000559C4">
              <w:rPr>
                <w:rFonts w:ascii="宋体" w:hAnsi="宋体" w:cs="宋体" w:hint="eastAsia"/>
                <w:kern w:val="0"/>
                <w:sz w:val="24"/>
              </w:rPr>
              <w:t>Kylane</w:t>
            </w:r>
            <w:proofErr w:type="spellEnd"/>
            <w:r w:rsidR="000559C4" w:rsidRPr="000559C4">
              <w:rPr>
                <w:rFonts w:ascii="宋体" w:hAnsi="宋体" w:cs="宋体" w:hint="eastAsia"/>
                <w:kern w:val="0"/>
                <w:sz w:val="24"/>
              </w:rPr>
              <w:t xml:space="preserve"> </w:t>
            </w:r>
            <w:proofErr w:type="spellStart"/>
            <w:r w:rsidR="000559C4" w:rsidRPr="000559C4">
              <w:rPr>
                <w:rFonts w:ascii="宋体" w:hAnsi="宋体" w:cs="宋体" w:hint="eastAsia"/>
                <w:kern w:val="0"/>
                <w:sz w:val="24"/>
              </w:rPr>
              <w:t>Laboratoires</w:t>
            </w:r>
            <w:proofErr w:type="spellEnd"/>
            <w:r w:rsidR="000559C4" w:rsidRPr="000559C4">
              <w:rPr>
                <w:rFonts w:ascii="宋体" w:hAnsi="宋体" w:cs="宋体" w:hint="eastAsia"/>
                <w:kern w:val="0"/>
                <w:sz w:val="24"/>
              </w:rPr>
              <w:t>签署协议，获得其</w:t>
            </w:r>
            <w:proofErr w:type="spellStart"/>
            <w:r w:rsidR="000559C4" w:rsidRPr="000559C4">
              <w:rPr>
                <w:rFonts w:ascii="宋体" w:hAnsi="宋体" w:cs="宋体" w:hint="eastAsia"/>
                <w:kern w:val="0"/>
                <w:sz w:val="24"/>
              </w:rPr>
              <w:t>MaiLi</w:t>
            </w:r>
            <w:proofErr w:type="spellEnd"/>
            <w:r w:rsidR="000559C4" w:rsidRPr="000559C4">
              <w:rPr>
                <w:rFonts w:ascii="宋体" w:hAnsi="宋体" w:cs="宋体" w:hint="eastAsia"/>
                <w:kern w:val="0"/>
                <w:sz w:val="24"/>
              </w:rPr>
              <w:t>系列新型含利多卡因透明质酸填充物(</w:t>
            </w:r>
            <w:proofErr w:type="gramStart"/>
            <w:r w:rsidR="000559C4" w:rsidRPr="000559C4">
              <w:rPr>
                <w:rFonts w:ascii="宋体" w:hAnsi="宋体" w:cs="宋体" w:hint="eastAsia"/>
                <w:kern w:val="0"/>
                <w:sz w:val="24"/>
              </w:rPr>
              <w:t>玻</w:t>
            </w:r>
            <w:proofErr w:type="gramEnd"/>
            <w:r w:rsidR="000559C4" w:rsidRPr="000559C4">
              <w:rPr>
                <w:rFonts w:ascii="宋体" w:hAnsi="宋体" w:cs="宋体" w:hint="eastAsia"/>
                <w:kern w:val="0"/>
                <w:sz w:val="24"/>
              </w:rPr>
              <w:t>尿酸)产品的全球独家许可。目前</w:t>
            </w:r>
            <w:proofErr w:type="spellStart"/>
            <w:r w:rsidR="000559C4" w:rsidRPr="000559C4">
              <w:rPr>
                <w:rFonts w:ascii="宋体" w:hAnsi="宋体" w:cs="宋体" w:hint="eastAsia"/>
                <w:kern w:val="0"/>
                <w:sz w:val="24"/>
              </w:rPr>
              <w:t>MaiLi</w:t>
            </w:r>
            <w:proofErr w:type="spellEnd"/>
            <w:r w:rsidR="000559C4" w:rsidRPr="000559C4">
              <w:rPr>
                <w:rFonts w:ascii="宋体" w:hAnsi="宋体" w:cs="宋体" w:hint="eastAsia"/>
                <w:kern w:val="0"/>
                <w:sz w:val="24"/>
              </w:rPr>
              <w:t>产品</w:t>
            </w:r>
            <w:r w:rsidR="000559C4" w:rsidRPr="007778B4">
              <w:rPr>
                <w:rFonts w:ascii="宋体" w:hAnsi="宋体" w:cs="宋体" w:hint="eastAsia"/>
                <w:kern w:val="0"/>
                <w:sz w:val="24"/>
              </w:rPr>
              <w:t>已于今年6月获得欧盟CE认证，</w:t>
            </w:r>
            <w:r w:rsidR="000559C4">
              <w:rPr>
                <w:rFonts w:ascii="宋体" w:hAnsi="宋体" w:cs="宋体" w:hint="eastAsia"/>
                <w:kern w:val="0"/>
                <w:sz w:val="24"/>
              </w:rPr>
              <w:t>有望今年年底或明年初上市，同时将开展在国内注册的工作</w:t>
            </w:r>
            <w:r w:rsidR="007778B4" w:rsidRPr="007778B4">
              <w:rPr>
                <w:rFonts w:ascii="宋体" w:hAnsi="宋体" w:cs="宋体" w:hint="eastAsia"/>
                <w:kern w:val="0"/>
                <w:sz w:val="24"/>
              </w:rPr>
              <w:t>。</w:t>
            </w:r>
          </w:p>
          <w:p w14:paraId="09F5B676" w14:textId="27965EEF" w:rsidR="004962DC" w:rsidRDefault="00986725" w:rsidP="004962DC">
            <w:pPr>
              <w:spacing w:line="520" w:lineRule="exact"/>
              <w:ind w:firstLineChars="200" w:firstLine="480"/>
              <w:rPr>
                <w:rFonts w:ascii="宋体" w:hAnsi="宋体" w:cs="宋体"/>
                <w:kern w:val="0"/>
                <w:sz w:val="24"/>
              </w:rPr>
            </w:pPr>
            <w:r>
              <w:rPr>
                <w:rFonts w:ascii="宋体" w:hAnsi="宋体" w:cs="宋体" w:hint="eastAsia"/>
                <w:kern w:val="0"/>
                <w:sz w:val="24"/>
              </w:rPr>
              <w:t>（2）</w:t>
            </w:r>
            <w:r w:rsidR="004962DC" w:rsidRPr="004962DC">
              <w:rPr>
                <w:rFonts w:ascii="宋体" w:hAnsi="宋体" w:cs="宋体" w:hint="eastAsia"/>
                <w:kern w:val="0"/>
                <w:sz w:val="24"/>
              </w:rPr>
              <w:t>公司参股公司</w:t>
            </w:r>
            <w:r>
              <w:rPr>
                <w:rFonts w:ascii="宋体" w:hAnsi="宋体" w:cs="宋体" w:hint="eastAsia"/>
                <w:kern w:val="0"/>
                <w:sz w:val="24"/>
              </w:rPr>
              <w:t>美国</w:t>
            </w:r>
            <w:r w:rsidR="004962DC" w:rsidRPr="004962DC">
              <w:rPr>
                <w:rFonts w:ascii="宋体" w:hAnsi="宋体" w:cs="宋体" w:hint="eastAsia"/>
                <w:kern w:val="0"/>
                <w:sz w:val="24"/>
              </w:rPr>
              <w:t>R2 Dermatology主要产品</w:t>
            </w:r>
            <w:r w:rsidR="004962DC">
              <w:rPr>
                <w:rFonts w:ascii="宋体" w:hAnsi="宋体" w:cs="宋体" w:hint="eastAsia"/>
                <w:kern w:val="0"/>
                <w:sz w:val="24"/>
              </w:rPr>
              <w:t>：</w:t>
            </w:r>
            <w:r w:rsidR="004962DC" w:rsidRPr="004962DC">
              <w:rPr>
                <w:rFonts w:ascii="宋体" w:hAnsi="宋体" w:cs="宋体" w:hint="eastAsia"/>
                <w:kern w:val="0"/>
                <w:sz w:val="24"/>
              </w:rPr>
              <w:t>2019年，</w:t>
            </w:r>
            <w:r w:rsidR="004962DC">
              <w:rPr>
                <w:rFonts w:ascii="宋体" w:hAnsi="宋体" w:cs="宋体" w:hint="eastAsia"/>
                <w:kern w:val="0"/>
                <w:sz w:val="24"/>
              </w:rPr>
              <w:t>公司</w:t>
            </w:r>
            <w:r w:rsidR="004962DC" w:rsidRPr="004962DC">
              <w:rPr>
                <w:rFonts w:ascii="宋体" w:hAnsi="宋体" w:cs="宋体" w:hint="eastAsia"/>
                <w:kern w:val="0"/>
                <w:sz w:val="24"/>
              </w:rPr>
              <w:t xml:space="preserve">投资R2公司，目前持有其26.60%股份并获得其医疗器械F1和F2及其未来改进型在中国大陆、日本、韩国等34个亚太国家的独家分销权。该公司技术来自三位科学家R. </w:t>
            </w:r>
            <w:proofErr w:type="spellStart"/>
            <w:r w:rsidR="004962DC" w:rsidRPr="004962DC">
              <w:rPr>
                <w:rFonts w:ascii="宋体" w:hAnsi="宋体" w:cs="宋体" w:hint="eastAsia"/>
                <w:kern w:val="0"/>
                <w:sz w:val="24"/>
              </w:rPr>
              <w:t>Rox</w:t>
            </w:r>
            <w:proofErr w:type="spellEnd"/>
            <w:r w:rsidR="004962DC" w:rsidRPr="004962DC">
              <w:rPr>
                <w:rFonts w:ascii="宋体" w:hAnsi="宋体" w:cs="宋体" w:hint="eastAsia"/>
                <w:kern w:val="0"/>
                <w:sz w:val="24"/>
              </w:rPr>
              <w:t xml:space="preserve"> Anderson, M.D., Dieter </w:t>
            </w:r>
            <w:proofErr w:type="spellStart"/>
            <w:r w:rsidR="004962DC" w:rsidRPr="004962DC">
              <w:rPr>
                <w:rFonts w:ascii="宋体" w:hAnsi="宋体" w:cs="宋体" w:hint="eastAsia"/>
                <w:kern w:val="0"/>
                <w:sz w:val="24"/>
              </w:rPr>
              <w:t>Manstein</w:t>
            </w:r>
            <w:proofErr w:type="spellEnd"/>
            <w:r w:rsidR="004962DC" w:rsidRPr="004962DC">
              <w:rPr>
                <w:rFonts w:ascii="宋体" w:hAnsi="宋体" w:cs="宋体" w:hint="eastAsia"/>
                <w:kern w:val="0"/>
                <w:sz w:val="24"/>
              </w:rPr>
              <w:t>, M.D., Ph.D., Henry H.L. Chan, M.D., Ph.D.的专利授权。三位科学家均具有强大的冷冻祛斑科研背景。医疗器材F1（冷冻祛斑），已获得美国FDA批准的510(k)，预计2020年底在美国上市，并计划启动中国注册工作。医疗器械F2（全身喷雾美白），正处于研发阶段。</w:t>
            </w:r>
          </w:p>
          <w:p w14:paraId="5169A7CC" w14:textId="5D19DE6C" w:rsidR="007778B4" w:rsidRPr="007778B4" w:rsidRDefault="004962DC" w:rsidP="00590C04">
            <w:pPr>
              <w:spacing w:line="520" w:lineRule="exac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 xml:space="preserve">  </w:t>
            </w:r>
            <w:r w:rsidR="00986725">
              <w:rPr>
                <w:rFonts w:ascii="宋体" w:hAnsi="宋体" w:cs="宋体" w:hint="eastAsia"/>
                <w:kern w:val="0"/>
                <w:sz w:val="24"/>
              </w:rPr>
              <w:t>（3）</w:t>
            </w:r>
            <w:r>
              <w:rPr>
                <w:rFonts w:ascii="宋体" w:hAnsi="宋体" w:cs="宋体"/>
                <w:kern w:val="0"/>
                <w:sz w:val="24"/>
              </w:rPr>
              <w:t xml:space="preserve"> </w:t>
            </w:r>
            <w:r w:rsidR="007778B4">
              <w:rPr>
                <w:rFonts w:ascii="宋体" w:hAnsi="宋体" w:cs="宋体" w:hint="eastAsia"/>
                <w:kern w:val="0"/>
                <w:sz w:val="24"/>
              </w:rPr>
              <w:t>今</w:t>
            </w:r>
            <w:r w:rsidR="007778B4" w:rsidRPr="007778B4">
              <w:rPr>
                <w:rFonts w:ascii="宋体" w:hAnsi="宋体" w:cs="宋体" w:hint="eastAsia"/>
                <w:kern w:val="0"/>
                <w:sz w:val="24"/>
              </w:rPr>
              <w:t>年8</w:t>
            </w:r>
            <w:r w:rsidR="007778B4">
              <w:rPr>
                <w:rFonts w:ascii="宋体" w:hAnsi="宋体" w:cs="宋体" w:hint="eastAsia"/>
                <w:kern w:val="0"/>
                <w:sz w:val="24"/>
              </w:rPr>
              <w:t>月</w:t>
            </w:r>
            <w:r w:rsidR="007778B4" w:rsidRPr="007778B4">
              <w:rPr>
                <w:rFonts w:ascii="宋体" w:hAnsi="宋体" w:cs="宋体" w:hint="eastAsia"/>
                <w:kern w:val="0"/>
                <w:sz w:val="24"/>
              </w:rPr>
              <w:t>公司</w:t>
            </w:r>
            <w:r w:rsidR="007778B4">
              <w:rPr>
                <w:rFonts w:ascii="宋体" w:hAnsi="宋体" w:cs="宋体" w:hint="eastAsia"/>
                <w:kern w:val="0"/>
                <w:sz w:val="24"/>
              </w:rPr>
              <w:t>获得</w:t>
            </w:r>
            <w:r w:rsidR="007778B4" w:rsidRPr="007778B4">
              <w:rPr>
                <w:rFonts w:ascii="宋体" w:hAnsi="宋体" w:cs="宋体" w:hint="eastAsia"/>
                <w:kern w:val="0"/>
                <w:sz w:val="24"/>
              </w:rPr>
              <w:t>韩国上市公司</w:t>
            </w:r>
            <w:proofErr w:type="spellStart"/>
            <w:r w:rsidR="007778B4" w:rsidRPr="007778B4">
              <w:rPr>
                <w:rFonts w:ascii="宋体" w:hAnsi="宋体" w:cs="宋体" w:hint="eastAsia"/>
                <w:kern w:val="0"/>
                <w:sz w:val="24"/>
              </w:rPr>
              <w:t>Jetema</w:t>
            </w:r>
            <w:proofErr w:type="spellEnd"/>
            <w:r w:rsidR="007778B4">
              <w:rPr>
                <w:rFonts w:ascii="宋体" w:hAnsi="宋体" w:cs="宋体" w:hint="eastAsia"/>
                <w:kern w:val="0"/>
                <w:sz w:val="24"/>
              </w:rPr>
              <w:t>的</w:t>
            </w:r>
            <w:r w:rsidR="007778B4" w:rsidRPr="007778B4">
              <w:rPr>
                <w:rFonts w:ascii="宋体" w:hAnsi="宋体" w:cs="宋体" w:hint="eastAsia"/>
                <w:kern w:val="0"/>
                <w:sz w:val="24"/>
              </w:rPr>
              <w:t>A型肉毒素产品在中国的独家代理权</w:t>
            </w:r>
            <w:r w:rsidR="007778B4">
              <w:rPr>
                <w:rFonts w:ascii="宋体" w:hAnsi="宋体" w:cs="宋体" w:hint="eastAsia"/>
                <w:kern w:val="0"/>
                <w:sz w:val="24"/>
              </w:rPr>
              <w:t>，</w:t>
            </w:r>
            <w:r w:rsidR="007778B4" w:rsidRPr="007778B4">
              <w:rPr>
                <w:rFonts w:ascii="宋体" w:hAnsi="宋体" w:cs="宋体" w:hint="eastAsia"/>
                <w:kern w:val="0"/>
                <w:sz w:val="24"/>
              </w:rPr>
              <w:t>公司计划将在今年内启动该产品在中国境内的注册报批工作。</w:t>
            </w:r>
          </w:p>
          <w:p w14:paraId="5D572E2D" w14:textId="1C1DD91F" w:rsidR="00AA12AC" w:rsidRPr="00590C04" w:rsidRDefault="001033A3" w:rsidP="0025685D">
            <w:pPr>
              <w:spacing w:line="520" w:lineRule="exact"/>
              <w:ind w:firstLineChars="200" w:firstLine="482"/>
              <w:rPr>
                <w:rFonts w:ascii="宋体" w:hAnsi="宋体" w:cs="宋体"/>
                <w:b/>
                <w:kern w:val="0"/>
                <w:sz w:val="24"/>
              </w:rPr>
            </w:pPr>
            <w:r w:rsidRPr="00590C04">
              <w:rPr>
                <w:rFonts w:ascii="宋体" w:hAnsi="宋体" w:cs="宋体"/>
                <w:b/>
                <w:kern w:val="0"/>
                <w:sz w:val="24"/>
              </w:rPr>
              <w:t>5</w:t>
            </w:r>
            <w:r w:rsidR="00AA12AC" w:rsidRPr="00590C04">
              <w:rPr>
                <w:rFonts w:ascii="宋体" w:hAnsi="宋体" w:cs="宋体" w:hint="eastAsia"/>
                <w:b/>
                <w:kern w:val="0"/>
                <w:sz w:val="24"/>
              </w:rPr>
              <w:t>、</w:t>
            </w:r>
            <w:r w:rsidR="00201C4D">
              <w:rPr>
                <w:rFonts w:ascii="宋体" w:hAnsi="宋体" w:cs="宋体" w:hint="eastAsia"/>
                <w:b/>
                <w:kern w:val="0"/>
                <w:sz w:val="24"/>
              </w:rPr>
              <w:t>创新医疗器械</w:t>
            </w:r>
            <w:r w:rsidR="00AA12AC" w:rsidRPr="00590C04">
              <w:rPr>
                <w:rFonts w:ascii="宋体" w:hAnsi="宋体" w:cs="宋体" w:hint="eastAsia"/>
                <w:b/>
                <w:kern w:val="0"/>
                <w:sz w:val="24"/>
              </w:rPr>
              <w:t>：</w:t>
            </w:r>
            <w:bookmarkStart w:id="1" w:name="_GoBack"/>
            <w:bookmarkEnd w:id="1"/>
          </w:p>
          <w:p w14:paraId="00E81B9F" w14:textId="77777777" w:rsidR="00590C04" w:rsidRDefault="00AA12AC" w:rsidP="0025685D">
            <w:pPr>
              <w:spacing w:line="520" w:lineRule="exact"/>
              <w:ind w:firstLineChars="200" w:firstLine="480"/>
              <w:rPr>
                <w:rFonts w:ascii="宋体" w:hAnsi="宋体" w:cs="宋体"/>
                <w:kern w:val="0"/>
                <w:sz w:val="24"/>
              </w:rPr>
            </w:pPr>
            <w:r w:rsidRPr="00AA12AC">
              <w:rPr>
                <w:rFonts w:ascii="宋体" w:hAnsi="宋体" w:cs="宋体" w:hint="eastAsia"/>
                <w:kern w:val="0"/>
                <w:sz w:val="24"/>
              </w:rPr>
              <w:t>TGFR肾功能动态监测系统</w:t>
            </w:r>
            <w:r w:rsidR="00D54302" w:rsidRPr="00D54302">
              <w:rPr>
                <w:rFonts w:ascii="宋体" w:hAnsi="宋体" w:cs="宋体" w:hint="eastAsia"/>
                <w:kern w:val="0"/>
                <w:sz w:val="24"/>
              </w:rPr>
              <w:t>：</w:t>
            </w:r>
            <w:r w:rsidRPr="00AA12AC">
              <w:rPr>
                <w:rFonts w:ascii="宋体" w:hAnsi="宋体" w:cs="宋体" w:hint="eastAsia"/>
                <w:kern w:val="0"/>
                <w:sz w:val="24"/>
              </w:rPr>
              <w:t xml:space="preserve"> 2019年公司对美国</w:t>
            </w:r>
            <w:proofErr w:type="spellStart"/>
            <w:r w:rsidRPr="00AA12AC">
              <w:rPr>
                <w:rFonts w:ascii="宋体" w:hAnsi="宋体" w:cs="宋体" w:hint="eastAsia"/>
                <w:kern w:val="0"/>
                <w:sz w:val="24"/>
              </w:rPr>
              <w:t>MediBeacon</w:t>
            </w:r>
            <w:proofErr w:type="spellEnd"/>
            <w:r w:rsidRPr="00AA12AC">
              <w:rPr>
                <w:rFonts w:ascii="宋体" w:hAnsi="宋体" w:cs="宋体" w:hint="eastAsia"/>
                <w:kern w:val="0"/>
                <w:sz w:val="24"/>
              </w:rPr>
              <w:t>公司进行股权投资，并获得其全部产品在亚太25个国家和区域的独家商业</w:t>
            </w:r>
            <w:r w:rsidRPr="00AA12AC">
              <w:rPr>
                <w:rFonts w:ascii="宋体" w:hAnsi="宋体" w:cs="宋体" w:hint="eastAsia"/>
                <w:kern w:val="0"/>
                <w:sz w:val="24"/>
              </w:rPr>
              <w:lastRenderedPageBreak/>
              <w:t>化权益。目前其核心产品TGFR</w:t>
            </w:r>
            <w:r w:rsidR="00AC2A2C">
              <w:rPr>
                <w:rFonts w:ascii="宋体" w:hAnsi="宋体" w:cs="宋体" w:hint="eastAsia"/>
                <w:kern w:val="0"/>
                <w:sz w:val="24"/>
              </w:rPr>
              <w:t>肾功能动态监测系统</w:t>
            </w:r>
            <w:r w:rsidRPr="00AA12AC">
              <w:rPr>
                <w:rFonts w:ascii="宋体" w:hAnsi="宋体" w:cs="宋体" w:hint="eastAsia"/>
                <w:kern w:val="0"/>
                <w:sz w:val="24"/>
              </w:rPr>
              <w:t>计划2020年底前在中国递交临床试验申请（IND），2020年10月美国FDA已批准中国加入国际多中心（临床三期），</w:t>
            </w:r>
            <w:proofErr w:type="spellStart"/>
            <w:r w:rsidRPr="00AA12AC">
              <w:rPr>
                <w:rFonts w:ascii="宋体" w:hAnsi="宋体" w:cs="宋体" w:hint="eastAsia"/>
                <w:kern w:val="0"/>
                <w:sz w:val="24"/>
              </w:rPr>
              <w:t>MediBeacon</w:t>
            </w:r>
            <w:proofErr w:type="spellEnd"/>
            <w:r w:rsidRPr="00AA12AC">
              <w:rPr>
                <w:rFonts w:ascii="宋体" w:hAnsi="宋体" w:cs="宋体" w:hint="eastAsia"/>
                <w:kern w:val="0"/>
                <w:sz w:val="24"/>
              </w:rPr>
              <w:t>预计2021年获得美国FDA注册批件，在获批FDA注册后，公司将加快推进在中国的注册工作。</w:t>
            </w:r>
            <w:r w:rsidR="00590C04">
              <w:rPr>
                <w:rFonts w:ascii="宋体" w:hAnsi="宋体" w:cs="宋体" w:hint="eastAsia"/>
                <w:kern w:val="0"/>
                <w:sz w:val="24"/>
              </w:rPr>
              <w:t xml:space="preserve"> </w:t>
            </w:r>
          </w:p>
          <w:p w14:paraId="749351DB" w14:textId="75D093B8" w:rsidR="005665D4" w:rsidRPr="00A62858" w:rsidRDefault="00590C04" w:rsidP="0025685D">
            <w:pPr>
              <w:spacing w:line="520" w:lineRule="exact"/>
              <w:ind w:firstLineChars="200" w:firstLine="480"/>
              <w:rPr>
                <w:rFonts w:ascii="宋体" w:hAnsi="宋体" w:cs="宋体"/>
                <w:kern w:val="0"/>
                <w:sz w:val="24"/>
              </w:rPr>
            </w:pPr>
            <w:r>
              <w:rPr>
                <w:rFonts w:ascii="宋体" w:hAnsi="宋体" w:cs="宋体" w:hint="eastAsia"/>
                <w:kern w:val="0"/>
                <w:sz w:val="24"/>
              </w:rPr>
              <w:t>另，</w:t>
            </w:r>
            <w:r w:rsidR="00996EED">
              <w:rPr>
                <w:rFonts w:ascii="宋体" w:hAnsi="宋体" w:cs="宋体" w:hint="eastAsia"/>
                <w:kern w:val="0"/>
                <w:sz w:val="24"/>
              </w:rPr>
              <w:t>该技术</w:t>
            </w:r>
            <w:r w:rsidR="00E36D9D" w:rsidRPr="00E36D9D">
              <w:rPr>
                <w:rFonts w:ascii="宋体" w:hAnsi="宋体" w:cs="宋体" w:hint="eastAsia"/>
                <w:kern w:val="0"/>
                <w:sz w:val="24"/>
              </w:rPr>
              <w:t>应用于科研市场的动物肾功能监测及智能分析系统</w:t>
            </w:r>
            <w:r w:rsidR="00996EED">
              <w:rPr>
                <w:rFonts w:ascii="宋体" w:hAnsi="宋体" w:cs="宋体" w:hint="eastAsia"/>
                <w:kern w:val="0"/>
                <w:sz w:val="24"/>
              </w:rPr>
              <w:t>（商品名：</w:t>
            </w:r>
            <w:r w:rsidR="00996EED" w:rsidRPr="00E36D9D">
              <w:rPr>
                <w:rFonts w:ascii="宋体" w:hAnsi="宋体" w:cs="宋体" w:hint="eastAsia"/>
                <w:kern w:val="0"/>
                <w:sz w:val="24"/>
              </w:rPr>
              <w:t>敏狄康</w:t>
            </w:r>
            <w:r w:rsidR="00996EED">
              <w:rPr>
                <w:rFonts w:ascii="宋体" w:hAnsi="宋体" w:cs="宋体" w:hint="eastAsia"/>
                <w:kern w:val="0"/>
                <w:sz w:val="24"/>
              </w:rPr>
              <w:t>）</w:t>
            </w:r>
            <w:r w:rsidR="00E36D9D" w:rsidRPr="00E36D9D">
              <w:rPr>
                <w:rFonts w:ascii="宋体" w:hAnsi="宋体" w:cs="宋体" w:hint="eastAsia"/>
                <w:kern w:val="0"/>
                <w:sz w:val="24"/>
              </w:rPr>
              <w:t xml:space="preserve">，由 </w:t>
            </w:r>
            <w:proofErr w:type="spellStart"/>
            <w:r w:rsidR="00E36D9D" w:rsidRPr="00E36D9D">
              <w:rPr>
                <w:rFonts w:ascii="宋体" w:hAnsi="宋体" w:cs="宋体" w:hint="eastAsia"/>
                <w:kern w:val="0"/>
                <w:sz w:val="24"/>
              </w:rPr>
              <w:t>MediBeacon</w:t>
            </w:r>
            <w:proofErr w:type="spellEnd"/>
            <w:r w:rsidR="00E36D9D" w:rsidRPr="00E36D9D">
              <w:rPr>
                <w:rFonts w:ascii="宋体" w:hAnsi="宋体" w:cs="宋体" w:hint="eastAsia"/>
                <w:kern w:val="0"/>
                <w:sz w:val="24"/>
              </w:rPr>
              <w:t xml:space="preserve"> 研发生产采用荧光经皮测量技术测量肾小球滤过率（GFR）值，2020年已在中国上市。该技术给广大生命科学领域研究人员提供一种经皮、精准、简便的GFR监测方法。</w:t>
            </w:r>
          </w:p>
          <w:bookmarkEnd w:id="0"/>
          <w:p w14:paraId="52B832C6" w14:textId="77777777" w:rsidR="005665D4" w:rsidRPr="00AC2A2C" w:rsidRDefault="005665D4" w:rsidP="0025685D">
            <w:pPr>
              <w:spacing w:line="520" w:lineRule="exact"/>
              <w:ind w:firstLineChars="200" w:firstLine="420"/>
              <w:rPr>
                <w:rFonts w:ascii="宋体" w:hAnsi="宋体" w:cs="宋体"/>
                <w:kern w:val="0"/>
              </w:rPr>
            </w:pPr>
          </w:p>
        </w:tc>
      </w:tr>
      <w:tr w:rsidR="005665D4" w14:paraId="2AAB75CE" w14:textId="77777777">
        <w:trPr>
          <w:trHeight w:val="1024"/>
        </w:trPr>
        <w:tc>
          <w:tcPr>
            <w:tcW w:w="1242" w:type="dxa"/>
            <w:tcBorders>
              <w:top w:val="single" w:sz="4" w:space="0" w:color="000000"/>
              <w:left w:val="single" w:sz="4" w:space="0" w:color="000000"/>
              <w:bottom w:val="single" w:sz="4" w:space="0" w:color="000000"/>
              <w:right w:val="single" w:sz="4" w:space="0" w:color="000000"/>
            </w:tcBorders>
            <w:vAlign w:val="center"/>
          </w:tcPr>
          <w:p w14:paraId="05517C59" w14:textId="77777777" w:rsidR="005665D4" w:rsidRDefault="00A373A6">
            <w:pPr>
              <w:spacing w:line="440" w:lineRule="exact"/>
              <w:ind w:firstLineChars="50" w:firstLine="120"/>
              <w:rPr>
                <w:rStyle w:val="NormalCharacter"/>
                <w:bCs/>
                <w:iCs/>
                <w:sz w:val="24"/>
              </w:rPr>
            </w:pPr>
            <w:r>
              <w:rPr>
                <w:rStyle w:val="NormalCharacter"/>
                <w:bCs/>
                <w:iCs/>
                <w:sz w:val="24"/>
              </w:rPr>
              <w:lastRenderedPageBreak/>
              <w:t>附件清单（如有）</w:t>
            </w:r>
          </w:p>
        </w:tc>
        <w:tc>
          <w:tcPr>
            <w:tcW w:w="7302" w:type="dxa"/>
            <w:tcBorders>
              <w:top w:val="single" w:sz="4" w:space="0" w:color="000000"/>
              <w:left w:val="single" w:sz="4" w:space="0" w:color="000000"/>
              <w:bottom w:val="single" w:sz="4" w:space="0" w:color="000000"/>
              <w:right w:val="single" w:sz="4" w:space="0" w:color="000000"/>
            </w:tcBorders>
          </w:tcPr>
          <w:p w14:paraId="221C1702" w14:textId="77777777" w:rsidR="005665D4" w:rsidRDefault="00A373A6">
            <w:pPr>
              <w:spacing w:line="440" w:lineRule="exact"/>
              <w:rPr>
                <w:rStyle w:val="NormalCharacter"/>
                <w:bCs/>
                <w:iCs/>
                <w:sz w:val="24"/>
              </w:rPr>
            </w:pPr>
            <w:r>
              <w:rPr>
                <w:rStyle w:val="NormalCharacter"/>
                <w:bCs/>
                <w:iCs/>
                <w:sz w:val="24"/>
              </w:rPr>
              <w:t>无</w:t>
            </w:r>
          </w:p>
        </w:tc>
      </w:tr>
      <w:tr w:rsidR="005665D4" w14:paraId="3975DB99" w14:textId="77777777">
        <w:tc>
          <w:tcPr>
            <w:tcW w:w="1242" w:type="dxa"/>
            <w:tcBorders>
              <w:top w:val="single" w:sz="4" w:space="0" w:color="000000"/>
              <w:left w:val="single" w:sz="4" w:space="0" w:color="000000"/>
              <w:bottom w:val="single" w:sz="4" w:space="0" w:color="000000"/>
              <w:right w:val="single" w:sz="4" w:space="0" w:color="000000"/>
            </w:tcBorders>
            <w:vAlign w:val="center"/>
          </w:tcPr>
          <w:p w14:paraId="0ED31DA8" w14:textId="77777777" w:rsidR="005665D4" w:rsidRDefault="00A373A6">
            <w:pPr>
              <w:spacing w:line="440" w:lineRule="exact"/>
              <w:rPr>
                <w:rStyle w:val="NormalCharacter"/>
                <w:bCs/>
                <w:iCs/>
                <w:sz w:val="24"/>
              </w:rPr>
            </w:pPr>
            <w:r>
              <w:rPr>
                <w:rStyle w:val="NormalCharacter"/>
                <w:bCs/>
                <w:iCs/>
                <w:sz w:val="24"/>
              </w:rPr>
              <w:t>日期</w:t>
            </w:r>
          </w:p>
        </w:tc>
        <w:tc>
          <w:tcPr>
            <w:tcW w:w="7302" w:type="dxa"/>
            <w:tcBorders>
              <w:top w:val="single" w:sz="4" w:space="0" w:color="000000"/>
              <w:left w:val="single" w:sz="4" w:space="0" w:color="000000"/>
              <w:bottom w:val="single" w:sz="4" w:space="0" w:color="000000"/>
              <w:right w:val="single" w:sz="4" w:space="0" w:color="000000"/>
            </w:tcBorders>
          </w:tcPr>
          <w:p w14:paraId="542563E3" w14:textId="77777777" w:rsidR="005665D4" w:rsidRDefault="00A373A6">
            <w:pPr>
              <w:spacing w:line="440" w:lineRule="exact"/>
              <w:rPr>
                <w:rStyle w:val="NormalCharacter"/>
                <w:bCs/>
                <w:iCs/>
                <w:sz w:val="24"/>
              </w:rPr>
            </w:pPr>
            <w:r>
              <w:rPr>
                <w:rStyle w:val="NormalCharacter"/>
                <w:bCs/>
                <w:iCs/>
                <w:sz w:val="24"/>
              </w:rPr>
              <w:t>2020</w:t>
            </w:r>
            <w:r>
              <w:rPr>
                <w:rStyle w:val="NormalCharacter"/>
                <w:bCs/>
                <w:iCs/>
                <w:sz w:val="24"/>
              </w:rPr>
              <w:t>年</w:t>
            </w:r>
            <w:r>
              <w:rPr>
                <w:rStyle w:val="NormalCharacter"/>
                <w:bCs/>
                <w:iCs/>
                <w:sz w:val="24"/>
              </w:rPr>
              <w:t>11</w:t>
            </w:r>
            <w:r>
              <w:rPr>
                <w:rStyle w:val="NormalCharacter"/>
                <w:bCs/>
                <w:iCs/>
                <w:sz w:val="24"/>
              </w:rPr>
              <w:t>月</w:t>
            </w:r>
            <w:r>
              <w:rPr>
                <w:rStyle w:val="NormalCharacter"/>
                <w:rFonts w:hint="eastAsia"/>
                <w:bCs/>
                <w:iCs/>
                <w:sz w:val="24"/>
              </w:rPr>
              <w:t>10</w:t>
            </w:r>
            <w:r>
              <w:rPr>
                <w:rStyle w:val="NormalCharacter"/>
                <w:bCs/>
                <w:iCs/>
                <w:sz w:val="24"/>
              </w:rPr>
              <w:t>日</w:t>
            </w:r>
          </w:p>
        </w:tc>
      </w:tr>
    </w:tbl>
    <w:p w14:paraId="79765824" w14:textId="77777777" w:rsidR="005665D4" w:rsidRDefault="005665D4">
      <w:pPr>
        <w:spacing w:line="440" w:lineRule="exact"/>
        <w:rPr>
          <w:rStyle w:val="NormalCharacter"/>
          <w:rFonts w:ascii="宋体" w:hAnsi="宋体"/>
          <w:sz w:val="24"/>
        </w:rPr>
      </w:pPr>
    </w:p>
    <w:p w14:paraId="4C205BEE" w14:textId="77777777" w:rsidR="005665D4" w:rsidRDefault="005665D4">
      <w:pPr>
        <w:spacing w:line="440" w:lineRule="exact"/>
        <w:rPr>
          <w:rStyle w:val="NormalCharacter"/>
          <w:rFonts w:ascii="宋体" w:hAnsi="宋体"/>
          <w:sz w:val="24"/>
        </w:rPr>
      </w:pPr>
    </w:p>
    <w:sectPr w:rsidR="005665D4">
      <w:headerReference w:type="default" r:id="rId8"/>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B41F3" w14:textId="77777777" w:rsidR="005320A2" w:rsidRDefault="005320A2">
      <w:r>
        <w:separator/>
      </w:r>
    </w:p>
  </w:endnote>
  <w:endnote w:type="continuationSeparator" w:id="0">
    <w:p w14:paraId="0E900B81" w14:textId="77777777" w:rsidR="005320A2" w:rsidRDefault="0053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80036" w14:textId="77777777" w:rsidR="005665D4" w:rsidRDefault="005665D4">
    <w:pPr>
      <w:pStyle w:val="a9"/>
      <w:framePr w:wrap="around" w:hAnchor="text" w:xAlign="center" w:y="1"/>
      <w:rPr>
        <w:rStyle w:val="PageNumber"/>
      </w:rPr>
    </w:pPr>
  </w:p>
  <w:p w14:paraId="36FD1CFE" w14:textId="77777777" w:rsidR="005665D4" w:rsidRDefault="005665D4">
    <w:pPr>
      <w:pStyle w:val="a9"/>
      <w:rPr>
        <w:rStyle w:val="NormalCharacte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7111"/>
    </w:sdtPr>
    <w:sdtEndPr/>
    <w:sdtContent>
      <w:p w14:paraId="75CAD536" w14:textId="56E23401" w:rsidR="005665D4" w:rsidRDefault="00A373A6">
        <w:pPr>
          <w:pStyle w:val="a9"/>
          <w:jc w:val="center"/>
        </w:pPr>
        <w:r>
          <w:fldChar w:fldCharType="begin"/>
        </w:r>
        <w:r>
          <w:instrText xml:space="preserve"> PAGE   \* MERGEFORMAT </w:instrText>
        </w:r>
        <w:r>
          <w:fldChar w:fldCharType="separate"/>
        </w:r>
        <w:r w:rsidR="00201C4D" w:rsidRPr="00201C4D">
          <w:rPr>
            <w:noProof/>
            <w:lang w:val="zh-CN"/>
          </w:rPr>
          <w:t>9</w:t>
        </w:r>
        <w:r>
          <w:rPr>
            <w:lang w:val="zh-CN"/>
          </w:rPr>
          <w:fldChar w:fldCharType="end"/>
        </w:r>
      </w:p>
    </w:sdtContent>
  </w:sdt>
  <w:p w14:paraId="016260B2" w14:textId="77777777" w:rsidR="005665D4" w:rsidRDefault="005665D4">
    <w:pPr>
      <w:pStyle w:val="a9"/>
      <w:rPr>
        <w:rStyle w:val="NormalCharacte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E0F2A" w14:textId="77777777" w:rsidR="005320A2" w:rsidRDefault="005320A2">
      <w:r>
        <w:separator/>
      </w:r>
    </w:p>
  </w:footnote>
  <w:footnote w:type="continuationSeparator" w:id="0">
    <w:p w14:paraId="69B697F5" w14:textId="77777777" w:rsidR="005320A2" w:rsidRDefault="005320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77F94" w14:textId="77777777" w:rsidR="005665D4" w:rsidRDefault="005665D4">
    <w:pPr>
      <w:pStyle w:val="ab"/>
      <w:pBdr>
        <w:bottom w:val="none" w:sz="0" w:space="0" w:color="auto"/>
      </w:pBdr>
      <w:rPr>
        <w:rStyle w:val="NormalCharact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C5"/>
    <w:rsid w:val="00003273"/>
    <w:rsid w:val="0000699F"/>
    <w:rsid w:val="00006D69"/>
    <w:rsid w:val="00010E01"/>
    <w:rsid w:val="000117F8"/>
    <w:rsid w:val="00015120"/>
    <w:rsid w:val="00016CAC"/>
    <w:rsid w:val="00021ECD"/>
    <w:rsid w:val="00022B20"/>
    <w:rsid w:val="0003056F"/>
    <w:rsid w:val="00031453"/>
    <w:rsid w:val="000428C9"/>
    <w:rsid w:val="00042AD9"/>
    <w:rsid w:val="000441FD"/>
    <w:rsid w:val="0004443E"/>
    <w:rsid w:val="00053190"/>
    <w:rsid w:val="00054FEC"/>
    <w:rsid w:val="000559C4"/>
    <w:rsid w:val="00061C81"/>
    <w:rsid w:val="00062C59"/>
    <w:rsid w:val="000649CE"/>
    <w:rsid w:val="000662B4"/>
    <w:rsid w:val="00066BC5"/>
    <w:rsid w:val="00067B32"/>
    <w:rsid w:val="00076A71"/>
    <w:rsid w:val="00080F56"/>
    <w:rsid w:val="000830B2"/>
    <w:rsid w:val="00086C46"/>
    <w:rsid w:val="00090672"/>
    <w:rsid w:val="000A134D"/>
    <w:rsid w:val="000A196E"/>
    <w:rsid w:val="000A4EF9"/>
    <w:rsid w:val="000A6FF9"/>
    <w:rsid w:val="000B3AD8"/>
    <w:rsid w:val="000B5776"/>
    <w:rsid w:val="000C00AD"/>
    <w:rsid w:val="000C0F54"/>
    <w:rsid w:val="000C39EC"/>
    <w:rsid w:val="000D118C"/>
    <w:rsid w:val="000D436C"/>
    <w:rsid w:val="000E00E8"/>
    <w:rsid w:val="000E4E14"/>
    <w:rsid w:val="000E59C3"/>
    <w:rsid w:val="001022DC"/>
    <w:rsid w:val="001022F3"/>
    <w:rsid w:val="001033A3"/>
    <w:rsid w:val="00103F74"/>
    <w:rsid w:val="00106A1C"/>
    <w:rsid w:val="00111EDD"/>
    <w:rsid w:val="00112ACF"/>
    <w:rsid w:val="00114D5A"/>
    <w:rsid w:val="00116F6B"/>
    <w:rsid w:val="001173D8"/>
    <w:rsid w:val="00117D55"/>
    <w:rsid w:val="0012458B"/>
    <w:rsid w:val="001253C3"/>
    <w:rsid w:val="00146F4A"/>
    <w:rsid w:val="00146FE7"/>
    <w:rsid w:val="001516EE"/>
    <w:rsid w:val="00154584"/>
    <w:rsid w:val="001560BE"/>
    <w:rsid w:val="00157795"/>
    <w:rsid w:val="00163B39"/>
    <w:rsid w:val="00167B20"/>
    <w:rsid w:val="00172D84"/>
    <w:rsid w:val="0017345D"/>
    <w:rsid w:val="00174794"/>
    <w:rsid w:val="00177E99"/>
    <w:rsid w:val="00182CD0"/>
    <w:rsid w:val="001858B5"/>
    <w:rsid w:val="00194211"/>
    <w:rsid w:val="00195385"/>
    <w:rsid w:val="001959CF"/>
    <w:rsid w:val="001A0F81"/>
    <w:rsid w:val="001A10F8"/>
    <w:rsid w:val="001A2CBC"/>
    <w:rsid w:val="001A6A35"/>
    <w:rsid w:val="001B215E"/>
    <w:rsid w:val="001B2779"/>
    <w:rsid w:val="001B6B54"/>
    <w:rsid w:val="001B7E39"/>
    <w:rsid w:val="001C04EB"/>
    <w:rsid w:val="001C782F"/>
    <w:rsid w:val="001D2215"/>
    <w:rsid w:val="001E4A05"/>
    <w:rsid w:val="001E5889"/>
    <w:rsid w:val="001E6CFE"/>
    <w:rsid w:val="001F4F90"/>
    <w:rsid w:val="001F52F4"/>
    <w:rsid w:val="001F686A"/>
    <w:rsid w:val="00201C4D"/>
    <w:rsid w:val="00202A85"/>
    <w:rsid w:val="0020681E"/>
    <w:rsid w:val="0021685C"/>
    <w:rsid w:val="00216959"/>
    <w:rsid w:val="00216EDD"/>
    <w:rsid w:val="002172CE"/>
    <w:rsid w:val="00221614"/>
    <w:rsid w:val="0022399F"/>
    <w:rsid w:val="00230702"/>
    <w:rsid w:val="00230EF2"/>
    <w:rsid w:val="002409AA"/>
    <w:rsid w:val="00243A6B"/>
    <w:rsid w:val="002458F0"/>
    <w:rsid w:val="00250BFA"/>
    <w:rsid w:val="0025548A"/>
    <w:rsid w:val="00255B4F"/>
    <w:rsid w:val="002563D8"/>
    <w:rsid w:val="0025685D"/>
    <w:rsid w:val="00256EDF"/>
    <w:rsid w:val="00256FBE"/>
    <w:rsid w:val="002578E5"/>
    <w:rsid w:val="00265BBB"/>
    <w:rsid w:val="00276482"/>
    <w:rsid w:val="002769B0"/>
    <w:rsid w:val="00283552"/>
    <w:rsid w:val="00285348"/>
    <w:rsid w:val="00296A75"/>
    <w:rsid w:val="002A2F17"/>
    <w:rsid w:val="002A4FB0"/>
    <w:rsid w:val="002B10BB"/>
    <w:rsid w:val="002B2C92"/>
    <w:rsid w:val="002B7D52"/>
    <w:rsid w:val="002D06E0"/>
    <w:rsid w:val="002D32A6"/>
    <w:rsid w:val="002D52EE"/>
    <w:rsid w:val="002D622D"/>
    <w:rsid w:val="002F0391"/>
    <w:rsid w:val="002F44C3"/>
    <w:rsid w:val="002F6026"/>
    <w:rsid w:val="002F68AE"/>
    <w:rsid w:val="003064CC"/>
    <w:rsid w:val="003064D5"/>
    <w:rsid w:val="0031529F"/>
    <w:rsid w:val="00315BFC"/>
    <w:rsid w:val="00321715"/>
    <w:rsid w:val="003225A6"/>
    <w:rsid w:val="00325886"/>
    <w:rsid w:val="00333FA3"/>
    <w:rsid w:val="0033521D"/>
    <w:rsid w:val="00341093"/>
    <w:rsid w:val="00344368"/>
    <w:rsid w:val="0035284E"/>
    <w:rsid w:val="00353BAF"/>
    <w:rsid w:val="00355EF0"/>
    <w:rsid w:val="00355FFE"/>
    <w:rsid w:val="003570FB"/>
    <w:rsid w:val="00362153"/>
    <w:rsid w:val="00362F5C"/>
    <w:rsid w:val="0036416C"/>
    <w:rsid w:val="00365F64"/>
    <w:rsid w:val="003703F9"/>
    <w:rsid w:val="00372BE4"/>
    <w:rsid w:val="003817B0"/>
    <w:rsid w:val="00387D99"/>
    <w:rsid w:val="00392AE0"/>
    <w:rsid w:val="00396F21"/>
    <w:rsid w:val="003A0CC4"/>
    <w:rsid w:val="003A7591"/>
    <w:rsid w:val="003B2803"/>
    <w:rsid w:val="003B767A"/>
    <w:rsid w:val="003B7C86"/>
    <w:rsid w:val="003C08BF"/>
    <w:rsid w:val="003C33ED"/>
    <w:rsid w:val="003C5151"/>
    <w:rsid w:val="003C7F85"/>
    <w:rsid w:val="003D518D"/>
    <w:rsid w:val="003E50AF"/>
    <w:rsid w:val="003E6A44"/>
    <w:rsid w:val="004032E3"/>
    <w:rsid w:val="0040732F"/>
    <w:rsid w:val="00411A05"/>
    <w:rsid w:val="00412857"/>
    <w:rsid w:val="0041480A"/>
    <w:rsid w:val="004160C2"/>
    <w:rsid w:val="00416628"/>
    <w:rsid w:val="00423614"/>
    <w:rsid w:val="0043630A"/>
    <w:rsid w:val="00437130"/>
    <w:rsid w:val="00450D46"/>
    <w:rsid w:val="0045236D"/>
    <w:rsid w:val="00453301"/>
    <w:rsid w:val="004539B3"/>
    <w:rsid w:val="00457659"/>
    <w:rsid w:val="00463B0B"/>
    <w:rsid w:val="004730A6"/>
    <w:rsid w:val="00474DF5"/>
    <w:rsid w:val="00476692"/>
    <w:rsid w:val="00493034"/>
    <w:rsid w:val="004962DC"/>
    <w:rsid w:val="004B60CB"/>
    <w:rsid w:val="004C7ECB"/>
    <w:rsid w:val="004D509F"/>
    <w:rsid w:val="004D5FCC"/>
    <w:rsid w:val="004D67E6"/>
    <w:rsid w:val="004E08F8"/>
    <w:rsid w:val="004E2A52"/>
    <w:rsid w:val="004F053B"/>
    <w:rsid w:val="004F2BF2"/>
    <w:rsid w:val="004F7E3D"/>
    <w:rsid w:val="005043B8"/>
    <w:rsid w:val="00505415"/>
    <w:rsid w:val="005111DE"/>
    <w:rsid w:val="00511BA1"/>
    <w:rsid w:val="005137AC"/>
    <w:rsid w:val="00517767"/>
    <w:rsid w:val="00521563"/>
    <w:rsid w:val="005320A2"/>
    <w:rsid w:val="005321C0"/>
    <w:rsid w:val="00532771"/>
    <w:rsid w:val="00533905"/>
    <w:rsid w:val="00533C54"/>
    <w:rsid w:val="0053580B"/>
    <w:rsid w:val="00537104"/>
    <w:rsid w:val="0053799A"/>
    <w:rsid w:val="0054002D"/>
    <w:rsid w:val="005435EA"/>
    <w:rsid w:val="005476D6"/>
    <w:rsid w:val="00551852"/>
    <w:rsid w:val="005541DA"/>
    <w:rsid w:val="0055695D"/>
    <w:rsid w:val="0056013A"/>
    <w:rsid w:val="0056027A"/>
    <w:rsid w:val="0056178B"/>
    <w:rsid w:val="005665D4"/>
    <w:rsid w:val="005668F3"/>
    <w:rsid w:val="0057080B"/>
    <w:rsid w:val="00571704"/>
    <w:rsid w:val="00571EE5"/>
    <w:rsid w:val="00572F16"/>
    <w:rsid w:val="00573257"/>
    <w:rsid w:val="00575149"/>
    <w:rsid w:val="005758F4"/>
    <w:rsid w:val="00575B68"/>
    <w:rsid w:val="0058226B"/>
    <w:rsid w:val="005844AF"/>
    <w:rsid w:val="00585D25"/>
    <w:rsid w:val="00590C04"/>
    <w:rsid w:val="00592598"/>
    <w:rsid w:val="005926BA"/>
    <w:rsid w:val="00592F04"/>
    <w:rsid w:val="005971E3"/>
    <w:rsid w:val="005A2978"/>
    <w:rsid w:val="005A373E"/>
    <w:rsid w:val="005A5450"/>
    <w:rsid w:val="005A7CA9"/>
    <w:rsid w:val="005B123E"/>
    <w:rsid w:val="005B161E"/>
    <w:rsid w:val="005C00DB"/>
    <w:rsid w:val="005C0BE1"/>
    <w:rsid w:val="005C77D4"/>
    <w:rsid w:val="005C7F19"/>
    <w:rsid w:val="005D2DB9"/>
    <w:rsid w:val="005D7256"/>
    <w:rsid w:val="005E441D"/>
    <w:rsid w:val="005F323C"/>
    <w:rsid w:val="005F5FFE"/>
    <w:rsid w:val="0060068B"/>
    <w:rsid w:val="006044CE"/>
    <w:rsid w:val="0060484B"/>
    <w:rsid w:val="00604E4A"/>
    <w:rsid w:val="00605B1A"/>
    <w:rsid w:val="006120AC"/>
    <w:rsid w:val="00613EA2"/>
    <w:rsid w:val="00626C62"/>
    <w:rsid w:val="006275DD"/>
    <w:rsid w:val="006276A8"/>
    <w:rsid w:val="00630CCA"/>
    <w:rsid w:val="00631B82"/>
    <w:rsid w:val="00633370"/>
    <w:rsid w:val="00642CF4"/>
    <w:rsid w:val="00644227"/>
    <w:rsid w:val="00645C0F"/>
    <w:rsid w:val="00647179"/>
    <w:rsid w:val="00650C1B"/>
    <w:rsid w:val="006513A5"/>
    <w:rsid w:val="00652496"/>
    <w:rsid w:val="00652CB9"/>
    <w:rsid w:val="00654AA4"/>
    <w:rsid w:val="00656808"/>
    <w:rsid w:val="00665746"/>
    <w:rsid w:val="0067237F"/>
    <w:rsid w:val="00672501"/>
    <w:rsid w:val="00673364"/>
    <w:rsid w:val="006733F6"/>
    <w:rsid w:val="00687F20"/>
    <w:rsid w:val="006935B9"/>
    <w:rsid w:val="00694817"/>
    <w:rsid w:val="00696723"/>
    <w:rsid w:val="006A0B89"/>
    <w:rsid w:val="006A0BBE"/>
    <w:rsid w:val="006A16D4"/>
    <w:rsid w:val="006A1CEE"/>
    <w:rsid w:val="006B2234"/>
    <w:rsid w:val="006B33E3"/>
    <w:rsid w:val="006B42E7"/>
    <w:rsid w:val="006B669F"/>
    <w:rsid w:val="006B7F94"/>
    <w:rsid w:val="006C3FF9"/>
    <w:rsid w:val="006C7E83"/>
    <w:rsid w:val="006D0732"/>
    <w:rsid w:val="006D11C4"/>
    <w:rsid w:val="006E18F6"/>
    <w:rsid w:val="006E45CF"/>
    <w:rsid w:val="006E7538"/>
    <w:rsid w:val="006F11CF"/>
    <w:rsid w:val="006F3157"/>
    <w:rsid w:val="006F5718"/>
    <w:rsid w:val="007000C5"/>
    <w:rsid w:val="00710E15"/>
    <w:rsid w:val="00711197"/>
    <w:rsid w:val="00711568"/>
    <w:rsid w:val="00712B75"/>
    <w:rsid w:val="007144A9"/>
    <w:rsid w:val="00722468"/>
    <w:rsid w:val="00723E1D"/>
    <w:rsid w:val="007348A5"/>
    <w:rsid w:val="007365C3"/>
    <w:rsid w:val="007371EC"/>
    <w:rsid w:val="007405D9"/>
    <w:rsid w:val="00743710"/>
    <w:rsid w:val="00744B6D"/>
    <w:rsid w:val="00746316"/>
    <w:rsid w:val="00755DAC"/>
    <w:rsid w:val="007624D6"/>
    <w:rsid w:val="00764227"/>
    <w:rsid w:val="00771DB7"/>
    <w:rsid w:val="007776D3"/>
    <w:rsid w:val="007778B4"/>
    <w:rsid w:val="00782B6E"/>
    <w:rsid w:val="00782F6D"/>
    <w:rsid w:val="00786E16"/>
    <w:rsid w:val="00790B98"/>
    <w:rsid w:val="00797158"/>
    <w:rsid w:val="007A661A"/>
    <w:rsid w:val="007A70AD"/>
    <w:rsid w:val="007B6DD4"/>
    <w:rsid w:val="007C1756"/>
    <w:rsid w:val="007C2BD5"/>
    <w:rsid w:val="007C3BA0"/>
    <w:rsid w:val="007D0B7D"/>
    <w:rsid w:val="007D0EAF"/>
    <w:rsid w:val="007D0F94"/>
    <w:rsid w:val="007D53A2"/>
    <w:rsid w:val="007D6472"/>
    <w:rsid w:val="007E4A40"/>
    <w:rsid w:val="008049C2"/>
    <w:rsid w:val="008073A7"/>
    <w:rsid w:val="00807A35"/>
    <w:rsid w:val="00807DED"/>
    <w:rsid w:val="00810271"/>
    <w:rsid w:val="008117F5"/>
    <w:rsid w:val="00816985"/>
    <w:rsid w:val="00817435"/>
    <w:rsid w:val="00820510"/>
    <w:rsid w:val="0082632F"/>
    <w:rsid w:val="00826B71"/>
    <w:rsid w:val="008301F4"/>
    <w:rsid w:val="00831221"/>
    <w:rsid w:val="00833125"/>
    <w:rsid w:val="00835684"/>
    <w:rsid w:val="008364C0"/>
    <w:rsid w:val="00837734"/>
    <w:rsid w:val="00841FA6"/>
    <w:rsid w:val="00847F43"/>
    <w:rsid w:val="00850878"/>
    <w:rsid w:val="00851287"/>
    <w:rsid w:val="008567F8"/>
    <w:rsid w:val="008609C6"/>
    <w:rsid w:val="00872CBB"/>
    <w:rsid w:val="00873189"/>
    <w:rsid w:val="00882EC9"/>
    <w:rsid w:val="008852CA"/>
    <w:rsid w:val="00885F68"/>
    <w:rsid w:val="00887809"/>
    <w:rsid w:val="0089020D"/>
    <w:rsid w:val="00893E0C"/>
    <w:rsid w:val="00895921"/>
    <w:rsid w:val="008A0D99"/>
    <w:rsid w:val="008A301A"/>
    <w:rsid w:val="008A441A"/>
    <w:rsid w:val="008A70CC"/>
    <w:rsid w:val="008B36EA"/>
    <w:rsid w:val="008B46A1"/>
    <w:rsid w:val="008B5BE5"/>
    <w:rsid w:val="008C49FD"/>
    <w:rsid w:val="008C546F"/>
    <w:rsid w:val="008C6237"/>
    <w:rsid w:val="008C7CEC"/>
    <w:rsid w:val="008D31B2"/>
    <w:rsid w:val="008E5B59"/>
    <w:rsid w:val="008F011B"/>
    <w:rsid w:val="008F1EBC"/>
    <w:rsid w:val="008F425D"/>
    <w:rsid w:val="008F442B"/>
    <w:rsid w:val="008F5E7F"/>
    <w:rsid w:val="008F6480"/>
    <w:rsid w:val="009037ED"/>
    <w:rsid w:val="00907498"/>
    <w:rsid w:val="00910C0B"/>
    <w:rsid w:val="00914130"/>
    <w:rsid w:val="0092008A"/>
    <w:rsid w:val="00920630"/>
    <w:rsid w:val="00924A9B"/>
    <w:rsid w:val="00925CE0"/>
    <w:rsid w:val="00933F87"/>
    <w:rsid w:val="00937047"/>
    <w:rsid w:val="0094266C"/>
    <w:rsid w:val="00943D55"/>
    <w:rsid w:val="00947E1F"/>
    <w:rsid w:val="00951EAB"/>
    <w:rsid w:val="0095235A"/>
    <w:rsid w:val="00956943"/>
    <w:rsid w:val="00956C0E"/>
    <w:rsid w:val="00960E82"/>
    <w:rsid w:val="0096130D"/>
    <w:rsid w:val="00962878"/>
    <w:rsid w:val="009663CA"/>
    <w:rsid w:val="00966F7A"/>
    <w:rsid w:val="0097478D"/>
    <w:rsid w:val="009760A2"/>
    <w:rsid w:val="00985D90"/>
    <w:rsid w:val="00986725"/>
    <w:rsid w:val="00996DA5"/>
    <w:rsid w:val="00996EED"/>
    <w:rsid w:val="00997EBE"/>
    <w:rsid w:val="009A30E3"/>
    <w:rsid w:val="009A42A1"/>
    <w:rsid w:val="009B1FB6"/>
    <w:rsid w:val="009B2A9E"/>
    <w:rsid w:val="009B4C05"/>
    <w:rsid w:val="009B6ED3"/>
    <w:rsid w:val="009C1298"/>
    <w:rsid w:val="009C29E2"/>
    <w:rsid w:val="009C6912"/>
    <w:rsid w:val="009C6E69"/>
    <w:rsid w:val="009D06D5"/>
    <w:rsid w:val="009D22ED"/>
    <w:rsid w:val="009D4550"/>
    <w:rsid w:val="009D5013"/>
    <w:rsid w:val="009E2034"/>
    <w:rsid w:val="009E27F0"/>
    <w:rsid w:val="009E2822"/>
    <w:rsid w:val="009E3209"/>
    <w:rsid w:val="009E3E51"/>
    <w:rsid w:val="009E4EB6"/>
    <w:rsid w:val="009F1430"/>
    <w:rsid w:val="00A077F4"/>
    <w:rsid w:val="00A170B0"/>
    <w:rsid w:val="00A17C82"/>
    <w:rsid w:val="00A306DD"/>
    <w:rsid w:val="00A349E3"/>
    <w:rsid w:val="00A36C0C"/>
    <w:rsid w:val="00A373A6"/>
    <w:rsid w:val="00A4563F"/>
    <w:rsid w:val="00A45CDE"/>
    <w:rsid w:val="00A45D81"/>
    <w:rsid w:val="00A46852"/>
    <w:rsid w:val="00A52087"/>
    <w:rsid w:val="00A55012"/>
    <w:rsid w:val="00A60770"/>
    <w:rsid w:val="00A62858"/>
    <w:rsid w:val="00A62D0B"/>
    <w:rsid w:val="00A66DDB"/>
    <w:rsid w:val="00A71B62"/>
    <w:rsid w:val="00A82538"/>
    <w:rsid w:val="00A838B2"/>
    <w:rsid w:val="00A840D5"/>
    <w:rsid w:val="00A900CE"/>
    <w:rsid w:val="00AA12AC"/>
    <w:rsid w:val="00AA3990"/>
    <w:rsid w:val="00AB29F5"/>
    <w:rsid w:val="00AB2A3F"/>
    <w:rsid w:val="00AB749C"/>
    <w:rsid w:val="00AC2A2C"/>
    <w:rsid w:val="00AC2E04"/>
    <w:rsid w:val="00AC4C25"/>
    <w:rsid w:val="00AC4F8D"/>
    <w:rsid w:val="00AC5373"/>
    <w:rsid w:val="00AC6B80"/>
    <w:rsid w:val="00AD0E0B"/>
    <w:rsid w:val="00AD0FA1"/>
    <w:rsid w:val="00AD132A"/>
    <w:rsid w:val="00AF1A96"/>
    <w:rsid w:val="00B00D10"/>
    <w:rsid w:val="00B05797"/>
    <w:rsid w:val="00B05AFD"/>
    <w:rsid w:val="00B14525"/>
    <w:rsid w:val="00B2421A"/>
    <w:rsid w:val="00B27F77"/>
    <w:rsid w:val="00B3303A"/>
    <w:rsid w:val="00B370C3"/>
    <w:rsid w:val="00B41231"/>
    <w:rsid w:val="00B43090"/>
    <w:rsid w:val="00B445AA"/>
    <w:rsid w:val="00B466BE"/>
    <w:rsid w:val="00B50475"/>
    <w:rsid w:val="00B52C6E"/>
    <w:rsid w:val="00B54DAC"/>
    <w:rsid w:val="00B54E86"/>
    <w:rsid w:val="00B626C6"/>
    <w:rsid w:val="00B62D95"/>
    <w:rsid w:val="00B637BA"/>
    <w:rsid w:val="00B7153F"/>
    <w:rsid w:val="00B72A6F"/>
    <w:rsid w:val="00B73323"/>
    <w:rsid w:val="00B7697A"/>
    <w:rsid w:val="00B92676"/>
    <w:rsid w:val="00B93830"/>
    <w:rsid w:val="00B96A8F"/>
    <w:rsid w:val="00BA0055"/>
    <w:rsid w:val="00BA1C77"/>
    <w:rsid w:val="00BA2266"/>
    <w:rsid w:val="00BA3DC6"/>
    <w:rsid w:val="00BA4FEC"/>
    <w:rsid w:val="00BA7AC5"/>
    <w:rsid w:val="00BB39F5"/>
    <w:rsid w:val="00BB715A"/>
    <w:rsid w:val="00BC2DF1"/>
    <w:rsid w:val="00BC39A3"/>
    <w:rsid w:val="00BC3B5D"/>
    <w:rsid w:val="00BC4099"/>
    <w:rsid w:val="00BC47E2"/>
    <w:rsid w:val="00BD1C76"/>
    <w:rsid w:val="00BD4162"/>
    <w:rsid w:val="00BD5D3D"/>
    <w:rsid w:val="00BE2E7B"/>
    <w:rsid w:val="00BF4F85"/>
    <w:rsid w:val="00BF5E87"/>
    <w:rsid w:val="00C021EC"/>
    <w:rsid w:val="00C03800"/>
    <w:rsid w:val="00C05C4A"/>
    <w:rsid w:val="00C05CBA"/>
    <w:rsid w:val="00C0655E"/>
    <w:rsid w:val="00C130AF"/>
    <w:rsid w:val="00C157E7"/>
    <w:rsid w:val="00C33C71"/>
    <w:rsid w:val="00C33D87"/>
    <w:rsid w:val="00C36A6B"/>
    <w:rsid w:val="00C5462E"/>
    <w:rsid w:val="00C60AB1"/>
    <w:rsid w:val="00C64561"/>
    <w:rsid w:val="00C72FE1"/>
    <w:rsid w:val="00C74AB4"/>
    <w:rsid w:val="00C830DD"/>
    <w:rsid w:val="00C84300"/>
    <w:rsid w:val="00C90860"/>
    <w:rsid w:val="00C92BEC"/>
    <w:rsid w:val="00C940A7"/>
    <w:rsid w:val="00C95AFF"/>
    <w:rsid w:val="00C95E62"/>
    <w:rsid w:val="00CA18E0"/>
    <w:rsid w:val="00CA50A2"/>
    <w:rsid w:val="00CC1E07"/>
    <w:rsid w:val="00CC5F51"/>
    <w:rsid w:val="00CC74BB"/>
    <w:rsid w:val="00CD2501"/>
    <w:rsid w:val="00CD611C"/>
    <w:rsid w:val="00CD6716"/>
    <w:rsid w:val="00CE556F"/>
    <w:rsid w:val="00CF0C7C"/>
    <w:rsid w:val="00CF1AE7"/>
    <w:rsid w:val="00CF597C"/>
    <w:rsid w:val="00CF5E96"/>
    <w:rsid w:val="00D0018E"/>
    <w:rsid w:val="00D012C2"/>
    <w:rsid w:val="00D02AF8"/>
    <w:rsid w:val="00D03875"/>
    <w:rsid w:val="00D03F1A"/>
    <w:rsid w:val="00D053BB"/>
    <w:rsid w:val="00D07895"/>
    <w:rsid w:val="00D07F2A"/>
    <w:rsid w:val="00D1115C"/>
    <w:rsid w:val="00D138B8"/>
    <w:rsid w:val="00D159C7"/>
    <w:rsid w:val="00D16EB3"/>
    <w:rsid w:val="00D20E7F"/>
    <w:rsid w:val="00D22346"/>
    <w:rsid w:val="00D25307"/>
    <w:rsid w:val="00D2723F"/>
    <w:rsid w:val="00D328B9"/>
    <w:rsid w:val="00D33100"/>
    <w:rsid w:val="00D34173"/>
    <w:rsid w:val="00D35194"/>
    <w:rsid w:val="00D36912"/>
    <w:rsid w:val="00D36E79"/>
    <w:rsid w:val="00D525FC"/>
    <w:rsid w:val="00D54302"/>
    <w:rsid w:val="00D55CB3"/>
    <w:rsid w:val="00D64912"/>
    <w:rsid w:val="00D66472"/>
    <w:rsid w:val="00D7264B"/>
    <w:rsid w:val="00D7299D"/>
    <w:rsid w:val="00D801B2"/>
    <w:rsid w:val="00D84A48"/>
    <w:rsid w:val="00D86E20"/>
    <w:rsid w:val="00D91730"/>
    <w:rsid w:val="00D91D32"/>
    <w:rsid w:val="00D92554"/>
    <w:rsid w:val="00D93FD8"/>
    <w:rsid w:val="00D96EC4"/>
    <w:rsid w:val="00D97FB9"/>
    <w:rsid w:val="00DA12A4"/>
    <w:rsid w:val="00DA1E50"/>
    <w:rsid w:val="00DA6B21"/>
    <w:rsid w:val="00DB6948"/>
    <w:rsid w:val="00DC30E5"/>
    <w:rsid w:val="00DC32C8"/>
    <w:rsid w:val="00DD4D29"/>
    <w:rsid w:val="00DE2D94"/>
    <w:rsid w:val="00DF393D"/>
    <w:rsid w:val="00DF7E5C"/>
    <w:rsid w:val="00E115DD"/>
    <w:rsid w:val="00E149E4"/>
    <w:rsid w:val="00E27258"/>
    <w:rsid w:val="00E30FDF"/>
    <w:rsid w:val="00E33472"/>
    <w:rsid w:val="00E36481"/>
    <w:rsid w:val="00E36D9D"/>
    <w:rsid w:val="00E575B2"/>
    <w:rsid w:val="00E60A54"/>
    <w:rsid w:val="00E64E14"/>
    <w:rsid w:val="00E66307"/>
    <w:rsid w:val="00E67B72"/>
    <w:rsid w:val="00E81505"/>
    <w:rsid w:val="00E82C9C"/>
    <w:rsid w:val="00E835E6"/>
    <w:rsid w:val="00E86E28"/>
    <w:rsid w:val="00E90E7E"/>
    <w:rsid w:val="00E90F40"/>
    <w:rsid w:val="00E95627"/>
    <w:rsid w:val="00E97F64"/>
    <w:rsid w:val="00EA2991"/>
    <w:rsid w:val="00EA3846"/>
    <w:rsid w:val="00EA54AC"/>
    <w:rsid w:val="00EA6800"/>
    <w:rsid w:val="00EB21C0"/>
    <w:rsid w:val="00EC524D"/>
    <w:rsid w:val="00EC5FAF"/>
    <w:rsid w:val="00EC6611"/>
    <w:rsid w:val="00EC6FA0"/>
    <w:rsid w:val="00ED4299"/>
    <w:rsid w:val="00ED71C1"/>
    <w:rsid w:val="00EE2261"/>
    <w:rsid w:val="00EE41DC"/>
    <w:rsid w:val="00EE518B"/>
    <w:rsid w:val="00EE5CA6"/>
    <w:rsid w:val="00EF5A47"/>
    <w:rsid w:val="00F015D5"/>
    <w:rsid w:val="00F10269"/>
    <w:rsid w:val="00F1051C"/>
    <w:rsid w:val="00F11B75"/>
    <w:rsid w:val="00F11C0B"/>
    <w:rsid w:val="00F12BAB"/>
    <w:rsid w:val="00F174B8"/>
    <w:rsid w:val="00F17952"/>
    <w:rsid w:val="00F21293"/>
    <w:rsid w:val="00F24A56"/>
    <w:rsid w:val="00F35146"/>
    <w:rsid w:val="00F35198"/>
    <w:rsid w:val="00F42BA7"/>
    <w:rsid w:val="00F436CB"/>
    <w:rsid w:val="00F50C7F"/>
    <w:rsid w:val="00F51B09"/>
    <w:rsid w:val="00F54A38"/>
    <w:rsid w:val="00F64F8C"/>
    <w:rsid w:val="00F66CC3"/>
    <w:rsid w:val="00F706B4"/>
    <w:rsid w:val="00F70C53"/>
    <w:rsid w:val="00F72876"/>
    <w:rsid w:val="00F8449F"/>
    <w:rsid w:val="00F876A0"/>
    <w:rsid w:val="00FA078B"/>
    <w:rsid w:val="00FA0E0E"/>
    <w:rsid w:val="00FB052E"/>
    <w:rsid w:val="00FD7010"/>
    <w:rsid w:val="00FD70FE"/>
    <w:rsid w:val="00FD7112"/>
    <w:rsid w:val="00FE4229"/>
    <w:rsid w:val="00FF32F8"/>
    <w:rsid w:val="00FF3DD5"/>
    <w:rsid w:val="00FF4889"/>
    <w:rsid w:val="00FF6B75"/>
    <w:rsid w:val="00FF6D12"/>
    <w:rsid w:val="01A034DE"/>
    <w:rsid w:val="03866EA3"/>
    <w:rsid w:val="06C12D41"/>
    <w:rsid w:val="06DE312C"/>
    <w:rsid w:val="07676598"/>
    <w:rsid w:val="08C624D8"/>
    <w:rsid w:val="08CC6D53"/>
    <w:rsid w:val="0959702A"/>
    <w:rsid w:val="09BE7470"/>
    <w:rsid w:val="0FF845EB"/>
    <w:rsid w:val="10A00FF5"/>
    <w:rsid w:val="12C645FF"/>
    <w:rsid w:val="12C8525B"/>
    <w:rsid w:val="12DA3C44"/>
    <w:rsid w:val="13BC1014"/>
    <w:rsid w:val="13FF0AF2"/>
    <w:rsid w:val="146F5FC6"/>
    <w:rsid w:val="14896F59"/>
    <w:rsid w:val="158F1DF2"/>
    <w:rsid w:val="19CA368C"/>
    <w:rsid w:val="1BAC09F9"/>
    <w:rsid w:val="1C6A625C"/>
    <w:rsid w:val="1E377B60"/>
    <w:rsid w:val="218F216B"/>
    <w:rsid w:val="22AA40B1"/>
    <w:rsid w:val="23171B2C"/>
    <w:rsid w:val="2373457D"/>
    <w:rsid w:val="23F35E53"/>
    <w:rsid w:val="245920FB"/>
    <w:rsid w:val="2497538A"/>
    <w:rsid w:val="254214D4"/>
    <w:rsid w:val="2568051D"/>
    <w:rsid w:val="259E6EA8"/>
    <w:rsid w:val="25F40CC0"/>
    <w:rsid w:val="261E7EBB"/>
    <w:rsid w:val="265F49CC"/>
    <w:rsid w:val="278A5AC0"/>
    <w:rsid w:val="280B44FC"/>
    <w:rsid w:val="288B565E"/>
    <w:rsid w:val="294D6CAE"/>
    <w:rsid w:val="29C571C1"/>
    <w:rsid w:val="2A140808"/>
    <w:rsid w:val="2A193DD0"/>
    <w:rsid w:val="2A2260E2"/>
    <w:rsid w:val="2A90467E"/>
    <w:rsid w:val="2BDD1132"/>
    <w:rsid w:val="2C6A1CD5"/>
    <w:rsid w:val="30CB49B6"/>
    <w:rsid w:val="313E2A08"/>
    <w:rsid w:val="318B5E2C"/>
    <w:rsid w:val="31B678FC"/>
    <w:rsid w:val="32735801"/>
    <w:rsid w:val="32D044A1"/>
    <w:rsid w:val="38C452B4"/>
    <w:rsid w:val="38F25C65"/>
    <w:rsid w:val="3E6D3263"/>
    <w:rsid w:val="3FE040E6"/>
    <w:rsid w:val="405A4328"/>
    <w:rsid w:val="40EB0011"/>
    <w:rsid w:val="421867A9"/>
    <w:rsid w:val="422818BE"/>
    <w:rsid w:val="457F7386"/>
    <w:rsid w:val="459632B1"/>
    <w:rsid w:val="467B3F0C"/>
    <w:rsid w:val="46952EE9"/>
    <w:rsid w:val="46AA1374"/>
    <w:rsid w:val="46D93F79"/>
    <w:rsid w:val="4AB606AD"/>
    <w:rsid w:val="4C7E0D7E"/>
    <w:rsid w:val="4E1F5D83"/>
    <w:rsid w:val="4E6C4F7D"/>
    <w:rsid w:val="4E774EBA"/>
    <w:rsid w:val="4F473EC5"/>
    <w:rsid w:val="4FB2667A"/>
    <w:rsid w:val="52716983"/>
    <w:rsid w:val="55DA707A"/>
    <w:rsid w:val="5B6875E8"/>
    <w:rsid w:val="5BFD3A8D"/>
    <w:rsid w:val="5DBF7909"/>
    <w:rsid w:val="5FB171DE"/>
    <w:rsid w:val="5FB708EC"/>
    <w:rsid w:val="627D4969"/>
    <w:rsid w:val="63527295"/>
    <w:rsid w:val="65C46196"/>
    <w:rsid w:val="662259F6"/>
    <w:rsid w:val="66463C36"/>
    <w:rsid w:val="66B52251"/>
    <w:rsid w:val="66D718B3"/>
    <w:rsid w:val="679D3B02"/>
    <w:rsid w:val="687F16B1"/>
    <w:rsid w:val="69495BB6"/>
    <w:rsid w:val="6C2D5D03"/>
    <w:rsid w:val="6C460179"/>
    <w:rsid w:val="6CBC2708"/>
    <w:rsid w:val="6D2E0A76"/>
    <w:rsid w:val="70596FA4"/>
    <w:rsid w:val="74A144A5"/>
    <w:rsid w:val="756904E9"/>
    <w:rsid w:val="7A1D287C"/>
    <w:rsid w:val="7A543D7B"/>
    <w:rsid w:val="7C5C7FAB"/>
    <w:rsid w:val="7CD00BDF"/>
    <w:rsid w:val="7CF610E1"/>
    <w:rsid w:val="7E6A1BD3"/>
    <w:rsid w:val="7F39127C"/>
    <w:rsid w:val="7F3C5DE5"/>
    <w:rsid w:val="7F950713"/>
    <w:rsid w:val="7FA17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E7E95"/>
  <w15:docId w15:val="{96CF9894-F38A-49D9-A59F-9166F85C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textAlignment w:val="baseline"/>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Date"/>
    <w:basedOn w:val="a"/>
    <w:next w:val="a"/>
    <w:link w:val="a6"/>
    <w:uiPriority w:val="99"/>
    <w:semiHidden/>
    <w:unhideWhenUsed/>
    <w:qFormat/>
    <w:pPr>
      <w:widowControl w:val="0"/>
      <w:ind w:leftChars="2500" w:left="100"/>
      <w:textAlignment w:val="auto"/>
    </w:pPr>
    <w:rPr>
      <w:rFonts w:asciiTheme="minorHAnsi" w:eastAsiaTheme="minorEastAsia" w:hAnsiTheme="minorHAnsi" w:cstheme="minorBidi"/>
      <w:szCs w:val="22"/>
    </w:rPr>
  </w:style>
  <w:style w:type="paragraph" w:styleId="a7">
    <w:name w:val="Balloon Text"/>
    <w:basedOn w:val="a"/>
    <w:link w:val="a8"/>
    <w:uiPriority w:val="99"/>
    <w:semiHidden/>
    <w:unhideWhenUsed/>
    <w:qFormat/>
    <w:pPr>
      <w:widowControl w:val="0"/>
      <w:textAlignment w:val="auto"/>
    </w:pPr>
    <w:rPr>
      <w:rFonts w:asciiTheme="minorHAnsi" w:eastAsiaTheme="minorEastAsia" w:hAnsiTheme="minorHAnsi" w:cstheme="minorBidi"/>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000000"/>
      </w:pBdr>
      <w:tabs>
        <w:tab w:val="center" w:pos="4153"/>
        <w:tab w:val="right" w:pos="8306"/>
      </w:tabs>
      <w:snapToGrid w:val="0"/>
      <w:jc w:val="center"/>
    </w:pPr>
    <w:rPr>
      <w:sz w:val="18"/>
      <w:szCs w:val="18"/>
    </w:rPr>
  </w:style>
  <w:style w:type="character" w:styleId="ad">
    <w:name w:val="Emphasis"/>
    <w:uiPriority w:val="20"/>
    <w:qFormat/>
    <w:rPr>
      <w:color w:val="CC0000"/>
    </w:rPr>
  </w:style>
  <w:style w:type="character" w:styleId="ae">
    <w:name w:val="Hyperlink"/>
    <w:basedOn w:val="a0"/>
    <w:uiPriority w:val="99"/>
    <w:semiHidden/>
    <w:unhideWhenUsed/>
    <w:rPr>
      <w:color w:val="0000FF"/>
      <w:u w:val="single"/>
    </w:rPr>
  </w:style>
  <w:style w:type="character" w:customStyle="1" w:styleId="NormalCharacter">
    <w:name w:val="NormalCharacter"/>
    <w:semiHidden/>
    <w:qFormat/>
  </w:style>
  <w:style w:type="table" w:customStyle="1" w:styleId="TableNormal">
    <w:name w:val="TableNormal"/>
    <w:semiHidden/>
    <w:qFormat/>
    <w:tblPr>
      <w:tblCellMar>
        <w:top w:w="0" w:type="dxa"/>
        <w:left w:w="0" w:type="dxa"/>
        <w:bottom w:w="0" w:type="dxa"/>
        <w:right w:w="0" w:type="dxa"/>
      </w:tblCellMar>
    </w:tblPr>
  </w:style>
  <w:style w:type="character" w:customStyle="1" w:styleId="PageNumber">
    <w:name w:val="PageNumber"/>
    <w:basedOn w:val="NormalCharacter"/>
    <w:qFormat/>
  </w:style>
  <w:style w:type="character" w:customStyle="1" w:styleId="UserStyle0">
    <w:name w:val="UserStyle_0"/>
    <w:link w:val="Acetate"/>
    <w:qFormat/>
    <w:rPr>
      <w:kern w:val="2"/>
      <w:sz w:val="18"/>
      <w:szCs w:val="18"/>
    </w:rPr>
  </w:style>
  <w:style w:type="paragraph" w:customStyle="1" w:styleId="Acetate">
    <w:name w:val="Acetate"/>
    <w:basedOn w:val="a"/>
    <w:link w:val="UserStyle0"/>
    <w:qFormat/>
    <w:rPr>
      <w:sz w:val="18"/>
      <w:szCs w:val="18"/>
    </w:rPr>
  </w:style>
  <w:style w:type="character" w:customStyle="1" w:styleId="ac">
    <w:name w:val="页眉 字符"/>
    <w:link w:val="ab"/>
    <w:uiPriority w:val="99"/>
    <w:qFormat/>
    <w:rPr>
      <w:kern w:val="2"/>
      <w:sz w:val="18"/>
      <w:szCs w:val="18"/>
    </w:rPr>
  </w:style>
  <w:style w:type="paragraph" w:customStyle="1" w:styleId="BodyTextIndent">
    <w:name w:val="BodyTextIndent"/>
    <w:basedOn w:val="a"/>
    <w:qFormat/>
    <w:pPr>
      <w:spacing w:after="120"/>
      <w:ind w:leftChars="200" w:left="200"/>
    </w:pPr>
    <w:rPr>
      <w:szCs w:val="20"/>
    </w:rPr>
  </w:style>
  <w:style w:type="paragraph" w:customStyle="1" w:styleId="179">
    <w:name w:val="179"/>
    <w:basedOn w:val="a"/>
    <w:qFormat/>
    <w:pPr>
      <w:ind w:firstLineChars="200" w:firstLine="420"/>
    </w:pPr>
    <w:rPr>
      <w:rFonts w:ascii="Calibri" w:hAnsi="Calibri"/>
      <w:szCs w:val="22"/>
    </w:rPr>
  </w:style>
  <w:style w:type="paragraph" w:customStyle="1" w:styleId="UserStyle2">
    <w:name w:val="UserStyle_2"/>
    <w:basedOn w:val="a"/>
    <w:qFormat/>
    <w:pPr>
      <w:tabs>
        <w:tab w:val="left" w:pos="720"/>
      </w:tabs>
      <w:ind w:left="720" w:hanging="720"/>
    </w:pPr>
    <w:rPr>
      <w:sz w:val="18"/>
      <w:szCs w:val="18"/>
    </w:rPr>
  </w:style>
  <w:style w:type="paragraph" w:customStyle="1" w:styleId="UserStyle3">
    <w:name w:val="UserStyle_3"/>
    <w:basedOn w:val="a"/>
    <w:qFormat/>
    <w:rPr>
      <w:rFonts w:ascii="仿宋_GB2312" w:eastAsia="仿宋_GB2312"/>
      <w:sz w:val="32"/>
      <w:szCs w:val="32"/>
    </w:rPr>
  </w:style>
  <w:style w:type="table" w:customStyle="1" w:styleId="TableGrid">
    <w:name w:val="TableGrid"/>
    <w:basedOn w:val="TableNormal"/>
    <w:qFormat/>
    <w:tblPr/>
  </w:style>
  <w:style w:type="character" w:customStyle="1" w:styleId="aa">
    <w:name w:val="页脚 字符"/>
    <w:basedOn w:val="a0"/>
    <w:link w:val="a9"/>
    <w:uiPriority w:val="99"/>
    <w:qFormat/>
    <w:rPr>
      <w:kern w:val="2"/>
      <w:sz w:val="18"/>
      <w:szCs w:val="18"/>
    </w:rPr>
  </w:style>
  <w:style w:type="paragraph" w:styleId="af">
    <w:name w:val="List Paragraph"/>
    <w:basedOn w:val="a"/>
    <w:uiPriority w:val="34"/>
    <w:qFormat/>
    <w:pPr>
      <w:widowControl w:val="0"/>
      <w:ind w:firstLineChars="200" w:firstLine="420"/>
      <w:textAlignment w:val="auto"/>
    </w:pPr>
    <w:rPr>
      <w:rFonts w:asciiTheme="minorHAnsi" w:eastAsiaTheme="minorEastAsia" w:hAnsiTheme="minorHAnsi" w:cstheme="minorBidi"/>
      <w:szCs w:val="22"/>
    </w:rPr>
  </w:style>
  <w:style w:type="character" w:customStyle="1" w:styleId="a6">
    <w:name w:val="日期 字符"/>
    <w:basedOn w:val="a0"/>
    <w:link w:val="a5"/>
    <w:uiPriority w:val="99"/>
    <w:semiHidden/>
    <w:qFormat/>
    <w:rPr>
      <w:rFonts w:asciiTheme="minorHAnsi" w:eastAsiaTheme="minorEastAsia" w:hAnsiTheme="minorHAnsi" w:cstheme="minorBidi"/>
      <w:kern w:val="2"/>
      <w:sz w:val="21"/>
      <w:szCs w:val="22"/>
    </w:rPr>
  </w:style>
  <w:style w:type="character" w:customStyle="1" w:styleId="a8">
    <w:name w:val="批注框文本 字符"/>
    <w:basedOn w:val="a0"/>
    <w:link w:val="a7"/>
    <w:uiPriority w:val="99"/>
    <w:semiHidden/>
    <w:qFormat/>
    <w:rPr>
      <w:rFonts w:asciiTheme="minorHAnsi" w:eastAsiaTheme="minorEastAsia" w:hAnsiTheme="minorHAnsi" w:cstheme="minorBidi"/>
      <w:kern w:val="2"/>
      <w:sz w:val="18"/>
      <w:szCs w:val="18"/>
    </w:rPr>
  </w:style>
  <w:style w:type="paragraph" w:customStyle="1" w:styleId="1">
    <w:name w:val="列表段落1"/>
    <w:basedOn w:val="a"/>
    <w:uiPriority w:val="34"/>
    <w:qFormat/>
    <w:pPr>
      <w:ind w:firstLineChars="200" w:firstLine="420"/>
    </w:pPr>
  </w:style>
  <w:style w:type="character" w:styleId="af0">
    <w:name w:val="annotation reference"/>
    <w:basedOn w:val="a0"/>
    <w:uiPriority w:val="99"/>
    <w:semiHidden/>
    <w:unhideWhenUsed/>
    <w:rsid w:val="006D0732"/>
    <w:rPr>
      <w:sz w:val="21"/>
      <w:szCs w:val="21"/>
    </w:rPr>
  </w:style>
  <w:style w:type="paragraph" w:styleId="af1">
    <w:name w:val="annotation subject"/>
    <w:basedOn w:val="a3"/>
    <w:next w:val="a3"/>
    <w:link w:val="af2"/>
    <w:uiPriority w:val="99"/>
    <w:semiHidden/>
    <w:unhideWhenUsed/>
    <w:rsid w:val="006D0732"/>
    <w:rPr>
      <w:b/>
      <w:bCs/>
    </w:rPr>
  </w:style>
  <w:style w:type="character" w:customStyle="1" w:styleId="a4">
    <w:name w:val="批注文字 字符"/>
    <w:basedOn w:val="a0"/>
    <w:link w:val="a3"/>
    <w:uiPriority w:val="99"/>
    <w:rsid w:val="006D0732"/>
    <w:rPr>
      <w:rFonts w:ascii="Times New Roman" w:eastAsia="宋体" w:hAnsi="Times New Roman"/>
      <w:kern w:val="2"/>
      <w:sz w:val="21"/>
      <w:szCs w:val="24"/>
    </w:rPr>
  </w:style>
  <w:style w:type="character" w:customStyle="1" w:styleId="af2">
    <w:name w:val="批注主题 字符"/>
    <w:basedOn w:val="a4"/>
    <w:link w:val="af1"/>
    <w:uiPriority w:val="99"/>
    <w:semiHidden/>
    <w:rsid w:val="006D0732"/>
    <w:rPr>
      <w:rFonts w:ascii="Times New Roman" w:eastAsia="宋体"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FD4E8C-A69E-47C4-9116-12F8ACBC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9</Pages>
  <Words>846</Words>
  <Characters>4824</Characters>
  <Application>Microsoft Office Word</Application>
  <DocSecurity>0</DocSecurity>
  <Lines>40</Lines>
  <Paragraphs>11</Paragraphs>
  <ScaleCrop>false</ScaleCrop>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xlh</cp:lastModifiedBy>
  <cp:revision>146</cp:revision>
  <cp:lastPrinted>2020-11-04T05:53:00Z</cp:lastPrinted>
  <dcterms:created xsi:type="dcterms:W3CDTF">2020-10-29T02:33:00Z</dcterms:created>
  <dcterms:modified xsi:type="dcterms:W3CDTF">2020-11-12T07:44:00Z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