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98AA" w14:textId="77777777" w:rsidR="00ED4DEF" w:rsidRDefault="00B5463E">
      <w:pPr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东莞市奥海科技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股份有限公司</w:t>
      </w:r>
    </w:p>
    <w:p w14:paraId="684E9111" w14:textId="77777777" w:rsidR="00ED4DEF" w:rsidRDefault="00B5463E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投资者关系活动记录表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</w:p>
    <w:p w14:paraId="292014D1" w14:textId="77777777" w:rsidR="00ED4DEF" w:rsidRDefault="00ED4DEF"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 w14:paraId="4ECB4F05" w14:textId="77777777" w:rsidR="00ED4DEF" w:rsidRDefault="00B5463E">
      <w:r>
        <w:rPr>
          <w:rFonts w:asciiTheme="minorEastAsia" w:hAnsiTheme="minorEastAsia" w:cstheme="minorEastAsia" w:hint="eastAsia"/>
          <w:b/>
          <w:bCs/>
          <w:sz w:val="24"/>
        </w:rPr>
        <w:t>股票简称：</w:t>
      </w:r>
      <w:r>
        <w:rPr>
          <w:rFonts w:asciiTheme="minorEastAsia" w:hAnsiTheme="minorEastAsia" w:cstheme="minorEastAsia" w:hint="eastAsia"/>
          <w:b/>
          <w:bCs/>
          <w:sz w:val="24"/>
        </w:rPr>
        <w:t>奥海科技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      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股票代码：</w:t>
      </w:r>
      <w:r>
        <w:rPr>
          <w:rFonts w:asciiTheme="minorEastAsia" w:hAnsiTheme="minorEastAsia" w:cstheme="minorEastAsia" w:hint="eastAsia"/>
          <w:b/>
          <w:bCs/>
          <w:sz w:val="24"/>
        </w:rPr>
        <w:t>002993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  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编号：</w:t>
      </w:r>
      <w:r>
        <w:rPr>
          <w:rFonts w:asciiTheme="minorEastAsia" w:hAnsiTheme="minorEastAsia" w:cstheme="minorEastAsia" w:hint="eastAsia"/>
          <w:b/>
          <w:bCs/>
          <w:sz w:val="24"/>
        </w:rPr>
        <w:t>2020-001</w:t>
      </w:r>
      <w:r>
        <w:rPr>
          <w:rFonts w:asciiTheme="minorEastAsia" w:hAnsiTheme="minorEastAsia" w:cstheme="minorEastAsia" w:hint="eastAsia"/>
          <w:sz w:val="24"/>
        </w:rPr>
        <w:t xml:space="preserve">   </w:t>
      </w:r>
    </w:p>
    <w:tbl>
      <w:tblPr>
        <w:tblW w:w="88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7362"/>
      </w:tblGrid>
      <w:tr w:rsidR="00ED4DEF" w14:paraId="3852C577" w14:textId="77777777">
        <w:trPr>
          <w:trHeight w:val="2012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5C63" w14:textId="77777777" w:rsidR="00ED4DEF" w:rsidRDefault="00B5463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投资者关系活动类别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3F8B" w14:textId="77777777" w:rsidR="00ED4DEF" w:rsidRDefault="00B5463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□特定对象调研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□分析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师会议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□媒体采访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□业绩说明会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□新闻发布会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□路演活动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    </w:t>
            </w:r>
          </w:p>
          <w:p w14:paraId="7CBEA1D1" w14:textId="77777777" w:rsidR="00ED4DEF" w:rsidRDefault="00B5463E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□现场参观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☑其他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  <w:t>交流会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</w:p>
        </w:tc>
      </w:tr>
      <w:tr w:rsidR="00ED4DEF" w14:paraId="18E878DF" w14:textId="77777777">
        <w:trPr>
          <w:trHeight w:val="4232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277E" w14:textId="77777777" w:rsidR="00ED4DEF" w:rsidRDefault="00B5463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参与单位名称及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人员姓名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DEEA1" w14:textId="0D98B41C" w:rsidR="00ED4DEF" w:rsidRDefault="00952476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952476">
              <w:rPr>
                <w:rFonts w:ascii="宋体" w:eastAsia="宋体" w:hAnsi="宋体" w:cs="宋体" w:hint="eastAsia"/>
                <w:sz w:val="22"/>
                <w:szCs w:val="22"/>
              </w:rPr>
              <w:t>北京成泉资本管理有限公司、北京市星石投资管理有限公司、博时基金管理有限公司、</w:t>
            </w:r>
            <w:proofErr w:type="gramStart"/>
            <w:r w:rsidRPr="00952476">
              <w:rPr>
                <w:rFonts w:ascii="宋体" w:eastAsia="宋体" w:hAnsi="宋体" w:cs="宋体" w:hint="eastAsia"/>
                <w:sz w:val="22"/>
                <w:szCs w:val="22"/>
              </w:rPr>
              <w:t>创金合</w:t>
            </w:r>
            <w:proofErr w:type="gramEnd"/>
            <w:r w:rsidRPr="00952476">
              <w:rPr>
                <w:rFonts w:ascii="宋体" w:eastAsia="宋体" w:hAnsi="宋体" w:cs="宋体" w:hint="eastAsia"/>
                <w:sz w:val="22"/>
                <w:szCs w:val="22"/>
              </w:rPr>
              <w:t>信基金管理有限公司、东北证券股份有限公司、东莞市惠丰资产管理有限公司、东莞证券股份有限公司、东吴证券股份有限公司、广发证券资产管理（广东）有限公司、国联证券股份有限公司、国</w:t>
            </w:r>
            <w:proofErr w:type="gramStart"/>
            <w:r w:rsidRPr="00952476">
              <w:rPr>
                <w:rFonts w:ascii="宋体" w:eastAsia="宋体" w:hAnsi="宋体" w:cs="宋体" w:hint="eastAsia"/>
                <w:sz w:val="22"/>
                <w:szCs w:val="22"/>
              </w:rPr>
              <w:t>投瑞银基金</w:t>
            </w:r>
            <w:proofErr w:type="gramEnd"/>
            <w:r w:rsidRPr="00952476">
              <w:rPr>
                <w:rFonts w:ascii="宋体" w:eastAsia="宋体" w:hAnsi="宋体" w:cs="宋体" w:hint="eastAsia"/>
                <w:sz w:val="22"/>
                <w:szCs w:val="22"/>
              </w:rPr>
              <w:t>管理有限公司、国信证券股份有限公司、华金证券股份有限公司、汇丰前海证券有限责任公司、深圳市罗夏资产管理有限公司、诺安基金管理有限公司、前海开源基金管理有限公司、融通基金管理有限公司、上海盘京投资管理中心（有限合伙）、上海煜德投资管理中心（有限合伙）、深圳丰岭资本管理有限公司、深圳前海行健资本管理有限公司、深圳山石基金管理有限公司、深圳市领</w:t>
            </w:r>
            <w:proofErr w:type="gramStart"/>
            <w:r w:rsidRPr="00952476">
              <w:rPr>
                <w:rFonts w:ascii="宋体" w:eastAsia="宋体" w:hAnsi="宋体" w:cs="宋体" w:hint="eastAsia"/>
                <w:sz w:val="22"/>
                <w:szCs w:val="22"/>
              </w:rPr>
              <w:t>骥</w:t>
            </w:r>
            <w:proofErr w:type="gramEnd"/>
            <w:r w:rsidRPr="00952476">
              <w:rPr>
                <w:rFonts w:ascii="宋体" w:eastAsia="宋体" w:hAnsi="宋体" w:cs="宋体" w:hint="eastAsia"/>
                <w:sz w:val="22"/>
                <w:szCs w:val="22"/>
              </w:rPr>
              <w:t>资本管理有限公司、首创证券股份有限公司、太平洋证券股份有限公司、深圳悟空投资管理有限公司、招商基金管理有限公司、招商证券股份有限公司、中国平安基金管理有限公司、中国人寿养老保险股份有限公司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</w:rPr>
              <w:t>等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</w:rPr>
              <w:t>40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</w:rPr>
              <w:t>家机构</w:t>
            </w:r>
          </w:p>
        </w:tc>
      </w:tr>
      <w:tr w:rsidR="00ED4DEF" w14:paraId="67B0C45B" w14:textId="77777777">
        <w:trPr>
          <w:trHeight w:val="743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1C972" w14:textId="77777777" w:rsidR="00ED4DEF" w:rsidRDefault="00B5463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9EA5E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2020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11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</w:tc>
      </w:tr>
      <w:tr w:rsidR="00ED4DEF" w14:paraId="10ABD20F" w14:textId="77777777">
        <w:trPr>
          <w:trHeight w:val="96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9B758" w14:textId="77777777" w:rsidR="00ED4DEF" w:rsidRDefault="00B5463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6E1C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东莞市塘厦镇迎宾大道三正半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山酒店</w:t>
            </w:r>
            <w:proofErr w:type="gramEnd"/>
          </w:p>
        </w:tc>
      </w:tr>
      <w:tr w:rsidR="00ED4DEF" w14:paraId="6956BBFD" w14:textId="77777777">
        <w:trPr>
          <w:trHeight w:val="1809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65188" w14:textId="77777777" w:rsidR="00ED4DEF" w:rsidRDefault="00B5463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公司接待人员姓名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29E34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董事会秘书蔺政先生；财务总监赵超峰先生；</w:t>
            </w:r>
          </w:p>
          <w:p w14:paraId="18CC1BE4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研发副总经理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修根先生；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投融部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总监金磊先生；</w:t>
            </w:r>
          </w:p>
        </w:tc>
      </w:tr>
      <w:tr w:rsidR="00ED4DEF" w14:paraId="7535812A" w14:textId="77777777">
        <w:trPr>
          <w:trHeight w:val="1200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6C1A9" w14:textId="77777777" w:rsidR="00ED4DEF" w:rsidRDefault="00B5463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lastRenderedPageBreak/>
              <w:t>投资者关系活动主要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内容介绍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9F047B0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活动期间谈论的主要内容如下：</w:t>
            </w:r>
          </w:p>
          <w:p w14:paraId="21FAF5DE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shd w:val="clear" w:color="auto" w:fill="FFFFFF"/>
              </w:rPr>
              <w:t>、苹果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shd w:val="clear" w:color="auto" w:fill="FFFFFF"/>
              </w:rPr>
              <w:t>取消标配充电器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shd w:val="clear" w:color="auto" w:fill="FFFFFF"/>
              </w:rPr>
              <w:t>，从技术层面来看公司近期是否会推出此部分对应功率的充电器产品？</w:t>
            </w:r>
          </w:p>
          <w:p w14:paraId="33B711B4" w14:textId="63F8F662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答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: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苹果</w:t>
            </w:r>
            <w:r w:rsidR="00417707" w:rsidRP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快</w:t>
            </w:r>
            <w:proofErr w:type="gramStart"/>
            <w:r w:rsidR="00417707" w:rsidRP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充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技术</w:t>
            </w:r>
            <w:proofErr w:type="gramEnd"/>
            <w:r w:rsidR="00417707" w:rsidRP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发展较慢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，国内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手机品牌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充电技术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迭代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、更新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和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发展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速度是非常快的，国内手机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品牌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有相应的充电协议及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产品注重充电安全和充电效率等特点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；短时间内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安卓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手机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阵营不会像苹果一样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取消标配充电器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东南亚、非洲等地区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很多用户可能是第一台智能手机，如果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取消标配充电器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，用户在使用上非常不方便，因此中低端市场短期也不会受该因素影响。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12EE7E2" w14:textId="349535BA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对于苹果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取消标配充电器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公司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已布局移速科技等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自有品牌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来应对市场变化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；同时，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公司已经成立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TOC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事业部所服务的墨菲、贝尔金等间接服务苹果的客户将迎来更多市场机会。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公司会牢牢把握智能制造的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基础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，只要有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市场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需求，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公司将迎来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更大的</w:t>
            </w:r>
            <w:r w:rsidR="00417707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机会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。</w:t>
            </w:r>
          </w:p>
          <w:p w14:paraId="4F827323" w14:textId="2B37E7EB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从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技术布局来看，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2020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年已完成从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20W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30W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45W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65W</w:t>
            </w:r>
            <w:r w:rsidR="007C44B0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等各种功率充电器产品的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研发，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苹果</w:t>
            </w:r>
            <w:r w:rsidR="007C44B0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取消手机充电器后，相应的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市场需求</w:t>
            </w:r>
            <w:r w:rsidR="007C44B0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会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释放出来，公司的产品布局也能快速切入市场。</w:t>
            </w:r>
          </w:p>
          <w:p w14:paraId="5A87DBBB" w14:textId="77777777" w:rsidR="00ED4DEF" w:rsidRDefault="00ED4DEF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  <w:shd w:val="clear" w:color="auto" w:fill="FFFFFF"/>
              </w:rPr>
            </w:pPr>
          </w:p>
          <w:p w14:paraId="290582DB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安卓标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配市场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充电器的价格空间，苹果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取消标配充电器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，是否在为无线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充电做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铺垫？</w:t>
            </w:r>
          </w:p>
          <w:p w14:paraId="5379D0F1" w14:textId="727D09B1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答：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目前安卓</w:t>
            </w:r>
            <w:r w:rsidR="00614E90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手机</w:t>
            </w:r>
            <w:proofErr w:type="gramEnd"/>
            <w:r w:rsidR="00614E90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阵营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充电器功率分布情况，</w:t>
            </w:r>
            <w:r w:rsidR="00614E90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主要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分为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10W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以下、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10W-20W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20W-40W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40W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以上；目前来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看，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10W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以内占比相对稳定，原因在于在东南亚及非洲等市场智能手机更新速度较晚，依旧在使用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10W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及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10W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以下的充电器；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10W-20W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小量下滑，原因在于国内厂商倾向于配置更高功率的充电器；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20W-40W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的量在持续上升，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40W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以上充电器虽已在市场推出，目前总占比相对较小，呈现向上增长的趋势，从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安卓市场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来看，充电功率是逐渐提升的趋势，具体的提升效果取决于电池技术及充电协议的发展</w:t>
            </w:r>
            <w:r w:rsidR="00614E90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，以及考虑</w:t>
            </w:r>
            <w:r w:rsidR="00614E90" w:rsidRPr="00614E90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产品的安全、稳定、成本等指标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。无线充电处于增量市场，与有线充电是两条不同的路径，无线充电功率也呈现上升趋势，无线充电的功率提升相对有线充电更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慢，取决于手机本身接收端的接收能力，发展相对比较缓慢；无线充电与有线充电是不同的体验，有线充电在于充电速度体验，无线充电</w:t>
            </w:r>
            <w:r w:rsidR="00F450B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侧重于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使用</w:t>
            </w:r>
            <w:r w:rsidR="00F450B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感官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体验。</w:t>
            </w:r>
          </w:p>
          <w:p w14:paraId="03518F09" w14:textId="5214D7C0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随着公司充电器产品功率的增加，公司的毛利率和单价会增加，公司三季度毛利率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创</w:t>
            </w:r>
            <w:r w:rsidR="00972F3F">
              <w:rPr>
                <w:rFonts w:ascii="宋体" w:eastAsia="宋体" w:hAnsi="宋体" w:cs="宋体" w:hint="eastAsia"/>
                <w:sz w:val="22"/>
                <w:szCs w:val="22"/>
              </w:rPr>
              <w:t>阶段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新高，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主要是由于公司充电器产品结构的提升及优化，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产品在持续升级，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高功率的充电器数量占比越来越大，提升了公司毛利率。</w:t>
            </w:r>
          </w:p>
          <w:p w14:paraId="6AE90BCE" w14:textId="3363D9F8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从原来的普通充电器延伸到快速充电器的周期在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5-8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年左右，快速充电器从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2013/2014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年开始逐渐应用并普及；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2018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年开始出现</w:t>
            </w:r>
            <w:r w:rsidR="009578CC" w:rsidRPr="009578CC">
              <w:rPr>
                <w:rFonts w:ascii="宋体" w:eastAsia="宋体" w:hAnsi="宋体" w:cs="宋体" w:hint="eastAsia"/>
                <w:sz w:val="22"/>
                <w:szCs w:val="22"/>
              </w:rPr>
              <w:t>高压直充技术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，未来几年作为主要竞争点，预计会有</w:t>
            </w:r>
            <w:r w:rsidR="005E65E9">
              <w:rPr>
                <w:rFonts w:ascii="宋体" w:eastAsia="宋体" w:hAnsi="宋体" w:cs="宋体" w:hint="eastAsia"/>
                <w:sz w:val="22"/>
                <w:szCs w:val="22"/>
              </w:rPr>
              <w:t>更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大市场；近期出现的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PD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快充概念，</w:t>
            </w:r>
            <w:r w:rsidR="005E65E9">
              <w:rPr>
                <w:rFonts w:ascii="宋体" w:eastAsia="宋体" w:hAnsi="宋体" w:cs="宋体" w:hint="eastAsia"/>
                <w:sz w:val="22"/>
                <w:szCs w:val="22"/>
              </w:rPr>
              <w:t>开启快充新时代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，整个产品更新周期在也会在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5-8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年左右。根据公司的产品布局、前期研发及市场预测和判断来看，公司已做好充分的准备随时应对市场的到来；同时，随着功率段的提升，会迎来下一阶段的市场需求爆量。</w:t>
            </w:r>
          </w:p>
          <w:p w14:paraId="0976DF3E" w14:textId="77777777" w:rsidR="00ED4DEF" w:rsidRDefault="00ED4DEF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305F0C3D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、第三代半导体氮化镓出现，是否改变充电器行业竞争格局？目前氮化镓技术的渗透率是怎么样的？</w:t>
            </w:r>
          </w:p>
          <w:p w14:paraId="49655B46" w14:textId="01C56EAD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第三代半导体（氮化镓、氮化硅）只是充电器里面的一个器件，功能是取代之前的硅半导体，从器件本身来说是不会改变整个充电器的格局；从材料本身来说，第三代半导体确实相对第二代半导体硅更有优势的地方，逐渐切入试用的可能。目前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，公司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有在氮化镓充电器方面的研发，现阶段考虑到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市场标配和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成本的因素，没有大面积推广；第三代半导体是一个发展趋势，短时间内还是硅半导体为主。</w:t>
            </w:r>
          </w:p>
          <w:p w14:paraId="506B6179" w14:textId="77777777" w:rsidR="00ED4DEF" w:rsidRDefault="00ED4DEF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42873F04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、奥海科技目前市场占有率为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10%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，预计未来三年的市场占有率目标是多少，提高的占有率主要会体现在哪个功率段？</w:t>
            </w:r>
          </w:p>
          <w:p w14:paraId="5989510C" w14:textId="669F4EBC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答：关于未来市场占有率数据请关注公司后续公告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。目前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来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看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，整个功率段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10W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以下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产品占比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30%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左右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,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10W-20W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产品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占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比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40%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左右，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20W-40W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产品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占比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25%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左右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，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40W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以上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产品占比5%左右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；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未来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几年，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10W以下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产品会相对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稳定，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10W-20W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产品会</w:t>
            </w:r>
            <w:r w:rsidR="009578CC">
              <w:rPr>
                <w:rFonts w:ascii="宋体" w:eastAsia="宋体" w:hAnsi="宋体" w:cs="宋体" w:hint="eastAsia"/>
                <w:sz w:val="22"/>
                <w:szCs w:val="22"/>
              </w:rPr>
              <w:t>有所减少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20W-40W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及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40W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以上（高端市场）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产品会随着市场需求变化而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增加。</w:t>
            </w:r>
          </w:p>
          <w:p w14:paraId="03F715FA" w14:textId="77777777" w:rsidR="00ED4DEF" w:rsidRPr="009578CC" w:rsidRDefault="00ED4DEF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3912B86A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、三季度报中的营业收入主要体现在哪个部分？以及发展的方向和发展方向？</w:t>
            </w:r>
          </w:p>
          <w:p w14:paraId="1E3994E0" w14:textId="089C825A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答：公司以智能制造为基础，以技术为本，同时延续品牌战略，以充储电系统解决方案技术为支点，成为智能便携能源行业的领航者。业务主要是围绕小功率充电领域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为支点，随着市场变化和客户需求以及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客户储备和市场判断来做调整，目前主要以小功率为主，非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手机板块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业务占比也在逐渐增加。</w:t>
            </w:r>
          </w:p>
          <w:p w14:paraId="22110B1A" w14:textId="77777777" w:rsidR="00ED4DEF" w:rsidRPr="009578CC" w:rsidRDefault="00ED4DEF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02E3A0FE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、对于氮化镓产品，奥海科技是否已经研发并达到相关要求，是否仅因考虑成本而未量产布局？</w:t>
            </w:r>
          </w:p>
          <w:p w14:paraId="71A3DAC1" w14:textId="77777777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答：是的，公司已有多款氮化镓产品，有专门团队投入重点研究，主要以品牌客户端的接受程度（新材料及成本），品牌客户处于观望状态，目前公司已完成产品布局，但并未很大面积的推广。</w:t>
            </w:r>
          </w:p>
          <w:p w14:paraId="360C1DF2" w14:textId="77777777" w:rsidR="00ED4DEF" w:rsidRDefault="00ED4DEF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09E592D3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、智能物联、智能家居等板块，是否有相关数据支撑？</w:t>
            </w:r>
          </w:p>
          <w:p w14:paraId="473E6E30" w14:textId="77BE9880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</w:t>
            </w:r>
            <w:r w:rsidR="0033075D">
              <w:rPr>
                <w:rFonts w:ascii="宋体" w:eastAsia="宋体" w:hAnsi="宋体" w:cs="宋体" w:hint="eastAsia"/>
                <w:sz w:val="22"/>
                <w:szCs w:val="22"/>
              </w:rPr>
              <w:t>目前，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手机端占大部分，目前以快充为主，</w:t>
            </w:r>
            <w:r w:rsidR="0033075D">
              <w:rPr>
                <w:rFonts w:ascii="宋体" w:eastAsia="宋体" w:hAnsi="宋体" w:cs="宋体" w:hint="eastAsia"/>
                <w:sz w:val="22"/>
                <w:szCs w:val="22"/>
              </w:rPr>
              <w:t>同时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产品在升级迭代</w:t>
            </w:r>
            <w:r w:rsidR="0033075D">
              <w:rPr>
                <w:rFonts w:ascii="宋体" w:eastAsia="宋体" w:hAnsi="宋体" w:cs="宋体" w:hint="eastAsia"/>
                <w:sz w:val="22"/>
                <w:szCs w:val="22"/>
              </w:rPr>
              <w:t>；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非手机领域，在保持手机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端业务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的同时，伴随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5G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时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代的来临，物联网、智能家居等行业会迎来进一步的发展。</w:t>
            </w:r>
          </w:p>
          <w:p w14:paraId="4115F07E" w14:textId="77777777" w:rsidR="00ED4DEF" w:rsidRDefault="00ED4DEF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01B7EF70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、不同客户群体（手机品牌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inbox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客户群、充电器代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工客户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群）的占比？</w:t>
            </w:r>
          </w:p>
          <w:p w14:paraId="0869511D" w14:textId="2B384C8F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答：从前五大客户看，占比</w:t>
            </w:r>
            <w:r w:rsidR="0033075D">
              <w:rPr>
                <w:rFonts w:ascii="宋体" w:eastAsia="宋体" w:hAnsi="宋体" w:cs="宋体" w:hint="eastAsia"/>
                <w:sz w:val="22"/>
                <w:szCs w:val="22"/>
              </w:rPr>
              <w:t>是在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逐渐在提升</w:t>
            </w:r>
            <w:r w:rsidR="0033075D">
              <w:rPr>
                <w:rFonts w:ascii="宋体" w:eastAsia="宋体" w:hAnsi="宋体" w:cs="宋体" w:hint="eastAsia"/>
                <w:sz w:val="22"/>
                <w:szCs w:val="22"/>
              </w:rPr>
              <w:t>的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，我们从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2017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年的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30%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一直到目前的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60%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多，从合作的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手机板块前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几大客户来看，没有发生重大变化，相对稳定。</w:t>
            </w:r>
          </w:p>
          <w:p w14:paraId="4B598C92" w14:textId="77777777" w:rsidR="00ED4DEF" w:rsidRDefault="00ED4DEF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45728F00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、奥海科技推出自己的品牌充电器，是否与奥海科技部分客户群体存在竞争关系？</w:t>
            </w:r>
          </w:p>
          <w:p w14:paraId="56E4D8FA" w14:textId="25AD8E5F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答：对于整个产品零售市场容量较大，不同的品牌定位和营销策略满足不同的客户群，目前来看，公司服务的非手机端（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I</w:t>
            </w:r>
            <w:r w:rsidR="00BE4408">
              <w:rPr>
                <w:rFonts w:ascii="宋体" w:eastAsia="宋体" w:hAnsi="宋体" w:cs="宋体" w:hint="eastAsia"/>
                <w:sz w:val="22"/>
                <w:szCs w:val="22"/>
              </w:rPr>
              <w:t>o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T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）客户及海外客户定位（如贝尔金、墨菲等）偏向高端。对于零售市场</w:t>
            </w:r>
            <w:r w:rsidR="00BE4408">
              <w:rPr>
                <w:rFonts w:ascii="宋体" w:eastAsia="宋体" w:hAnsi="宋体" w:cs="宋体" w:hint="eastAsia"/>
                <w:sz w:val="22"/>
                <w:szCs w:val="22"/>
              </w:rPr>
              <w:t>，公司</w:t>
            </w:r>
            <w:proofErr w:type="gramStart"/>
            <w:r w:rsidR="00BE4408">
              <w:rPr>
                <w:rFonts w:ascii="宋体" w:eastAsia="宋体" w:hAnsi="宋体" w:cs="宋体" w:hint="eastAsia"/>
                <w:sz w:val="22"/>
                <w:szCs w:val="22"/>
              </w:rPr>
              <w:t>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客户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需求和品牌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定位做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前期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考量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，不会与公司合作的品牌客户产生正面交锋。</w:t>
            </w:r>
          </w:p>
          <w:p w14:paraId="3DC0ED5A" w14:textId="77777777" w:rsidR="0033075D" w:rsidRDefault="0033075D">
            <w:pPr>
              <w:spacing w:line="360" w:lineRule="auto"/>
              <w:ind w:firstLineChars="200" w:firstLine="440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  <w:p w14:paraId="2464D0D4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、目前奥海科技布局的品牌渠道是否仅针对国内布局？</w:t>
            </w:r>
          </w:p>
          <w:p w14:paraId="4AAC1EF8" w14:textId="77777777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答：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在品牌渠道方面，奥海科技对国内国外市场均有布局，从目前线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上渠道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来看，国内国外的渠道区分是比较模糊的，从行业角度来说，奥海科技主要考虑先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从中下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产品端的市场份额，这部分其实也是包含国内和国外的。</w:t>
            </w:r>
          </w:p>
          <w:p w14:paraId="482CF4A6" w14:textId="77777777" w:rsidR="00ED4DEF" w:rsidRDefault="00ED4DEF">
            <w:pPr>
              <w:spacing w:line="360" w:lineRule="auto"/>
              <w:ind w:left="315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7FB25500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、品牌客户是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否对奥海科技有价格层面的压力？</w:t>
            </w:r>
          </w:p>
          <w:p w14:paraId="7773D2E3" w14:textId="44E305A2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</w:t>
            </w:r>
            <w:r w:rsidR="00BE4408">
              <w:rPr>
                <w:rFonts w:ascii="宋体" w:eastAsia="宋体" w:hAnsi="宋体" w:cs="宋体" w:hint="eastAsia"/>
                <w:sz w:val="22"/>
                <w:szCs w:val="22"/>
              </w:rPr>
              <w:t>从供应上游，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公司一方面通过主动与核心元器件供应商建立长期战略合作，来保持供应稳定及性价比的产品；另一方面，公司主动研究市场和供应趋势，对于一些被动元器件，在涨价之前会做必要的存货应对。</w:t>
            </w:r>
          </w:p>
          <w:p w14:paraId="316E5244" w14:textId="14F0EDA7" w:rsidR="00ED4DEF" w:rsidRDefault="00BE4408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从供应产品，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充电器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对整个手机产品的价格敏感度不会很大，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充电器成本相对于手机成本来说，占比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较低，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充电器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对整个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手机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的价格的影响是微乎其微的。奥海科技的产品是根据项目来定义的，每个产品的定价都会根据前期的接洽、研发，到最后的推向市场，根据客户不同的型号对应不同的产品，所以对具体的项目、具体的产品，奥海科技会有不同的定价策略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。</w:t>
            </w:r>
          </w:p>
          <w:p w14:paraId="7056C1A8" w14:textId="77777777" w:rsidR="00ED4DEF" w:rsidRDefault="00ED4DEF">
            <w:pPr>
              <w:spacing w:line="360" w:lineRule="auto"/>
              <w:ind w:left="315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4B504AC2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、同种功率、性能的产品，每年是否会有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5-10%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的降价幅度？</w:t>
            </w:r>
          </w:p>
          <w:p w14:paraId="6250D0B6" w14:textId="11190B16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</w:rPr>
              <w:t>行业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有这个现象。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具体降价情况也要根据公司与客户合作的项目及产品情况。</w:t>
            </w:r>
          </w:p>
          <w:p w14:paraId="5163C6F5" w14:textId="77777777" w:rsidR="00ED4DEF" w:rsidRDefault="00ED4DEF">
            <w:pPr>
              <w:spacing w:line="360" w:lineRule="auto"/>
              <w:ind w:left="315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7BD493F8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、高功率产品（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60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65W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等）是否已具备研发量产能力，是否品牌客户尚未大批量出货？</w:t>
            </w:r>
          </w:p>
          <w:p w14:paraId="253D91AC" w14:textId="11774731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具备研发量产能力，并且大部分已经量产出货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。</w:t>
            </w:r>
          </w:p>
          <w:p w14:paraId="460A41A2" w14:textId="77777777" w:rsidR="00ED4DEF" w:rsidRDefault="00ED4DEF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1284CF01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、奥海科技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对于品牌客户群体、第三方客户群体的利润情况区别？募集资金的扩产项目明后年状况，扩产的产能何时能够完成及是否有订单满足？</w:t>
            </w:r>
          </w:p>
          <w:p w14:paraId="4D70BFBC" w14:textId="4BEBF5FC" w:rsidR="00313F7C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品牌厂商或第三方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合作的利润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没有明确孰高孰低，主要看不同的客户结构、产品结构，不同客户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对产品的性能具体要求不同，产品定价是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考量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各种综合因素的（出货量、成熟度、开发的难度等）。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TOB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客户在整个产品的开发参与度上是会明显高于所谓的第三方客户，正常情况下，第三方客户（墨菲、贝尔金等），在产品技术本身，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参与度较低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，此类客户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注重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品牌和渠道，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lastRenderedPageBreak/>
              <w:t>奥海科技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注重研发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技术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并推进产品的量产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，在这个角度来讲，这方面的定价是会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相对高一点。</w:t>
            </w:r>
          </w:p>
          <w:p w14:paraId="0C06031A" w14:textId="4AC3549E" w:rsidR="00ED4DEF" w:rsidRDefault="00313F7C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公司最大的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募投项目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布局较早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，相应的进度可以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通过公告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查阅。智能终端配件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(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塘厦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)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生产项目已可以实现量产，争取明年上半年达产；无线充电器及智能快充生产线建设项目，智能快充生产线已提前做规划，预估明年上半年也可以正常投入使用和产出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；无线充电器项目也在规划建设和实施中。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海外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市场，公司主要以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自有资金提升产能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，目前</w:t>
            </w:r>
            <w:r w:rsidR="00B5463E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也有相关的规划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。</w:t>
            </w:r>
          </w:p>
          <w:p w14:paraId="5DB1B697" w14:textId="77777777" w:rsidR="00ED4DEF" w:rsidRPr="00313F7C" w:rsidRDefault="00ED4DEF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05B696E6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15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、奥海科技披露的信息，华为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2019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年度营业收入占比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15%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，针对目前的形势，如这部分需求衰退，奥海科技是否可以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化解掉此部分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的营业收入缺失？</w:t>
            </w:r>
          </w:p>
          <w:p w14:paraId="48C7B971" w14:textId="4D3D8389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品牌产品竞争比较激烈，消费者对手机产品的需求是存在的，手机市场需求是不会大幅减少的</w:t>
            </w:r>
            <w:r w:rsidR="002B1DED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；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各品牌手机的市场份额是此消彼长的</w:t>
            </w:r>
            <w:r w:rsidR="002B1DED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</w:t>
            </w:r>
            <w:r w:rsidR="00313F7C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公司与诸多品牌手机建立了稳定的合作关系，</w:t>
            </w:r>
            <w:r w:rsidR="002B1DED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因此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充电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器需求是充足的，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实质</w:t>
            </w:r>
            <w:r w:rsidR="002B1DED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上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对</w:t>
            </w:r>
            <w:r w:rsidR="002B1DED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公司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的影响是不大的。</w:t>
            </w:r>
          </w:p>
          <w:p w14:paraId="3121ED42" w14:textId="77777777" w:rsidR="00ED4DEF" w:rsidRDefault="00ED4DEF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7D97C235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16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、奥海科技供华为产品及荣耀产品占比、产品功率情况？</w:t>
            </w:r>
          </w:p>
          <w:p w14:paraId="4202652A" w14:textId="05728960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针对华为客户</w:t>
            </w:r>
            <w:r w:rsidR="002B1DED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，公司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没有细分到华为产品、荣耀产品的营收占比</w:t>
            </w:r>
            <w:r w:rsidR="002B1DED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；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产品功率方面，</w:t>
            </w:r>
            <w:r w:rsidR="00BD7C64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目前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供华为产品大部分为高功率充电器产品。</w:t>
            </w:r>
          </w:p>
          <w:p w14:paraId="70EFC41D" w14:textId="77777777" w:rsidR="00ED4DEF" w:rsidRDefault="00ED4DEF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39436DCB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17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、苹果不标配充电器的举措，是否意味着充电器市场往无线充、高端产品方向发展？</w:t>
            </w:r>
          </w:p>
          <w:p w14:paraId="6AD7D5E4" w14:textId="73650751" w:rsidR="00ED4DEF" w:rsidRDefault="00B5463E">
            <w:pPr>
              <w:spacing w:line="360" w:lineRule="auto"/>
              <w:ind w:firstLineChars="200" w:firstLine="4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答：</w:t>
            </w:r>
            <w:r w:rsidR="002B1DED">
              <w:rPr>
                <w:rFonts w:ascii="宋体" w:eastAsia="宋体" w:hAnsi="宋体" w:cs="宋体" w:hint="eastAsia"/>
                <w:sz w:val="22"/>
                <w:szCs w:val="22"/>
              </w:rPr>
              <w:t>首先，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奥海科技在无线充电方面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有充足的准备，拓展更多的应用领域</w:t>
            </w:r>
            <w:r w:rsidR="00BD7C64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；</w:t>
            </w:r>
            <w:r w:rsidR="002B1DED"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其次，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充电器运用的场景越来越多，因此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充电器的市场需求</w:t>
            </w:r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不会有很大的减弱，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安卓手机短期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  <w:shd w:val="clear" w:color="auto" w:fill="FFFFFF"/>
              </w:rPr>
              <w:t>内应该不会取消充电器的标配。</w:t>
            </w:r>
          </w:p>
        </w:tc>
      </w:tr>
      <w:tr w:rsidR="00ED4DEF" w14:paraId="3E8D7E02" w14:textId="77777777">
        <w:trPr>
          <w:trHeight w:val="761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137C" w14:textId="77777777" w:rsidR="00ED4DEF" w:rsidRDefault="00B5463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lastRenderedPageBreak/>
              <w:t>附件清单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如有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D2CD4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无</w:t>
            </w:r>
          </w:p>
        </w:tc>
      </w:tr>
      <w:tr w:rsidR="00ED4DEF" w14:paraId="20A8BBD1" w14:textId="77777777">
        <w:trPr>
          <w:trHeight w:val="569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E705" w14:textId="77777777" w:rsidR="00ED4DEF" w:rsidRDefault="00B5463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691EA" w14:textId="77777777" w:rsidR="00ED4DEF" w:rsidRDefault="00B5463E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2020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11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16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</w:p>
        </w:tc>
      </w:tr>
    </w:tbl>
    <w:p w14:paraId="0439F382" w14:textId="77777777" w:rsidR="00ED4DEF" w:rsidRDefault="00ED4DEF">
      <w:pPr>
        <w:jc w:val="left"/>
      </w:pPr>
    </w:p>
    <w:sectPr w:rsidR="00ED4DE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EB897" w14:textId="77777777" w:rsidR="00B5463E" w:rsidRDefault="00B5463E">
      <w:r>
        <w:separator/>
      </w:r>
    </w:p>
  </w:endnote>
  <w:endnote w:type="continuationSeparator" w:id="0">
    <w:p w14:paraId="316638D1" w14:textId="77777777" w:rsidR="00B5463E" w:rsidRDefault="00B5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5E282" w14:textId="77777777" w:rsidR="00B5463E" w:rsidRDefault="00B5463E">
      <w:r>
        <w:separator/>
      </w:r>
    </w:p>
  </w:footnote>
  <w:footnote w:type="continuationSeparator" w:id="0">
    <w:p w14:paraId="65D25381" w14:textId="77777777" w:rsidR="00B5463E" w:rsidRDefault="00B5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59D69" w14:textId="77777777" w:rsidR="00ED4DEF" w:rsidRDefault="00B5463E">
    <w:pPr>
      <w:pStyle w:val="a4"/>
      <w:pBdr>
        <w:bottom w:val="single" w:sz="4" w:space="1" w:color="auto"/>
      </w:pBdr>
    </w:pPr>
    <w:r>
      <w:rPr>
        <w:rFonts w:hint="eastAsia"/>
      </w:rPr>
      <w:t>东莞市奥海科技股份有限公司</w:t>
    </w:r>
    <w:r>
      <w:rPr>
        <w:rFonts w:hint="eastAsia"/>
      </w:rPr>
      <w:t xml:space="preserve">                                              </w:t>
    </w:r>
    <w:r>
      <w:rPr>
        <w:rFonts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A62C7D"/>
    <w:rsid w:val="002B1DED"/>
    <w:rsid w:val="00313F7C"/>
    <w:rsid w:val="0033075D"/>
    <w:rsid w:val="00417707"/>
    <w:rsid w:val="005E65E9"/>
    <w:rsid w:val="00614E90"/>
    <w:rsid w:val="007C44B0"/>
    <w:rsid w:val="00952476"/>
    <w:rsid w:val="009578CC"/>
    <w:rsid w:val="00972F3F"/>
    <w:rsid w:val="00B5463E"/>
    <w:rsid w:val="00BD7C64"/>
    <w:rsid w:val="00BE4408"/>
    <w:rsid w:val="00CA0267"/>
    <w:rsid w:val="00ED4DEF"/>
    <w:rsid w:val="00F450BE"/>
    <w:rsid w:val="023D15CF"/>
    <w:rsid w:val="05047E3B"/>
    <w:rsid w:val="081D0CF2"/>
    <w:rsid w:val="0D774DB5"/>
    <w:rsid w:val="1874043B"/>
    <w:rsid w:val="197D6FEE"/>
    <w:rsid w:val="1F7547B8"/>
    <w:rsid w:val="241E29A3"/>
    <w:rsid w:val="2A297287"/>
    <w:rsid w:val="2CFB7B4F"/>
    <w:rsid w:val="33A62C7D"/>
    <w:rsid w:val="40262B37"/>
    <w:rsid w:val="439963DB"/>
    <w:rsid w:val="43A3705D"/>
    <w:rsid w:val="43E3345A"/>
    <w:rsid w:val="58E635E6"/>
    <w:rsid w:val="62085C6F"/>
    <w:rsid w:val="6DAF0FA6"/>
    <w:rsid w:val="6FD8103C"/>
    <w:rsid w:val="76BE4A1C"/>
    <w:rsid w:val="780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C6587"/>
  <w15:docId w15:val="{24945040-CD66-4478-A8A0-35EEEA53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小虎</dc:creator>
  <cp:lastModifiedBy>帅 哥</cp:lastModifiedBy>
  <cp:revision>11</cp:revision>
  <dcterms:created xsi:type="dcterms:W3CDTF">2020-06-30T13:37:00Z</dcterms:created>
  <dcterms:modified xsi:type="dcterms:W3CDTF">2020-11-16T17:12:00Z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