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eastAsia="宋体" w:cs="宋体"/>
          <w:b/>
          <w:bCs w:val="0"/>
          <w:iCs/>
          <w:color w:val="000000"/>
          <w:sz w:val="24"/>
          <w:lang w:val="en-US" w:eastAsia="zh-CN"/>
        </w:rPr>
      </w:pPr>
      <w:bookmarkStart w:id="0" w:name="_GoBack"/>
      <w:bookmarkEnd w:id="0"/>
      <w:r>
        <w:rPr>
          <w:rFonts w:hint="eastAsia" w:ascii="宋体" w:hAnsi="宋体" w:eastAsia="宋体" w:cs="宋体"/>
          <w:b/>
          <w:bCs w:val="0"/>
          <w:iCs/>
          <w:color w:val="000000"/>
          <w:sz w:val="24"/>
        </w:rPr>
        <w:t xml:space="preserve">证券代码：000902        </w:t>
      </w:r>
      <w:r>
        <w:rPr>
          <w:rFonts w:hint="eastAsia" w:ascii="宋体" w:hAnsi="宋体" w:eastAsia="宋体" w:cs="宋体"/>
          <w:b/>
          <w:bCs w:val="0"/>
          <w:iCs/>
          <w:color w:val="000000"/>
          <w:sz w:val="24"/>
          <w:lang w:val="en-US" w:eastAsia="zh-CN"/>
        </w:rPr>
        <w:t xml:space="preserve">    </w:t>
      </w:r>
      <w:r>
        <w:rPr>
          <w:rFonts w:hint="eastAsia" w:ascii="宋体" w:hAnsi="宋体" w:eastAsia="宋体" w:cs="宋体"/>
          <w:b/>
          <w:bCs w:val="0"/>
          <w:iCs/>
          <w:color w:val="000000"/>
          <w:sz w:val="24"/>
        </w:rPr>
        <w:t xml:space="preserve"> 证券简称：新洋丰</w:t>
      </w:r>
      <w:r>
        <w:rPr>
          <w:rFonts w:hint="eastAsia" w:ascii="宋体" w:hAnsi="宋体" w:eastAsia="宋体" w:cs="宋体"/>
          <w:b/>
          <w:bCs w:val="0"/>
          <w:iCs/>
          <w:color w:val="000000"/>
          <w:sz w:val="24"/>
          <w:lang w:val="en-US" w:eastAsia="zh-CN"/>
        </w:rPr>
        <w:t xml:space="preserve">       </w:t>
      </w:r>
      <w:r>
        <w:rPr>
          <w:rFonts w:hint="eastAsia" w:ascii="宋体" w:hAnsi="宋体" w:eastAsia="宋体" w:cs="宋体"/>
          <w:b/>
          <w:bCs w:val="0"/>
          <w:iCs/>
          <w:color w:val="000000"/>
          <w:sz w:val="24"/>
        </w:rPr>
        <w:t xml:space="preserve"> 编号：2020-</w:t>
      </w:r>
      <w:r>
        <w:rPr>
          <w:rFonts w:hint="eastAsia" w:ascii="宋体" w:hAnsi="宋体" w:eastAsia="宋体" w:cs="宋体"/>
          <w:b/>
          <w:bCs w:val="0"/>
          <w:iCs/>
          <w:color w:val="000000"/>
          <w:sz w:val="24"/>
          <w:lang w:val="en-US" w:eastAsia="zh-CN"/>
        </w:rPr>
        <w:t>07</w:t>
      </w:r>
    </w:p>
    <w:p>
      <w:pPr>
        <w:spacing w:before="156" w:beforeLines="50" w:after="156" w:afterLines="50" w:line="400" w:lineRule="exact"/>
        <w:rPr>
          <w:rFonts w:hint="default" w:eastAsia="宋体"/>
          <w:bCs/>
          <w:iCs/>
          <w:color w:val="000000"/>
          <w:sz w:val="24"/>
          <w:lang w:val="en-US" w:eastAsia="zh-CN"/>
        </w:rPr>
      </w:pPr>
    </w:p>
    <w:p>
      <w:pPr>
        <w:spacing w:before="156" w:beforeLines="50" w:after="156" w:afterLines="50" w:line="400" w:lineRule="exact"/>
        <w:jc w:val="center"/>
        <w:rPr>
          <w:rFonts w:hint="eastAsia"/>
          <w:b/>
          <w:bCs/>
          <w:iCs/>
          <w:color w:val="000000"/>
          <w:sz w:val="32"/>
          <w:szCs w:val="32"/>
        </w:rPr>
      </w:pPr>
      <w:r>
        <w:rPr>
          <w:rFonts w:hint="eastAsia"/>
          <w:b/>
          <w:bCs/>
          <w:iCs/>
          <w:color w:val="000000"/>
          <w:sz w:val="32"/>
          <w:szCs w:val="32"/>
        </w:rPr>
        <w:t>新洋丰农业科技股份有限公司</w:t>
      </w:r>
    </w:p>
    <w:p>
      <w:pPr>
        <w:spacing w:before="156" w:beforeLines="50" w:after="156" w:afterLines="50" w:line="400" w:lineRule="exact"/>
        <w:jc w:val="center"/>
        <w:rPr>
          <w:b/>
          <w:bCs/>
          <w:iCs/>
          <w:color w:val="000000"/>
          <w:sz w:val="32"/>
          <w:szCs w:val="32"/>
        </w:rPr>
      </w:pPr>
      <w:r>
        <w:rPr>
          <w:rFonts w:hint="eastAsia"/>
          <w:b/>
          <w:bCs/>
          <w:iCs/>
          <w:color w:val="000000"/>
          <w:sz w:val="32"/>
          <w:szCs w:val="32"/>
          <w:lang w:val="en-US" w:eastAsia="zh-CN"/>
        </w:rPr>
        <w:t>2020年11月16-17日</w:t>
      </w:r>
      <w:r>
        <w:rPr>
          <w:rFonts w:hint="eastAsia"/>
          <w:b/>
          <w:bCs/>
          <w:iCs/>
          <w:color w:val="000000"/>
          <w:sz w:val="32"/>
          <w:szCs w:val="32"/>
        </w:rPr>
        <w:t>投资者关系活动记录表</w:t>
      </w:r>
    </w:p>
    <w:p>
      <w:pPr>
        <w:spacing w:line="400" w:lineRule="exact"/>
        <w:rPr>
          <w:bCs/>
          <w:iCs/>
          <w:color w:val="000000"/>
          <w:sz w:val="24"/>
        </w:rPr>
      </w:pPr>
      <w:r>
        <w:rPr>
          <w:rFonts w:hint="eastAsia"/>
          <w:bCs/>
          <w:iCs/>
          <w:color w:val="000000"/>
          <w:sz w:val="24"/>
        </w:rPr>
        <w:t xml:space="preserve">                                                   </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7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投资者关系活动类别</w:t>
            </w:r>
          </w:p>
          <w:p>
            <w:pPr>
              <w:spacing w:line="360" w:lineRule="auto"/>
              <w:jc w:val="center"/>
              <w:rPr>
                <w:bCs/>
                <w:iCs/>
                <w:color w:val="000000"/>
                <w:sz w:val="24"/>
              </w:rPr>
            </w:pPr>
          </w:p>
        </w:tc>
        <w:tc>
          <w:tcPr>
            <w:tcW w:w="7446" w:type="dxa"/>
            <w:tcBorders>
              <w:top w:val="single" w:color="auto" w:sz="4" w:space="0"/>
              <w:left w:val="single" w:color="auto" w:sz="4" w:space="0"/>
              <w:bottom w:val="single" w:color="auto" w:sz="4" w:space="0"/>
              <w:right w:val="single" w:color="auto" w:sz="4" w:space="0"/>
            </w:tcBorders>
          </w:tcPr>
          <w:p>
            <w:pPr>
              <w:spacing w:line="360" w:lineRule="auto"/>
              <w:rPr>
                <w:bCs/>
                <w:iCs/>
                <w:color w:val="000000"/>
                <w:sz w:val="24"/>
              </w:rPr>
            </w:pPr>
            <w:r>
              <w:rPr>
                <w:rFonts w:hint="eastAsia"/>
                <w:bCs/>
                <w:iCs/>
                <w:color w:val="000000"/>
                <w:sz w:val="24"/>
              </w:rPr>
              <w:t>□</w:t>
            </w:r>
            <w:r>
              <w:rPr>
                <w:rFonts w:hint="eastAsia"/>
                <w:sz w:val="24"/>
              </w:rPr>
              <w:t xml:space="preserve">特定对象调研        </w:t>
            </w:r>
            <w:r>
              <w:rPr>
                <w:rFonts w:hint="eastAsia"/>
                <w:bCs/>
                <w:iCs/>
                <w:color w:val="000000"/>
                <w:sz w:val="24"/>
              </w:rPr>
              <w:t>√</w:t>
            </w:r>
            <w:r>
              <w:rPr>
                <w:rFonts w:hint="eastAsia"/>
                <w:sz w:val="24"/>
              </w:rPr>
              <w:t>分析师会议</w:t>
            </w:r>
          </w:p>
          <w:p>
            <w:pPr>
              <w:spacing w:line="360" w:lineRule="auto"/>
              <w:rPr>
                <w:bCs/>
                <w:iCs/>
                <w:color w:val="000000"/>
                <w:sz w:val="24"/>
              </w:rPr>
            </w:pPr>
            <w:r>
              <w:rPr>
                <w:rFonts w:hint="eastAsia"/>
                <w:bCs/>
                <w:iCs/>
                <w:color w:val="000000"/>
                <w:sz w:val="24"/>
              </w:rPr>
              <w:t>□</w:t>
            </w:r>
            <w:r>
              <w:rPr>
                <w:rFonts w:hint="eastAsia"/>
                <w:sz w:val="24"/>
              </w:rPr>
              <w:t xml:space="preserve">媒体采访            </w:t>
            </w:r>
            <w:r>
              <w:rPr>
                <w:rFonts w:hint="eastAsia"/>
                <w:bCs/>
                <w:iCs/>
                <w:color w:val="000000"/>
                <w:sz w:val="24"/>
              </w:rPr>
              <w:t>□</w:t>
            </w:r>
            <w:r>
              <w:rPr>
                <w:rFonts w:hint="eastAsia"/>
                <w:sz w:val="24"/>
              </w:rPr>
              <w:t>业绩说明会</w:t>
            </w:r>
          </w:p>
          <w:p>
            <w:pPr>
              <w:spacing w:line="360" w:lineRule="auto"/>
              <w:rPr>
                <w:bCs/>
                <w:iCs/>
                <w:color w:val="000000"/>
                <w:sz w:val="24"/>
              </w:rPr>
            </w:pPr>
            <w:r>
              <w:rPr>
                <w:rFonts w:hint="eastAsia"/>
                <w:bCs/>
                <w:iCs/>
                <w:color w:val="000000"/>
                <w:sz w:val="24"/>
              </w:rPr>
              <w:t>□</w:t>
            </w:r>
            <w:r>
              <w:rPr>
                <w:rFonts w:hint="eastAsia"/>
                <w:sz w:val="24"/>
              </w:rPr>
              <w:t xml:space="preserve">新闻发布会          </w:t>
            </w:r>
            <w:r>
              <w:rPr>
                <w:rFonts w:hint="eastAsia"/>
                <w:bCs/>
                <w:iCs/>
                <w:color w:val="000000"/>
                <w:sz w:val="24"/>
              </w:rPr>
              <w:t>√</w:t>
            </w:r>
            <w:r>
              <w:rPr>
                <w:rFonts w:hint="eastAsia"/>
                <w:sz w:val="24"/>
              </w:rPr>
              <w:t>路演活动</w:t>
            </w:r>
          </w:p>
          <w:p>
            <w:pPr>
              <w:tabs>
                <w:tab w:val="left" w:pos="3045"/>
                <w:tab w:val="center" w:pos="3199"/>
              </w:tabs>
              <w:spacing w:line="360" w:lineRule="auto"/>
              <w:rPr>
                <w:bCs/>
                <w:iCs/>
                <w:color w:val="000000"/>
                <w:sz w:val="24"/>
              </w:rPr>
            </w:pPr>
            <w:r>
              <w:rPr>
                <w:rFonts w:hint="eastAsia"/>
                <w:bCs/>
                <w:iCs/>
                <w:color w:val="000000"/>
                <w:sz w:val="24"/>
              </w:rPr>
              <w:t>□</w:t>
            </w:r>
            <w:r>
              <w:rPr>
                <w:rFonts w:hint="eastAsia"/>
                <w:sz w:val="24"/>
              </w:rPr>
              <w:t>现场参观</w:t>
            </w:r>
            <w:r>
              <w:rPr>
                <w:rFonts w:hint="eastAsia"/>
                <w:bCs/>
                <w:iCs/>
                <w:color w:val="000000"/>
                <w:sz w:val="24"/>
              </w:rPr>
              <w:tab/>
            </w:r>
          </w:p>
          <w:p>
            <w:pPr>
              <w:tabs>
                <w:tab w:val="center" w:pos="3199"/>
              </w:tabs>
              <w:spacing w:line="360" w:lineRule="auto"/>
              <w:rPr>
                <w:sz w:val="24"/>
                <w:u w:val="single"/>
              </w:rPr>
            </w:pPr>
            <w:r>
              <w:rPr>
                <w:rFonts w:hint="eastAsia"/>
                <w:bCs/>
                <w:iCs/>
                <w:color w:val="000000"/>
                <w:sz w:val="24"/>
              </w:rPr>
              <w:t>□</w:t>
            </w:r>
            <w:r>
              <w:rPr>
                <w:rFonts w:hint="eastAsia"/>
                <w:sz w:val="24"/>
              </w:rPr>
              <w:t>其他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参与单位名称及人员姓名</w:t>
            </w:r>
          </w:p>
        </w:tc>
        <w:tc>
          <w:tcPr>
            <w:tcW w:w="7446" w:type="dxa"/>
            <w:tcBorders>
              <w:top w:val="single" w:color="auto" w:sz="4" w:space="0"/>
              <w:left w:val="single" w:color="auto" w:sz="4" w:space="0"/>
              <w:bottom w:val="single" w:color="auto" w:sz="4" w:space="0"/>
              <w:right w:val="single" w:color="auto" w:sz="4" w:space="0"/>
            </w:tcBorders>
            <w:vAlign w:val="center"/>
          </w:tcPr>
          <w:p>
            <w:pPr>
              <w:rPr>
                <w:rFonts w:hint="default" w:eastAsiaTheme="minorEastAsia"/>
                <w:sz w:val="24"/>
                <w:lang w:val="en-US" w:eastAsia="zh-CN"/>
              </w:rPr>
            </w:pPr>
            <w:r>
              <w:rPr>
                <w:rFonts w:hint="eastAsia" w:eastAsiaTheme="minorEastAsia"/>
                <w:sz w:val="24"/>
                <w:lang w:val="en-US" w:eastAsia="zh-CN"/>
              </w:rPr>
              <w:t>方正</w:t>
            </w:r>
            <w:r>
              <w:rPr>
                <w:rFonts w:hint="eastAsia" w:eastAsiaTheme="minorEastAsia"/>
                <w:sz w:val="24"/>
              </w:rPr>
              <w:t>证券：</w:t>
            </w:r>
            <w:r>
              <w:rPr>
                <w:rFonts w:hint="eastAsia" w:eastAsiaTheme="minorEastAsia"/>
                <w:sz w:val="24"/>
                <w:lang w:val="en-US" w:eastAsia="zh-CN"/>
              </w:rPr>
              <w:t>李永磊、于宏杰、李宏宇、练伟</w:t>
            </w:r>
          </w:p>
          <w:p>
            <w:pPr>
              <w:rPr>
                <w:rFonts w:hint="default" w:eastAsiaTheme="minorEastAsia"/>
                <w:sz w:val="24"/>
                <w:lang w:val="en-US" w:eastAsia="zh-CN"/>
              </w:rPr>
            </w:pPr>
            <w:r>
              <w:rPr>
                <w:rFonts w:hint="eastAsia" w:eastAsiaTheme="minorEastAsia"/>
                <w:sz w:val="24"/>
                <w:lang w:val="en-US" w:eastAsia="zh-CN"/>
              </w:rPr>
              <w:t>中银资管：张立新          中银基金：刘高晓</w:t>
            </w:r>
          </w:p>
          <w:p>
            <w:pPr>
              <w:rPr>
                <w:rFonts w:hint="default" w:eastAsiaTheme="minorEastAsia"/>
                <w:sz w:val="24"/>
                <w:lang w:val="en-US" w:eastAsia="zh-CN"/>
              </w:rPr>
            </w:pPr>
            <w:r>
              <w:rPr>
                <w:rFonts w:hint="eastAsia" w:eastAsiaTheme="minorEastAsia"/>
                <w:sz w:val="24"/>
                <w:lang w:val="en-US" w:eastAsia="zh-CN"/>
              </w:rPr>
              <w:t>中欧基金：王习            长信基金：张凯</w:t>
            </w:r>
          </w:p>
          <w:p>
            <w:pPr>
              <w:rPr>
                <w:rFonts w:hint="eastAsia" w:eastAsiaTheme="minorEastAsia"/>
                <w:sz w:val="24"/>
                <w:lang w:val="en-US" w:eastAsia="zh-CN"/>
              </w:rPr>
            </w:pPr>
            <w:r>
              <w:rPr>
                <w:rFonts w:hint="eastAsia" w:eastAsiaTheme="minorEastAsia"/>
                <w:sz w:val="24"/>
                <w:lang w:val="en-US" w:eastAsia="zh-CN"/>
              </w:rPr>
              <w:t>英大证券：王诚            同泰基金：王秀</w:t>
            </w:r>
          </w:p>
          <w:p>
            <w:pPr>
              <w:rPr>
                <w:rFonts w:hint="default" w:eastAsiaTheme="minorEastAsia"/>
                <w:sz w:val="24"/>
                <w:lang w:val="en-US" w:eastAsia="zh-CN"/>
              </w:rPr>
            </w:pPr>
            <w:r>
              <w:rPr>
                <w:rFonts w:hint="eastAsia" w:eastAsiaTheme="minorEastAsia"/>
                <w:sz w:val="24"/>
                <w:lang w:val="en-US" w:eastAsia="zh-CN"/>
              </w:rPr>
              <w:t>睿远基金：钟明            大成基金：廖书笛</w:t>
            </w:r>
          </w:p>
          <w:p>
            <w:pPr>
              <w:rPr>
                <w:rFonts w:hint="eastAsia" w:eastAsiaTheme="minorEastAsia"/>
                <w:sz w:val="24"/>
                <w:lang w:val="en-US" w:eastAsia="zh-CN"/>
              </w:rPr>
            </w:pPr>
            <w:r>
              <w:rPr>
                <w:rFonts w:hint="eastAsia" w:eastAsiaTheme="minorEastAsia"/>
                <w:sz w:val="24"/>
                <w:lang w:val="en-US" w:eastAsia="zh-CN"/>
              </w:rPr>
              <w:t>华安基金：张瑞            汇添富基金：徐逸舟</w:t>
            </w:r>
          </w:p>
          <w:p>
            <w:pPr>
              <w:rPr>
                <w:rFonts w:hint="default" w:eastAsiaTheme="minorEastAsia"/>
                <w:sz w:val="24"/>
                <w:lang w:val="en-US" w:eastAsia="zh-CN"/>
              </w:rPr>
            </w:pPr>
            <w:r>
              <w:rPr>
                <w:rFonts w:hint="eastAsia" w:eastAsiaTheme="minorEastAsia"/>
                <w:sz w:val="24"/>
                <w:lang w:val="en-US" w:eastAsia="zh-CN"/>
              </w:rPr>
              <w:t>东吴人寿：李杰            国联安基金：王栋</w:t>
            </w:r>
          </w:p>
          <w:p>
            <w:pPr>
              <w:rPr>
                <w:rFonts w:hint="eastAsia" w:eastAsiaTheme="minorEastAsia"/>
                <w:sz w:val="24"/>
                <w:lang w:val="en-US" w:eastAsia="zh-CN"/>
              </w:rPr>
            </w:pPr>
            <w:r>
              <w:rPr>
                <w:rFonts w:hint="eastAsia" w:eastAsiaTheme="minorEastAsia"/>
                <w:sz w:val="24"/>
                <w:lang w:val="en-US" w:eastAsia="zh-CN"/>
              </w:rPr>
              <w:t>国华人寿：张鹏宇          南京证券：顾诗园</w:t>
            </w:r>
          </w:p>
          <w:p>
            <w:pPr>
              <w:rPr>
                <w:rFonts w:hint="eastAsia" w:eastAsiaTheme="minorEastAsia"/>
                <w:sz w:val="24"/>
                <w:lang w:val="en-US" w:eastAsia="zh-CN"/>
              </w:rPr>
            </w:pPr>
            <w:r>
              <w:rPr>
                <w:rFonts w:hint="eastAsia" w:eastAsiaTheme="minorEastAsia"/>
                <w:sz w:val="24"/>
                <w:lang w:val="en-US" w:eastAsia="zh-CN"/>
              </w:rPr>
              <w:t>东方资管：蔡志鹏          交银施罗德：黄鼎</w:t>
            </w:r>
          </w:p>
          <w:p>
            <w:pPr>
              <w:rPr>
                <w:rFonts w:hint="eastAsia" w:eastAsiaTheme="minorEastAsia"/>
                <w:sz w:val="24"/>
                <w:lang w:val="en-US" w:eastAsia="zh-CN"/>
              </w:rPr>
            </w:pPr>
            <w:r>
              <w:rPr>
                <w:rFonts w:hint="eastAsia" w:eastAsiaTheme="minorEastAsia"/>
                <w:sz w:val="24"/>
                <w:lang w:val="en-US" w:eastAsia="zh-CN"/>
              </w:rPr>
              <w:t>拾贝投资：郑晖            生命保险资管：李燕玲</w:t>
            </w:r>
          </w:p>
          <w:p>
            <w:pPr>
              <w:rPr>
                <w:rFonts w:hint="eastAsia" w:eastAsiaTheme="minorEastAsia"/>
                <w:sz w:val="24"/>
                <w:lang w:val="en-US" w:eastAsia="zh-CN"/>
              </w:rPr>
            </w:pPr>
            <w:r>
              <w:rPr>
                <w:rFonts w:hint="default" w:eastAsiaTheme="minorEastAsia"/>
                <w:sz w:val="24"/>
                <w:lang w:val="en-US" w:eastAsia="zh-CN"/>
              </w:rPr>
              <w:t>汐泰投资</w:t>
            </w:r>
            <w:r>
              <w:rPr>
                <w:rFonts w:hint="eastAsia" w:eastAsiaTheme="minorEastAsia"/>
                <w:sz w:val="24"/>
                <w:lang w:val="en-US" w:eastAsia="zh-CN"/>
              </w:rPr>
              <w:t>：杨昆            仁桥资产：夏俊杰</w:t>
            </w:r>
          </w:p>
          <w:p>
            <w:pPr>
              <w:rPr>
                <w:rFonts w:hint="eastAsia" w:eastAsiaTheme="minorEastAsia"/>
                <w:sz w:val="24"/>
                <w:lang w:val="en-US" w:eastAsia="zh-CN"/>
              </w:rPr>
            </w:pPr>
            <w:r>
              <w:rPr>
                <w:rFonts w:hint="default" w:eastAsiaTheme="minorEastAsia"/>
                <w:sz w:val="24"/>
                <w:lang w:val="en-US" w:eastAsia="zh-CN"/>
              </w:rPr>
              <w:t>理成资产</w:t>
            </w:r>
            <w:r>
              <w:rPr>
                <w:rFonts w:hint="eastAsia" w:eastAsiaTheme="minorEastAsia"/>
                <w:sz w:val="24"/>
                <w:lang w:val="en-US" w:eastAsia="zh-CN"/>
              </w:rPr>
              <w:t>：王烨华          宏道投资：卫保川</w:t>
            </w:r>
          </w:p>
          <w:p>
            <w:pPr>
              <w:rPr>
                <w:rFonts w:hint="eastAsia" w:eastAsiaTheme="minorEastAsia"/>
                <w:sz w:val="24"/>
                <w:lang w:val="en-US" w:eastAsia="zh-CN"/>
              </w:rPr>
            </w:pPr>
            <w:r>
              <w:rPr>
                <w:rFonts w:hint="eastAsia" w:eastAsiaTheme="minorEastAsia"/>
                <w:sz w:val="24"/>
                <w:lang w:val="en-US" w:eastAsia="zh-CN"/>
              </w:rPr>
              <w:t>红土创新：杨一            昊晟投资：钟思文</w:t>
            </w:r>
          </w:p>
          <w:p>
            <w:pPr>
              <w:rPr>
                <w:rFonts w:hint="eastAsia" w:eastAsiaTheme="minorEastAsia"/>
                <w:sz w:val="24"/>
                <w:lang w:val="en-US" w:eastAsia="zh-CN"/>
              </w:rPr>
            </w:pPr>
            <w:r>
              <w:rPr>
                <w:rFonts w:hint="eastAsia" w:eastAsiaTheme="minorEastAsia"/>
                <w:sz w:val="24"/>
                <w:lang w:val="en-US" w:eastAsia="zh-CN"/>
              </w:rPr>
              <w:t xml:space="preserve">保银投资：林建军          </w:t>
            </w:r>
            <w:r>
              <w:rPr>
                <w:rFonts w:hint="default" w:eastAsiaTheme="minorEastAsia"/>
                <w:sz w:val="24"/>
                <w:lang w:val="en-US" w:eastAsia="zh-CN"/>
              </w:rPr>
              <w:t>北信瑞丰基金</w:t>
            </w:r>
            <w:r>
              <w:rPr>
                <w:rFonts w:hint="eastAsia" w:eastAsiaTheme="minorEastAsia"/>
                <w:sz w:val="24"/>
                <w:lang w:val="en-US" w:eastAsia="zh-CN"/>
              </w:rPr>
              <w:t>：邓文强</w:t>
            </w:r>
          </w:p>
          <w:p>
            <w:pPr>
              <w:rPr>
                <w:rFonts w:hint="default" w:eastAsiaTheme="minorEastAsia"/>
                <w:sz w:val="24"/>
                <w:lang w:val="en-US" w:eastAsia="zh-CN"/>
              </w:rPr>
            </w:pPr>
            <w:r>
              <w:rPr>
                <w:rFonts w:hint="eastAsia" w:eastAsiaTheme="minorEastAsia"/>
                <w:sz w:val="24"/>
                <w:lang w:val="en-US" w:eastAsia="zh-CN"/>
              </w:rPr>
              <w:t>淡水泉资管：刘晓雨        群益投信：郑羽庭</w:t>
            </w:r>
          </w:p>
          <w:p>
            <w:pPr>
              <w:rPr>
                <w:rFonts w:hint="default" w:eastAsiaTheme="minorEastAsia"/>
                <w:sz w:val="24"/>
                <w:lang w:val="en-US" w:eastAsia="zh-CN"/>
              </w:rPr>
            </w:pPr>
            <w:r>
              <w:rPr>
                <w:rFonts w:hint="default" w:eastAsiaTheme="minorEastAsia"/>
                <w:sz w:val="24"/>
                <w:lang w:val="en-US" w:eastAsia="zh-CN"/>
              </w:rPr>
              <w:t>淡马锡富敦</w:t>
            </w:r>
            <w:r>
              <w:rPr>
                <w:rFonts w:hint="eastAsia" w:eastAsiaTheme="minorEastAsia"/>
                <w:sz w:val="24"/>
                <w:lang w:val="en-US" w:eastAsia="zh-CN"/>
              </w:rPr>
              <w:t xml:space="preserve">：刘逸飞  </w:t>
            </w:r>
          </w:p>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时间</w:t>
            </w:r>
          </w:p>
        </w:tc>
        <w:tc>
          <w:tcPr>
            <w:tcW w:w="74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bCs/>
                <w:iCs/>
                <w:color w:val="000000"/>
                <w:sz w:val="24"/>
              </w:rPr>
            </w:pPr>
            <w:r>
              <w:rPr>
                <w:rFonts w:hint="eastAsia"/>
                <w:sz w:val="24"/>
                <w:lang w:val="en-US" w:eastAsia="zh-CN"/>
              </w:rPr>
              <w:t>2020</w:t>
            </w:r>
            <w:r>
              <w:rPr>
                <w:rFonts w:hint="eastAsia"/>
                <w:sz w:val="24"/>
              </w:rPr>
              <w:t>年</w:t>
            </w:r>
            <w:r>
              <w:rPr>
                <w:rFonts w:hint="eastAsia"/>
                <w:sz w:val="24"/>
                <w:lang w:val="en-US" w:eastAsia="zh-CN"/>
              </w:rPr>
              <w:t>11月16日下午2:00-3:00、17日下午3:00-5:00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地点</w:t>
            </w:r>
          </w:p>
        </w:tc>
        <w:tc>
          <w:tcPr>
            <w:tcW w:w="74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eastAsia="宋体"/>
                <w:bCs/>
                <w:iCs/>
                <w:color w:val="000000"/>
                <w:sz w:val="24"/>
                <w:lang w:val="en-US" w:eastAsia="zh-CN"/>
              </w:rPr>
            </w:pPr>
            <w:r>
              <w:rPr>
                <w:rFonts w:hint="eastAsia"/>
                <w:sz w:val="24"/>
                <w:lang w:val="en-US" w:eastAsia="zh-CN"/>
              </w:rPr>
              <w:t>电话会议、一对一线上路演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上市公司接待人员姓名</w:t>
            </w:r>
          </w:p>
        </w:tc>
        <w:tc>
          <w:tcPr>
            <w:tcW w:w="74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bCs/>
                <w:iCs/>
                <w:color w:val="000000"/>
                <w:sz w:val="24"/>
              </w:rPr>
            </w:pPr>
            <w:r>
              <w:rPr>
                <w:rFonts w:hint="eastAsia"/>
                <w:bCs/>
                <w:iCs/>
                <w:color w:val="000000"/>
                <w:sz w:val="24"/>
              </w:rPr>
              <w:t>董事会秘书：魏万炜</w:t>
            </w:r>
          </w:p>
          <w:p>
            <w:pPr>
              <w:spacing w:line="360" w:lineRule="auto"/>
              <w:rPr>
                <w:rFonts w:hint="default" w:eastAsia="宋体"/>
                <w:bCs/>
                <w:iCs/>
                <w:color w:val="000000"/>
                <w:sz w:val="24"/>
                <w:lang w:val="en-US" w:eastAsia="zh-CN"/>
              </w:rPr>
            </w:pPr>
            <w:r>
              <w:rPr>
                <w:rFonts w:hint="eastAsia"/>
                <w:bCs/>
                <w:iCs/>
                <w:color w:val="000000"/>
                <w:sz w:val="24"/>
                <w:lang w:val="en-US" w:eastAsia="zh-CN"/>
              </w:rPr>
              <w:t>投资者关系负责人：李晓鸽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投资者关系活动主要内容介绍</w:t>
            </w:r>
          </w:p>
        </w:tc>
        <w:tc>
          <w:tcPr>
            <w:tcW w:w="74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0" w:firstLine="482" w:firstLineChars="200"/>
              <w:jc w:val="lef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lang w:val="en-US" w:eastAsia="zh-CN"/>
              </w:rPr>
              <w:t>1.请介绍一下公司今年整体的情况</w:t>
            </w:r>
            <w:r>
              <w:rPr>
                <w:rFonts w:hint="eastAsia" w:cs="宋体" w:asciiTheme="minorEastAsia" w:hAnsiTheme="minorEastAsia" w:eastAsiaTheme="minorEastAsia"/>
                <w:b/>
                <w:bCs/>
                <w:kern w:val="0"/>
                <w:sz w:val="24"/>
                <w:szCs w:val="24"/>
              </w:rPr>
              <w:t>。</w:t>
            </w:r>
          </w:p>
          <w:p>
            <w:pPr>
              <w:widowControl/>
              <w:spacing w:line="360" w:lineRule="auto"/>
              <w:ind w:left="0"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rPr>
              <w:t>答：</w:t>
            </w:r>
            <w:r>
              <w:rPr>
                <w:rFonts w:hint="eastAsia" w:cs="宋体" w:asciiTheme="minorEastAsia" w:hAnsiTheme="minorEastAsia" w:eastAsiaTheme="minorEastAsia"/>
                <w:kern w:val="0"/>
                <w:sz w:val="24"/>
                <w:lang w:val="en-US" w:eastAsia="zh-CN"/>
              </w:rPr>
              <w:t>公司前三季度业绩呈现环比改善，逐季走高的态势，</w:t>
            </w:r>
            <w:r>
              <w:rPr>
                <w:rFonts w:hint="eastAsia" w:cs="宋体" w:asciiTheme="minorEastAsia" w:hAnsiTheme="minorEastAsia" w:eastAsiaTheme="minorEastAsia"/>
                <w:kern w:val="0"/>
                <w:sz w:val="24"/>
                <w:szCs w:val="24"/>
              </w:rPr>
              <w:t>三季度的</w:t>
            </w:r>
            <w:r>
              <w:rPr>
                <w:rFonts w:cs="宋体" w:asciiTheme="minorEastAsia" w:hAnsiTheme="minorEastAsia" w:eastAsiaTheme="minorEastAsia"/>
                <w:kern w:val="0"/>
                <w:sz w:val="24"/>
                <w:szCs w:val="24"/>
              </w:rPr>
              <w:t>营收和净利润</w:t>
            </w:r>
            <w:r>
              <w:rPr>
                <w:rFonts w:hint="eastAsia" w:cs="宋体" w:asciiTheme="minorEastAsia" w:hAnsiTheme="minorEastAsia" w:eastAsiaTheme="minorEastAsia"/>
                <w:kern w:val="0"/>
                <w:sz w:val="24"/>
                <w:szCs w:val="24"/>
              </w:rPr>
              <w:t>延续</w:t>
            </w:r>
            <w:r>
              <w:rPr>
                <w:rFonts w:cs="宋体" w:asciiTheme="minorEastAsia" w:hAnsiTheme="minorEastAsia" w:eastAsiaTheme="minorEastAsia"/>
                <w:kern w:val="0"/>
                <w:sz w:val="24"/>
                <w:szCs w:val="24"/>
              </w:rPr>
              <w:t>了二季度以来</w:t>
            </w:r>
            <w:r>
              <w:rPr>
                <w:rFonts w:hint="eastAsia" w:cs="宋体" w:asciiTheme="minorEastAsia" w:hAnsiTheme="minorEastAsia" w:eastAsiaTheme="minorEastAsia"/>
                <w:kern w:val="0"/>
                <w:sz w:val="24"/>
                <w:szCs w:val="24"/>
              </w:rPr>
              <w:t>的</w:t>
            </w:r>
            <w:r>
              <w:rPr>
                <w:rFonts w:cs="宋体" w:asciiTheme="minorEastAsia" w:hAnsiTheme="minorEastAsia" w:eastAsiaTheme="minorEastAsia"/>
                <w:kern w:val="0"/>
                <w:sz w:val="24"/>
                <w:szCs w:val="24"/>
              </w:rPr>
              <w:t>恢复性增长，而且增速有加速的趋势。</w:t>
            </w:r>
            <w:r>
              <w:rPr>
                <w:rFonts w:hint="eastAsia" w:cs="宋体" w:asciiTheme="minorEastAsia" w:hAnsiTheme="minorEastAsia" w:eastAsiaTheme="minorEastAsia"/>
                <w:kern w:val="0"/>
                <w:sz w:val="24"/>
                <w:szCs w:val="24"/>
                <w:lang w:val="en-US" w:eastAsia="zh-CN"/>
              </w:rPr>
              <w:t>并且</w:t>
            </w:r>
            <w:r>
              <w:rPr>
                <w:rFonts w:cs="宋体" w:asciiTheme="minorEastAsia" w:hAnsiTheme="minorEastAsia" w:eastAsiaTheme="minorEastAsia"/>
                <w:kern w:val="0"/>
                <w:sz w:val="24"/>
                <w:szCs w:val="24"/>
              </w:rPr>
              <w:t>增长</w:t>
            </w:r>
            <w:r>
              <w:rPr>
                <w:rFonts w:hint="eastAsia" w:cs="宋体" w:asciiTheme="minorEastAsia" w:hAnsiTheme="minorEastAsia" w:eastAsiaTheme="minorEastAsia"/>
                <w:kern w:val="0"/>
                <w:sz w:val="24"/>
                <w:szCs w:val="24"/>
              </w:rPr>
              <w:t>的质量很高</w:t>
            </w:r>
            <w:r>
              <w:rPr>
                <w:rFonts w:hint="eastAsia" w:cs="宋体" w:asciiTheme="minorEastAsia" w:hAnsiTheme="minorEastAsia" w:eastAsiaTheme="minorEastAsia"/>
                <w:kern w:val="0"/>
                <w:sz w:val="24"/>
                <w:szCs w:val="24"/>
                <w:lang w:eastAsia="zh-CN"/>
              </w:rPr>
              <w:t>，</w:t>
            </w:r>
            <w:r>
              <w:rPr>
                <w:rFonts w:cs="宋体" w:asciiTheme="minorEastAsia" w:hAnsiTheme="minorEastAsia" w:eastAsiaTheme="minorEastAsia"/>
                <w:kern w:val="0"/>
                <w:sz w:val="24"/>
                <w:szCs w:val="24"/>
              </w:rPr>
              <w:t>预收账款</w:t>
            </w:r>
            <w:r>
              <w:rPr>
                <w:rFonts w:hint="eastAsia" w:cs="宋体" w:asciiTheme="minorEastAsia" w:hAnsiTheme="minorEastAsia" w:eastAsiaTheme="minorEastAsia"/>
                <w:kern w:val="0"/>
                <w:sz w:val="24"/>
                <w:szCs w:val="24"/>
                <w:lang w:val="en-US" w:eastAsia="zh-CN"/>
              </w:rPr>
              <w:t>和现金流数据非常亮眼，</w:t>
            </w:r>
            <w:r>
              <w:rPr>
                <w:rFonts w:cs="宋体" w:asciiTheme="minorEastAsia" w:hAnsiTheme="minorEastAsia" w:eastAsiaTheme="minorEastAsia"/>
                <w:kern w:val="0"/>
                <w:sz w:val="24"/>
                <w:szCs w:val="24"/>
              </w:rPr>
              <w:t>三季度末的应收账款达到了10个亿以上的量级，今年三季度末的预收账款也是历史</w:t>
            </w:r>
            <w:r>
              <w:rPr>
                <w:rFonts w:hint="eastAsia" w:cs="宋体" w:asciiTheme="minorEastAsia" w:hAnsiTheme="minorEastAsia" w:eastAsiaTheme="minorEastAsia"/>
                <w:kern w:val="0"/>
                <w:sz w:val="24"/>
                <w:szCs w:val="24"/>
              </w:rPr>
              <w:t>同期</w:t>
            </w:r>
            <w:r>
              <w:rPr>
                <w:rFonts w:cs="宋体" w:asciiTheme="minorEastAsia" w:hAnsiTheme="minorEastAsia" w:eastAsiaTheme="minorEastAsia"/>
                <w:kern w:val="0"/>
                <w:sz w:val="24"/>
                <w:szCs w:val="24"/>
              </w:rPr>
              <w:t>最高水平。</w:t>
            </w:r>
            <w:r>
              <w:rPr>
                <w:rFonts w:hint="eastAsia" w:cs="宋体" w:asciiTheme="minorEastAsia" w:hAnsiTheme="minorEastAsia" w:eastAsiaTheme="minorEastAsia"/>
                <w:kern w:val="0"/>
                <w:sz w:val="24"/>
                <w:szCs w:val="24"/>
                <w:lang w:val="en-US" w:eastAsia="zh-CN"/>
              </w:rPr>
              <w:t>同时</w:t>
            </w:r>
            <w:r>
              <w:rPr>
                <w:rFonts w:cs="宋体" w:asciiTheme="minorEastAsia" w:hAnsiTheme="minorEastAsia" w:eastAsiaTheme="minorEastAsia"/>
                <w:kern w:val="0"/>
                <w:sz w:val="24"/>
                <w:szCs w:val="24"/>
              </w:rPr>
              <w:t>前9个月的经营性现金流量</w:t>
            </w:r>
            <w:r>
              <w:rPr>
                <w:rFonts w:hint="eastAsia" w:cs="宋体" w:asciiTheme="minorEastAsia" w:hAnsiTheme="minorEastAsia" w:eastAsiaTheme="minorEastAsia"/>
                <w:kern w:val="0"/>
                <w:sz w:val="24"/>
                <w:szCs w:val="24"/>
              </w:rPr>
              <w:t>净额，</w:t>
            </w:r>
            <w:r>
              <w:rPr>
                <w:rFonts w:cs="宋体" w:asciiTheme="minorEastAsia" w:hAnsiTheme="minorEastAsia" w:eastAsiaTheme="minorEastAsia"/>
                <w:kern w:val="0"/>
                <w:sz w:val="24"/>
                <w:szCs w:val="24"/>
              </w:rPr>
              <w:t>创下了历史的最高值</w:t>
            </w: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lang w:val="en-US" w:eastAsia="zh-CN"/>
              </w:rPr>
              <w:t>不仅反映了今年公司已经从去年的三磷整治、今年新冠疫情的影响中走了出来，也</w:t>
            </w:r>
            <w:r>
              <w:rPr>
                <w:rFonts w:cs="宋体" w:asciiTheme="minorEastAsia" w:hAnsiTheme="minorEastAsia" w:eastAsiaTheme="minorEastAsia"/>
                <w:kern w:val="0"/>
                <w:sz w:val="24"/>
                <w:szCs w:val="24"/>
              </w:rPr>
              <w:t>反应了公司</w:t>
            </w:r>
            <w:r>
              <w:rPr>
                <w:rFonts w:hint="eastAsia" w:cs="宋体" w:asciiTheme="minorEastAsia" w:hAnsiTheme="minorEastAsia" w:eastAsiaTheme="minorEastAsia"/>
                <w:kern w:val="0"/>
                <w:sz w:val="24"/>
                <w:szCs w:val="24"/>
              </w:rPr>
              <w:t>在行业内越来越稳固</w:t>
            </w:r>
            <w:r>
              <w:rPr>
                <w:rFonts w:cs="宋体" w:asciiTheme="minorEastAsia" w:hAnsiTheme="minorEastAsia" w:eastAsiaTheme="minorEastAsia"/>
                <w:kern w:val="0"/>
                <w:sz w:val="24"/>
                <w:szCs w:val="24"/>
              </w:rPr>
              <w:t>的龙头地位。</w:t>
            </w:r>
          </w:p>
          <w:p>
            <w:pPr>
              <w:widowControl/>
              <w:spacing w:line="360" w:lineRule="auto"/>
              <w:ind w:left="0" w:firstLine="480"/>
              <w:jc w:val="left"/>
              <w:rPr>
                <w:rFonts w:hint="eastAsia" w:cs="宋体" w:asciiTheme="minorEastAsia" w:hAnsiTheme="minorEastAsia" w:eastAsiaTheme="minorEastAsia"/>
                <w:kern w:val="0"/>
                <w:sz w:val="24"/>
                <w:szCs w:val="24"/>
                <w:lang w:val="en-US" w:eastAsia="zh-CN"/>
              </w:rPr>
            </w:pPr>
          </w:p>
          <w:p>
            <w:pPr>
              <w:widowControl/>
              <w:spacing w:line="360" w:lineRule="auto"/>
              <w:ind w:left="0" w:firstLine="482" w:firstLineChars="200"/>
              <w:jc w:val="lef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lang w:val="en-US" w:eastAsia="zh-CN"/>
              </w:rPr>
              <w:t>2.请介绍一下公司所处行业今年的景气度状况</w:t>
            </w:r>
            <w:r>
              <w:rPr>
                <w:rFonts w:hint="eastAsia" w:cs="宋体" w:asciiTheme="minorEastAsia" w:hAnsiTheme="minorEastAsia" w:eastAsiaTheme="minorEastAsia"/>
                <w:b/>
                <w:bCs/>
                <w:kern w:val="0"/>
                <w:sz w:val="24"/>
                <w:szCs w:val="24"/>
              </w:rPr>
              <w:t>。</w:t>
            </w:r>
          </w:p>
          <w:p>
            <w:pPr>
              <w:widowControl/>
              <w:spacing w:line="360" w:lineRule="auto"/>
              <w:ind w:left="0" w:firstLine="480"/>
              <w:jc w:val="left"/>
              <w:rPr>
                <w:rFonts w:hint="default" w:cs="宋体" w:asciiTheme="minorEastAsia" w:hAnsiTheme="minorEastAsia" w:eastAsiaTheme="minorEastAsia"/>
                <w:kern w:val="0"/>
                <w:sz w:val="24"/>
                <w:szCs w:val="24"/>
                <w:lang w:val="en-US" w:eastAsia="zh-CN"/>
              </w:rPr>
            </w:pPr>
            <w:r>
              <w:rPr>
                <w:rFonts w:hint="eastAsia" w:cs="宋体" w:asciiTheme="minorEastAsia" w:hAnsiTheme="minorEastAsia" w:eastAsiaTheme="minorEastAsia"/>
                <w:kern w:val="0"/>
                <w:sz w:val="24"/>
              </w:rPr>
              <w:t>答：</w:t>
            </w:r>
            <w:r>
              <w:rPr>
                <w:rFonts w:hint="eastAsia" w:cs="宋体" w:asciiTheme="minorEastAsia" w:hAnsiTheme="minorEastAsia" w:eastAsiaTheme="minorEastAsia"/>
                <w:kern w:val="0"/>
                <w:sz w:val="24"/>
                <w:szCs w:val="24"/>
                <w:lang w:val="en-US" w:eastAsia="zh-CN"/>
              </w:rPr>
              <w:t>目前公司主营业务所处的两个行业双双走出底部反转，景气度提升的态势。</w:t>
            </w:r>
            <w:r>
              <w:rPr>
                <w:rFonts w:hint="eastAsia" w:cs="宋体" w:asciiTheme="minorEastAsia" w:hAnsiTheme="minorEastAsia" w:eastAsiaTheme="minorEastAsia"/>
                <w:kern w:val="0"/>
                <w:sz w:val="24"/>
                <w:szCs w:val="24"/>
              </w:rPr>
              <w:t>磷酸一铵</w:t>
            </w:r>
            <w:r>
              <w:rPr>
                <w:rFonts w:cs="宋体" w:asciiTheme="minorEastAsia" w:hAnsiTheme="minorEastAsia" w:eastAsiaTheme="minorEastAsia"/>
                <w:kern w:val="0"/>
                <w:sz w:val="24"/>
                <w:szCs w:val="24"/>
              </w:rPr>
              <w:t>今年</w:t>
            </w:r>
            <w:r>
              <w:rPr>
                <w:rFonts w:hint="eastAsia" w:cs="宋体" w:asciiTheme="minorEastAsia" w:hAnsiTheme="minorEastAsia" w:eastAsiaTheme="minorEastAsia"/>
                <w:kern w:val="0"/>
                <w:sz w:val="24"/>
                <w:szCs w:val="24"/>
              </w:rPr>
              <w:t>的</w:t>
            </w:r>
            <w:r>
              <w:rPr>
                <w:rFonts w:cs="宋体" w:asciiTheme="minorEastAsia" w:hAnsiTheme="minorEastAsia" w:eastAsiaTheme="minorEastAsia"/>
                <w:kern w:val="0"/>
                <w:sz w:val="24"/>
                <w:szCs w:val="24"/>
              </w:rPr>
              <w:t>毛利率水平</w:t>
            </w:r>
            <w:r>
              <w:rPr>
                <w:rFonts w:hint="eastAsia" w:cs="宋体" w:asciiTheme="minorEastAsia" w:hAnsiTheme="minorEastAsia" w:eastAsiaTheme="minorEastAsia"/>
                <w:kern w:val="0"/>
                <w:sz w:val="24"/>
                <w:szCs w:val="24"/>
                <w:lang w:val="en-US" w:eastAsia="zh-CN"/>
              </w:rPr>
              <w:t>开始回升</w:t>
            </w:r>
            <w:r>
              <w:rPr>
                <w:rFonts w:cs="宋体" w:asciiTheme="minorEastAsia" w:hAnsiTheme="minorEastAsia" w:eastAsiaTheme="minorEastAsia"/>
                <w:kern w:val="0"/>
                <w:sz w:val="24"/>
                <w:szCs w:val="24"/>
              </w:rPr>
              <w:t>，磷矿</w:t>
            </w:r>
            <w:r>
              <w:rPr>
                <w:rFonts w:hint="eastAsia" w:cs="宋体" w:asciiTheme="minorEastAsia" w:hAnsiTheme="minorEastAsia" w:eastAsiaTheme="minorEastAsia"/>
                <w:kern w:val="0"/>
                <w:sz w:val="24"/>
                <w:szCs w:val="24"/>
              </w:rPr>
              <w:t>价格下跌叠加三磷整治的持续推进</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lang w:val="en-US" w:eastAsia="zh-CN"/>
              </w:rPr>
              <w:t>再加上下游复合肥需求的回暖拉动需求，整个行业</w:t>
            </w:r>
            <w:r>
              <w:rPr>
                <w:rFonts w:cs="宋体" w:asciiTheme="minorEastAsia" w:hAnsiTheme="minorEastAsia" w:eastAsiaTheme="minorEastAsia"/>
                <w:kern w:val="0"/>
                <w:sz w:val="24"/>
                <w:szCs w:val="24"/>
              </w:rPr>
              <w:t>景气度</w:t>
            </w:r>
            <w:r>
              <w:rPr>
                <w:rFonts w:hint="eastAsia" w:cs="宋体" w:asciiTheme="minorEastAsia" w:hAnsiTheme="minorEastAsia" w:eastAsiaTheme="minorEastAsia"/>
                <w:kern w:val="0"/>
                <w:sz w:val="24"/>
                <w:szCs w:val="24"/>
                <w:lang w:val="en-US" w:eastAsia="zh-CN"/>
              </w:rPr>
              <w:t>有所提高</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预计今年磷酸一铵的全国产量会继续下滑</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rPr>
              <w:t>目前看来，磷酸一铵还将</w:t>
            </w:r>
            <w:r>
              <w:rPr>
                <w:rFonts w:cs="宋体" w:asciiTheme="minorEastAsia" w:hAnsiTheme="minorEastAsia" w:eastAsiaTheme="minorEastAsia"/>
                <w:kern w:val="0"/>
                <w:sz w:val="24"/>
                <w:szCs w:val="24"/>
              </w:rPr>
              <w:t>维持在一个比较高景气度的位置。</w:t>
            </w:r>
            <w:r>
              <w:rPr>
                <w:rFonts w:hint="eastAsia" w:cs="宋体" w:asciiTheme="minorEastAsia" w:hAnsiTheme="minorEastAsia" w:eastAsiaTheme="minorEastAsia"/>
                <w:kern w:val="0"/>
                <w:sz w:val="24"/>
                <w:szCs w:val="24"/>
                <w:lang w:val="en-US" w:eastAsia="zh-CN"/>
              </w:rPr>
              <w:t>复合肥行业的景气度与粮食价格高度相关，今年玉米整体价格上涨30%以上，</w:t>
            </w:r>
            <w:r>
              <w:rPr>
                <w:rFonts w:hint="eastAsia" w:cs="宋体" w:asciiTheme="minorEastAsia" w:hAnsiTheme="minorEastAsia" w:eastAsiaTheme="minorEastAsia"/>
                <w:kern w:val="0"/>
                <w:sz w:val="24"/>
                <w:szCs w:val="24"/>
              </w:rPr>
              <w:t>种植玉米、水稻、小麦农民的收入都比过往两年有较好的增长，农民收入的增加有望在下一季的农资消费中体现。</w:t>
            </w:r>
            <w:r>
              <w:rPr>
                <w:rFonts w:hint="eastAsia" w:cs="宋体" w:asciiTheme="minorEastAsia" w:hAnsiTheme="minorEastAsia" w:eastAsiaTheme="minorEastAsia"/>
                <w:kern w:val="0"/>
                <w:sz w:val="24"/>
                <w:szCs w:val="24"/>
                <w:lang w:val="en-US" w:eastAsia="zh-CN"/>
              </w:rPr>
              <w:t>因此大家可以看到复合肥行业的多数企业经营情况都有明显改善，这个是行业性的。同时，随着原材料的温和上涨，明年经销商备肥的积极性也会提高。</w:t>
            </w:r>
          </w:p>
          <w:p>
            <w:pPr>
              <w:widowControl/>
              <w:spacing w:line="360" w:lineRule="auto"/>
              <w:ind w:left="0" w:firstLine="480"/>
              <w:jc w:val="left"/>
              <w:rPr>
                <w:rFonts w:hint="default" w:cs="宋体" w:asciiTheme="minorEastAsia" w:hAnsiTheme="minorEastAsia" w:eastAsiaTheme="minorEastAsia"/>
                <w:kern w:val="0"/>
                <w:sz w:val="24"/>
                <w:szCs w:val="24"/>
                <w:lang w:val="en-US" w:eastAsia="zh-CN"/>
              </w:rPr>
            </w:pPr>
          </w:p>
          <w:p>
            <w:pPr>
              <w:widowControl/>
              <w:spacing w:line="360" w:lineRule="auto"/>
              <w:ind w:left="0" w:firstLine="482" w:firstLineChars="200"/>
              <w:jc w:val="left"/>
              <w:rPr>
                <w:rFonts w:hint="eastAsia" w:cs="宋体" w:asciiTheme="minorEastAsia" w:hAnsiTheme="minorEastAsia" w:eastAsiaTheme="minorEastAsia"/>
                <w:kern w:val="0"/>
                <w:sz w:val="24"/>
                <w:szCs w:val="24"/>
              </w:rPr>
            </w:pPr>
            <w:r>
              <w:rPr>
                <w:rFonts w:hint="eastAsia" w:cs="宋体" w:asciiTheme="minorEastAsia" w:hAnsiTheme="minorEastAsia" w:eastAsiaTheme="minorEastAsia"/>
                <w:b/>
                <w:bCs/>
                <w:kern w:val="0"/>
                <w:sz w:val="24"/>
                <w:szCs w:val="24"/>
                <w:lang w:val="en-US" w:eastAsia="zh-CN"/>
              </w:rPr>
              <w:t>3.公司的宜昌搬迁项目进度如何</w:t>
            </w:r>
            <w:r>
              <w:rPr>
                <w:rFonts w:hint="eastAsia" w:cs="宋体" w:asciiTheme="minorEastAsia" w:hAnsiTheme="minorEastAsia" w:eastAsiaTheme="minorEastAsia"/>
                <w:b/>
                <w:bCs/>
                <w:kern w:val="0"/>
                <w:sz w:val="24"/>
                <w:szCs w:val="24"/>
              </w:rPr>
              <w:t>。</w:t>
            </w:r>
          </w:p>
          <w:p>
            <w:pPr>
              <w:widowControl/>
              <w:spacing w:line="360" w:lineRule="auto"/>
              <w:ind w:firstLine="480" w:firstLineChars="200"/>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rPr>
              <w:t>答：</w:t>
            </w:r>
            <w:r>
              <w:rPr>
                <w:rFonts w:hint="eastAsia" w:cs="宋体" w:asciiTheme="minorEastAsia" w:hAnsiTheme="minorEastAsia" w:eastAsiaTheme="minorEastAsia"/>
                <w:kern w:val="0"/>
                <w:sz w:val="24"/>
                <w:lang w:val="en-US" w:eastAsia="zh-CN"/>
              </w:rPr>
              <w:t>公司宜昌新工厂原定于今年四季度搬迁，但因为6、7月份的长江洪水影响了宜昌地区的施工进度，目前进展顺利，明年上半年正式生产，在宜昌新产能正式投产前，公司原有的一铵产能将继续正常生产。</w:t>
            </w:r>
          </w:p>
          <w:p>
            <w:pPr>
              <w:widowControl/>
              <w:spacing w:line="360" w:lineRule="auto"/>
              <w:ind w:firstLine="480" w:firstLineChars="200"/>
              <w:jc w:val="left"/>
              <w:rPr>
                <w:rFonts w:hint="eastAsia" w:cs="宋体" w:asciiTheme="minorEastAsia" w:hAnsiTheme="minorEastAsia" w:eastAsiaTheme="minorEastAsia"/>
                <w:kern w:val="0"/>
                <w:sz w:val="24"/>
                <w:lang w:val="en-US" w:eastAsia="zh-CN"/>
              </w:rPr>
            </w:pPr>
          </w:p>
          <w:p>
            <w:pPr>
              <w:widowControl/>
              <w:spacing w:line="360" w:lineRule="auto"/>
              <w:ind w:left="0" w:firstLine="482" w:firstLineChars="200"/>
              <w:jc w:val="left"/>
              <w:rPr>
                <w:rFonts w:hint="default" w:cs="宋体" w:asciiTheme="minorEastAsia" w:hAnsiTheme="minorEastAsia" w:eastAsiaTheme="minorEastAsia"/>
                <w:kern w:val="0"/>
                <w:sz w:val="24"/>
                <w:szCs w:val="24"/>
                <w:lang w:val="en-US"/>
              </w:rPr>
            </w:pPr>
            <w:r>
              <w:rPr>
                <w:rFonts w:hint="eastAsia" w:cs="宋体" w:asciiTheme="minorEastAsia" w:hAnsiTheme="minorEastAsia" w:eastAsiaTheme="minorEastAsia"/>
                <w:b/>
                <w:bCs/>
                <w:kern w:val="0"/>
                <w:sz w:val="24"/>
                <w:szCs w:val="24"/>
                <w:lang w:val="en-US" w:eastAsia="zh-CN"/>
              </w:rPr>
              <w:t>4.请介绍下公司今年常规复合肥和新型复合肥的销售情况。</w:t>
            </w:r>
          </w:p>
          <w:p>
            <w:pPr>
              <w:widowControl/>
              <w:spacing w:line="360" w:lineRule="auto"/>
              <w:ind w:firstLine="480" w:firstLineChars="200"/>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答：</w:t>
            </w:r>
            <w:r>
              <w:rPr>
                <w:rFonts w:cs="宋体" w:asciiTheme="minorEastAsia" w:hAnsiTheme="minorEastAsia" w:eastAsiaTheme="minorEastAsia"/>
                <w:kern w:val="0"/>
                <w:sz w:val="24"/>
              </w:rPr>
              <w:t>今年一季度</w:t>
            </w:r>
            <w:r>
              <w:rPr>
                <w:rFonts w:hint="eastAsia" w:cs="宋体" w:asciiTheme="minorEastAsia" w:hAnsiTheme="minorEastAsia" w:eastAsiaTheme="minorEastAsia"/>
                <w:kern w:val="0"/>
                <w:sz w:val="24"/>
                <w:lang w:val="en-US" w:eastAsia="zh-CN"/>
              </w:rPr>
              <w:t>受</w:t>
            </w:r>
            <w:r>
              <w:rPr>
                <w:rFonts w:hint="eastAsia" w:cs="宋体" w:asciiTheme="minorEastAsia" w:hAnsiTheme="minorEastAsia" w:eastAsiaTheme="minorEastAsia"/>
                <w:kern w:val="0"/>
                <w:sz w:val="24"/>
              </w:rPr>
              <w:t>新冠</w:t>
            </w:r>
            <w:r>
              <w:rPr>
                <w:rFonts w:hint="eastAsia" w:cs="宋体" w:asciiTheme="minorEastAsia" w:hAnsiTheme="minorEastAsia" w:eastAsiaTheme="minorEastAsia"/>
                <w:kern w:val="0"/>
                <w:sz w:val="24"/>
                <w:lang w:val="en-US" w:eastAsia="zh-CN"/>
              </w:rPr>
              <w:t>疫情影响</w:t>
            </w:r>
            <w:r>
              <w:rPr>
                <w:rFonts w:hint="eastAsia" w:cs="宋体" w:asciiTheme="minorEastAsia" w:hAnsiTheme="minorEastAsia" w:eastAsiaTheme="minorEastAsia"/>
                <w:kern w:val="0"/>
                <w:sz w:val="24"/>
              </w:rPr>
              <w:t>导致停产，</w:t>
            </w:r>
            <w:r>
              <w:rPr>
                <w:rFonts w:cs="宋体" w:asciiTheme="minorEastAsia" w:hAnsiTheme="minorEastAsia" w:eastAsiaTheme="minorEastAsia"/>
                <w:kern w:val="0"/>
                <w:sz w:val="24"/>
              </w:rPr>
              <w:t>新型肥料的</w:t>
            </w:r>
            <w:r>
              <w:rPr>
                <w:rFonts w:hint="eastAsia" w:cs="宋体" w:asciiTheme="minorEastAsia" w:hAnsiTheme="minorEastAsia" w:eastAsiaTheme="minorEastAsia"/>
                <w:kern w:val="0"/>
                <w:sz w:val="24"/>
                <w:lang w:val="en-US" w:eastAsia="zh-CN"/>
              </w:rPr>
              <w:t>销售</w:t>
            </w:r>
            <w:r>
              <w:rPr>
                <w:rFonts w:hint="eastAsia" w:cs="宋体" w:asciiTheme="minorEastAsia" w:hAnsiTheme="minorEastAsia" w:eastAsiaTheme="minorEastAsia"/>
                <w:kern w:val="0"/>
                <w:sz w:val="24"/>
              </w:rPr>
              <w:t>同比大幅</w:t>
            </w:r>
            <w:r>
              <w:rPr>
                <w:rFonts w:cs="宋体" w:asciiTheme="minorEastAsia" w:hAnsiTheme="minorEastAsia" w:eastAsiaTheme="minorEastAsia"/>
                <w:kern w:val="0"/>
                <w:sz w:val="24"/>
              </w:rPr>
              <w:t>下滑</w:t>
            </w:r>
            <w:r>
              <w:rPr>
                <w:rFonts w:hint="eastAsia" w:cs="宋体" w:asciiTheme="minorEastAsia" w:hAnsiTheme="minorEastAsia" w:eastAsiaTheme="minorEastAsia"/>
                <w:kern w:val="0"/>
                <w:sz w:val="24"/>
              </w:rPr>
              <w:t>。公司的新型肥产能主要位于湖北，</w:t>
            </w:r>
            <w:r>
              <w:rPr>
                <w:rFonts w:hint="eastAsia" w:cs="宋体" w:asciiTheme="minorEastAsia" w:hAnsiTheme="minorEastAsia" w:eastAsiaTheme="minorEastAsia"/>
                <w:kern w:val="0"/>
                <w:sz w:val="24"/>
                <w:lang w:val="en-US" w:eastAsia="zh-CN"/>
              </w:rPr>
              <w:t>与</w:t>
            </w:r>
            <w:r>
              <w:rPr>
                <w:rFonts w:hint="eastAsia" w:cs="宋体" w:asciiTheme="minorEastAsia" w:hAnsiTheme="minorEastAsia" w:eastAsiaTheme="minorEastAsia"/>
                <w:kern w:val="0"/>
                <w:sz w:val="24"/>
              </w:rPr>
              <w:t>同行</w:t>
            </w:r>
            <w:r>
              <w:rPr>
                <w:rFonts w:hint="eastAsia" w:cs="宋体" w:asciiTheme="minorEastAsia" w:hAnsiTheme="minorEastAsia" w:eastAsiaTheme="minorEastAsia"/>
                <w:kern w:val="0"/>
                <w:sz w:val="24"/>
                <w:lang w:val="en-US" w:eastAsia="zh-CN"/>
              </w:rPr>
              <w:t>相比</w:t>
            </w:r>
            <w:r>
              <w:rPr>
                <w:rFonts w:hint="eastAsia" w:cs="宋体" w:asciiTheme="minorEastAsia" w:hAnsiTheme="minorEastAsia" w:eastAsiaTheme="minorEastAsia"/>
                <w:kern w:val="0"/>
                <w:sz w:val="24"/>
              </w:rPr>
              <w:t>受疫情的影响最大。一季度是全年最旺的季节，导致公司今年起跑就落后了比较多。</w:t>
            </w:r>
            <w:r>
              <w:rPr>
                <w:rFonts w:cs="宋体" w:asciiTheme="minorEastAsia" w:hAnsiTheme="minorEastAsia" w:eastAsiaTheme="minorEastAsia"/>
                <w:kern w:val="0"/>
                <w:sz w:val="24"/>
              </w:rPr>
              <w:t>6、7月份又碰</w:t>
            </w:r>
            <w:r>
              <w:rPr>
                <w:rFonts w:hint="eastAsia" w:cs="宋体" w:asciiTheme="minorEastAsia" w:hAnsiTheme="minorEastAsia" w:eastAsiaTheme="minorEastAsia"/>
                <w:kern w:val="0"/>
                <w:sz w:val="24"/>
              </w:rPr>
              <w:t>上</w:t>
            </w:r>
            <w:r>
              <w:rPr>
                <w:rFonts w:cs="宋体" w:asciiTheme="minorEastAsia" w:hAnsiTheme="minorEastAsia" w:eastAsiaTheme="minorEastAsia"/>
                <w:kern w:val="0"/>
                <w:sz w:val="24"/>
              </w:rPr>
              <w:t>长江大洪水。湖南、湖北、安徽、江西这四个省</w:t>
            </w:r>
            <w:r>
              <w:rPr>
                <w:rFonts w:hint="eastAsia" w:cs="宋体" w:asciiTheme="minorEastAsia" w:hAnsiTheme="minorEastAsia" w:eastAsiaTheme="minorEastAsia"/>
                <w:kern w:val="0"/>
                <w:sz w:val="24"/>
              </w:rPr>
              <w:t>连续两个月</w:t>
            </w:r>
            <w:r>
              <w:rPr>
                <w:rFonts w:hint="eastAsia" w:cs="宋体" w:asciiTheme="minorEastAsia" w:hAnsiTheme="minorEastAsia" w:eastAsiaTheme="minorEastAsia"/>
                <w:kern w:val="0"/>
                <w:sz w:val="24"/>
                <w:lang w:val="en-US" w:eastAsia="zh-CN"/>
              </w:rPr>
              <w:t>受</w:t>
            </w:r>
            <w:r>
              <w:rPr>
                <w:rFonts w:hint="eastAsia" w:cs="宋体" w:asciiTheme="minorEastAsia" w:hAnsiTheme="minorEastAsia" w:eastAsiaTheme="minorEastAsia"/>
                <w:kern w:val="0"/>
                <w:sz w:val="24"/>
              </w:rPr>
              <w:t>到强降水的影响，</w:t>
            </w:r>
            <w:r>
              <w:rPr>
                <w:rFonts w:hint="eastAsia" w:cs="宋体" w:asciiTheme="minorEastAsia" w:hAnsiTheme="minorEastAsia" w:eastAsiaTheme="minorEastAsia"/>
                <w:kern w:val="0"/>
                <w:sz w:val="24"/>
                <w:lang w:val="en-US" w:eastAsia="zh-CN"/>
              </w:rPr>
              <w:t>其中</w:t>
            </w:r>
            <w:r>
              <w:rPr>
                <w:rFonts w:cs="宋体" w:asciiTheme="minorEastAsia" w:hAnsiTheme="minorEastAsia" w:eastAsiaTheme="minorEastAsia"/>
                <w:kern w:val="0"/>
                <w:sz w:val="24"/>
              </w:rPr>
              <w:t>江西</w:t>
            </w:r>
            <w:r>
              <w:rPr>
                <w:rFonts w:hint="eastAsia" w:cs="宋体" w:asciiTheme="minorEastAsia" w:hAnsiTheme="minorEastAsia" w:eastAsiaTheme="minorEastAsia"/>
                <w:kern w:val="0"/>
                <w:sz w:val="24"/>
                <w:lang w:eastAsia="zh-CN"/>
              </w:rPr>
              <w:t>、</w:t>
            </w:r>
            <w:r>
              <w:rPr>
                <w:rFonts w:cs="宋体" w:asciiTheme="minorEastAsia" w:hAnsiTheme="minorEastAsia" w:eastAsiaTheme="minorEastAsia"/>
                <w:kern w:val="0"/>
                <w:sz w:val="24"/>
              </w:rPr>
              <w:t>湖北、湖南恰好是公司</w:t>
            </w:r>
            <w:r>
              <w:rPr>
                <w:rFonts w:hint="eastAsia" w:cs="宋体" w:asciiTheme="minorEastAsia" w:hAnsiTheme="minorEastAsia" w:eastAsiaTheme="minorEastAsia"/>
                <w:kern w:val="0"/>
                <w:sz w:val="24"/>
                <w:lang w:val="en-US" w:eastAsia="zh-CN"/>
              </w:rPr>
              <w:t>新型肥</w:t>
            </w:r>
            <w:r>
              <w:rPr>
                <w:rFonts w:cs="宋体" w:asciiTheme="minorEastAsia" w:hAnsiTheme="minorEastAsia" w:eastAsiaTheme="minorEastAsia"/>
                <w:kern w:val="0"/>
                <w:sz w:val="24"/>
              </w:rPr>
              <w:t>强势销售的优势区域，所以长江大洪水对公司</w:t>
            </w:r>
            <w:r>
              <w:rPr>
                <w:rFonts w:hint="eastAsia" w:cs="宋体" w:asciiTheme="minorEastAsia" w:hAnsiTheme="minorEastAsia" w:eastAsiaTheme="minorEastAsia"/>
                <w:kern w:val="0"/>
                <w:sz w:val="24"/>
                <w:lang w:val="en-US" w:eastAsia="zh-CN"/>
              </w:rPr>
              <w:t>6、7月新型肥销售</w:t>
            </w:r>
            <w:r>
              <w:rPr>
                <w:rFonts w:cs="宋体" w:asciiTheme="minorEastAsia" w:hAnsiTheme="minorEastAsia" w:eastAsiaTheme="minorEastAsia"/>
                <w:kern w:val="0"/>
                <w:sz w:val="24"/>
              </w:rPr>
              <w:t>影响很大。</w:t>
            </w:r>
            <w:r>
              <w:rPr>
                <w:rFonts w:ascii="宋体" w:hAnsi="宋体" w:eastAsia="宋体" w:cs="宋体"/>
                <w:sz w:val="24"/>
                <w:szCs w:val="24"/>
              </w:rPr>
              <w:t>虽然今年遇上了很多困难，但在其余几个月新型肥都保持了</w:t>
            </w:r>
            <w:r>
              <w:rPr>
                <w:rFonts w:hint="eastAsia" w:ascii="宋体" w:hAnsi="宋体" w:cs="宋体"/>
                <w:sz w:val="24"/>
                <w:szCs w:val="24"/>
                <w:lang w:val="en-US" w:eastAsia="zh-CN"/>
              </w:rPr>
              <w:t>20%以上</w:t>
            </w:r>
            <w:r>
              <w:rPr>
                <w:rFonts w:ascii="宋体" w:hAnsi="宋体" w:eastAsia="宋体" w:cs="宋体"/>
                <w:sz w:val="24"/>
                <w:szCs w:val="24"/>
              </w:rPr>
              <w:t>的增长</w:t>
            </w:r>
            <w:r>
              <w:rPr>
                <w:rFonts w:hint="eastAsia" w:ascii="宋体" w:hAnsi="宋体" w:cs="宋体"/>
                <w:sz w:val="24"/>
                <w:szCs w:val="24"/>
                <w:lang w:eastAsia="zh-CN"/>
              </w:rPr>
              <w:t>。</w:t>
            </w:r>
            <w:r>
              <w:rPr>
                <w:rFonts w:hint="eastAsia" w:ascii="宋体" w:hAnsi="宋体" w:cs="宋体"/>
                <w:sz w:val="24"/>
                <w:szCs w:val="24"/>
                <w:lang w:val="en-US" w:eastAsia="zh-CN"/>
              </w:rPr>
              <w:t>因此全年来看新型肥料</w:t>
            </w:r>
            <w:r>
              <w:rPr>
                <w:rFonts w:ascii="宋体" w:hAnsi="宋体" w:eastAsia="宋体" w:cs="宋体"/>
                <w:sz w:val="24"/>
                <w:szCs w:val="24"/>
              </w:rPr>
              <w:t>我们仍然有信心实现10%左右的销量增速。</w:t>
            </w:r>
            <w:r>
              <w:rPr>
                <w:rFonts w:hint="eastAsia" w:cs="宋体" w:asciiTheme="minorEastAsia" w:hAnsiTheme="minorEastAsia" w:eastAsiaTheme="minorEastAsia"/>
                <w:kern w:val="0"/>
                <w:sz w:val="24"/>
              </w:rPr>
              <w:t>展望明年，在不利的一次性因素消除后，公司有信心在新型肥销量上</w:t>
            </w:r>
            <w:r>
              <w:rPr>
                <w:rFonts w:hint="eastAsia" w:cs="宋体" w:asciiTheme="minorEastAsia" w:hAnsiTheme="minorEastAsia" w:eastAsiaTheme="minorEastAsia"/>
                <w:kern w:val="0"/>
                <w:sz w:val="24"/>
                <w:lang w:val="en-US" w:eastAsia="zh-CN"/>
              </w:rPr>
              <w:t>取得更好成绩</w:t>
            </w:r>
            <w:r>
              <w:rPr>
                <w:rFonts w:hint="eastAsia" w:cs="宋体" w:asciiTheme="minorEastAsia" w:hAnsiTheme="minorEastAsia" w:eastAsiaTheme="minorEastAsia"/>
                <w:kern w:val="0"/>
                <w:sz w:val="24"/>
              </w:rPr>
              <w:t>。</w:t>
            </w:r>
          </w:p>
          <w:p>
            <w:pPr>
              <w:widowControl/>
              <w:spacing w:line="360" w:lineRule="auto"/>
              <w:ind w:firstLine="480" w:firstLineChars="200"/>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因为行业需求受到粮食价格上涨的正向拉动，以及下游经销商补库存积极性较高，常规复合肥今年也有5%以上的销量增速。</w:t>
            </w:r>
          </w:p>
          <w:p>
            <w:pPr>
              <w:widowControl/>
              <w:spacing w:line="360" w:lineRule="auto"/>
              <w:ind w:firstLine="480" w:firstLineChars="200"/>
              <w:jc w:val="left"/>
              <w:rPr>
                <w:rFonts w:hint="default" w:cs="宋体" w:asciiTheme="minorEastAsia" w:hAnsiTheme="minorEastAsia" w:eastAsiaTheme="minorEastAsia"/>
                <w:kern w:val="0"/>
                <w:sz w:val="24"/>
                <w:lang w:val="en-US" w:eastAsia="zh-CN"/>
              </w:rPr>
            </w:pPr>
          </w:p>
          <w:p>
            <w:pPr>
              <w:widowControl/>
              <w:numPr>
                <w:ilvl w:val="0"/>
                <w:numId w:val="1"/>
              </w:numPr>
              <w:spacing w:line="360" w:lineRule="auto"/>
              <w:ind w:left="0" w:firstLine="482" w:firstLineChars="200"/>
              <w:jc w:val="left"/>
              <w:rPr>
                <w:rFonts w:hint="eastAsia" w:cs="宋体" w:asciiTheme="minorEastAsia" w:hAnsiTheme="minorEastAsia" w:eastAsiaTheme="minorEastAsia"/>
                <w:b/>
                <w:bCs/>
                <w:kern w:val="0"/>
                <w:sz w:val="24"/>
                <w:szCs w:val="24"/>
                <w:lang w:val="en-US" w:eastAsia="zh-CN"/>
              </w:rPr>
            </w:pPr>
            <w:r>
              <w:rPr>
                <w:rFonts w:hint="eastAsia" w:cs="宋体" w:asciiTheme="minorEastAsia" w:hAnsiTheme="minorEastAsia" w:eastAsiaTheme="minorEastAsia"/>
                <w:b/>
                <w:bCs/>
                <w:kern w:val="0"/>
                <w:sz w:val="24"/>
                <w:szCs w:val="24"/>
                <w:lang w:val="en-US" w:eastAsia="zh-CN"/>
              </w:rPr>
              <w:t>请介绍下公司为新型肥市场拓展做了哪些工作。</w:t>
            </w:r>
          </w:p>
          <w:p>
            <w:pPr>
              <w:widowControl/>
              <w:spacing w:line="360" w:lineRule="auto"/>
              <w:ind w:firstLine="480" w:firstLineChars="200"/>
              <w:jc w:val="left"/>
              <w:rPr>
                <w:rFonts w:hint="eastAsia" w:ascii="宋体" w:hAnsi="宋体"/>
                <w:sz w:val="24"/>
                <w:lang w:val="zh-CN"/>
              </w:rPr>
            </w:pPr>
            <w:r>
              <w:rPr>
                <w:rFonts w:hint="eastAsia" w:cs="宋体" w:asciiTheme="minorEastAsia" w:hAnsiTheme="minorEastAsia" w:eastAsiaTheme="minorEastAsia"/>
                <w:kern w:val="0"/>
                <w:sz w:val="24"/>
              </w:rPr>
              <w:t>答：</w:t>
            </w:r>
            <w:r>
              <w:rPr>
                <w:rFonts w:hint="eastAsia" w:ascii="宋体" w:hAnsi="宋体"/>
                <w:sz w:val="24"/>
                <w:lang w:val="zh-CN"/>
              </w:rPr>
              <w:t>公司紧跟国家绿色发展战略要求，着力开拓新型肥料市场，大力推进产品创新战略，针对新型肥料的研发、技术推广和市场营销分别打造了高效的研发团队、技术服务团队和市场营销团队。</w:t>
            </w:r>
          </w:p>
          <w:p>
            <w:pPr>
              <w:autoSpaceDE w:val="0"/>
              <w:autoSpaceDN w:val="0"/>
              <w:adjustRightInd w:val="0"/>
              <w:spacing w:before="0" w:beforeLines="0" w:after="0" w:afterLines="0" w:line="360" w:lineRule="auto"/>
              <w:ind w:firstLine="480"/>
              <w:rPr>
                <w:rFonts w:hint="eastAsia" w:ascii="宋体" w:hAnsi="宋体"/>
                <w:sz w:val="24"/>
                <w:lang w:val="en-US" w:eastAsia="zh-CN"/>
              </w:rPr>
            </w:pPr>
            <w:r>
              <w:rPr>
                <w:rFonts w:hint="eastAsia" w:ascii="宋体" w:hAnsi="宋体"/>
                <w:sz w:val="24"/>
                <w:lang w:val="en-US" w:eastAsia="zh-CN"/>
              </w:rPr>
              <w:t>研发团队方面，公司拥有一支由重点农业院校硕士、博士组成的研发团队，在科学研究市场差异化需求与现有产品结构的基础上，不断加大研发投入、强化产学研合作，积极研发推广了专用配方肥、水溶肥、液体肥、生物有机肥等一系列环境友好、养分高效、功能集成的新型肥料，今年7月底推出的“洋丰优雅系列”就是公司经过一年多时间自主研发的一款对标国际一流品牌的新型肥产品。</w:t>
            </w:r>
          </w:p>
          <w:p>
            <w:pPr>
              <w:autoSpaceDE w:val="0"/>
              <w:autoSpaceDN w:val="0"/>
              <w:adjustRightInd w:val="0"/>
              <w:spacing w:before="0" w:beforeLines="0" w:after="0" w:afterLines="0" w:line="360" w:lineRule="auto"/>
              <w:ind w:firstLine="480"/>
              <w:rPr>
                <w:rFonts w:hint="eastAsia" w:ascii="宋体" w:hAnsi="宋体"/>
                <w:sz w:val="24"/>
                <w:lang w:val="zh-CN"/>
              </w:rPr>
            </w:pPr>
            <w:r>
              <w:rPr>
                <w:rFonts w:hint="eastAsia" w:ascii="宋体" w:hAnsi="宋体"/>
                <w:sz w:val="24"/>
                <w:lang w:val="en-US" w:eastAsia="zh-CN"/>
              </w:rPr>
              <w:t>技术推广团队方面，公司2017年底</w:t>
            </w:r>
            <w:r>
              <w:rPr>
                <w:rFonts w:hint="eastAsia" w:ascii="宋体" w:hAnsi="宋体"/>
                <w:sz w:val="24"/>
                <w:lang w:val="zh-CN"/>
              </w:rPr>
              <w:t>聘请了分管技术服务的高管</w:t>
            </w:r>
            <w:r>
              <w:rPr>
                <w:rFonts w:hint="eastAsia" w:ascii="宋体" w:hAnsi="宋体"/>
                <w:sz w:val="24"/>
                <w:lang w:val="en-US" w:eastAsia="zh-CN"/>
              </w:rPr>
              <w:t>包雪梅博士</w:t>
            </w:r>
            <w:r>
              <w:rPr>
                <w:rFonts w:hint="eastAsia" w:ascii="宋体" w:hAnsi="宋体"/>
                <w:sz w:val="24"/>
                <w:lang w:val="zh-CN"/>
              </w:rPr>
              <w:t>，2018年开始组建技术服务部门，现已形成一支100余名经验丰富的农技师组成的高素质专业队伍，这些农技师均毕业于国内著名农业院校，普遍具备硕士学位。</w:t>
            </w:r>
            <w:r>
              <w:rPr>
                <w:rFonts w:hint="eastAsia" w:ascii="宋体" w:hAnsi="宋体"/>
                <w:sz w:val="24"/>
                <w:lang w:val="en-US" w:eastAsia="zh-CN"/>
              </w:rPr>
              <w:t>公司还</w:t>
            </w:r>
            <w:r>
              <w:rPr>
                <w:rFonts w:hint="eastAsia" w:ascii="宋体" w:hAnsi="宋体"/>
                <w:sz w:val="24"/>
                <w:lang w:val="zh-CN"/>
              </w:rPr>
              <w:t>通过建设高标准示范田，向经销商与种植户直观展示新型肥的肥效，助力新型肥料推广。</w:t>
            </w:r>
            <w:r>
              <w:rPr>
                <w:rFonts w:hint="eastAsia" w:ascii="宋体" w:hAnsi="宋体"/>
                <w:sz w:val="24"/>
                <w:lang w:val="en-US" w:eastAsia="zh-CN"/>
              </w:rPr>
              <w:t>2020年，公司示范田建设取得飞速进展，</w:t>
            </w:r>
            <w:r>
              <w:rPr>
                <w:rFonts w:hint="eastAsia" w:ascii="宋体" w:hAnsi="宋体"/>
                <w:sz w:val="24"/>
                <w:lang w:val="zh-CN"/>
              </w:rPr>
              <w:t>截至2020年6月，公司技术服务部门已建设完成428块高标准示范田基地，较2019年底增加191块，规模居业内领先水平。</w:t>
            </w:r>
          </w:p>
          <w:p>
            <w:pPr>
              <w:autoSpaceDE w:val="0"/>
              <w:autoSpaceDN w:val="0"/>
              <w:adjustRightInd w:val="0"/>
              <w:spacing w:before="0" w:beforeLines="0" w:after="0" w:afterLines="0" w:line="360" w:lineRule="auto"/>
              <w:ind w:firstLine="480"/>
              <w:rPr>
                <w:rFonts w:hint="default" w:ascii="宋体" w:hAnsi="宋体"/>
                <w:sz w:val="24"/>
                <w:lang w:val="zh-CN"/>
              </w:rPr>
            </w:pPr>
            <w:r>
              <w:rPr>
                <w:rFonts w:hint="eastAsia" w:ascii="宋体" w:hAnsi="宋体"/>
                <w:sz w:val="24"/>
                <w:lang w:val="en-US" w:eastAsia="zh-CN"/>
              </w:rPr>
              <w:t>由于技术服务团队成立仅两年有余，公司的新型肥料还在放量初期，</w:t>
            </w:r>
            <w:r>
              <w:rPr>
                <w:rFonts w:hint="eastAsia" w:ascii="宋体" w:hAnsi="宋体"/>
                <w:sz w:val="24"/>
                <w:lang w:val="zh-CN"/>
              </w:rPr>
              <w:t>公司未来</w:t>
            </w:r>
            <w:r>
              <w:rPr>
                <w:rFonts w:hint="eastAsia" w:ascii="宋体" w:hAnsi="宋体"/>
                <w:sz w:val="24"/>
                <w:lang w:val="en-US" w:eastAsia="zh-CN"/>
              </w:rPr>
              <w:t>几年</w:t>
            </w:r>
            <w:r>
              <w:rPr>
                <w:rFonts w:hint="eastAsia" w:ascii="宋体" w:hAnsi="宋体"/>
                <w:sz w:val="24"/>
                <w:lang w:val="zh-CN"/>
              </w:rPr>
              <w:t>仍将持续扩充农技师团队的规模，</w:t>
            </w:r>
            <w:r>
              <w:rPr>
                <w:rFonts w:hint="eastAsia" w:ascii="宋体" w:hAnsi="宋体"/>
                <w:sz w:val="24"/>
                <w:lang w:val="en-US" w:eastAsia="zh-CN"/>
              </w:rPr>
              <w:t>2021年拟将技术服务团队扩充至200人，</w:t>
            </w:r>
            <w:r>
              <w:rPr>
                <w:rFonts w:hint="eastAsia" w:ascii="宋体" w:hAnsi="宋体"/>
                <w:sz w:val="24"/>
                <w:lang w:val="zh-CN"/>
              </w:rPr>
              <w:t>通过提供优质高效的技术服务实行差异化竞争，提升产品附加值和竞争力，增强经销商与种植户粘性。</w:t>
            </w:r>
          </w:p>
          <w:p>
            <w:pPr>
              <w:widowControl/>
              <w:spacing w:line="360" w:lineRule="auto"/>
              <w:ind w:left="0" w:firstLine="480" w:firstLineChars="200"/>
              <w:jc w:val="left"/>
              <w:rPr>
                <w:rFonts w:hint="eastAsia" w:cs="宋体" w:asciiTheme="minorEastAsia" w:hAnsiTheme="minorEastAsia" w:eastAsiaTheme="minorEastAsia"/>
                <w:kern w:val="0"/>
                <w:sz w:val="24"/>
                <w:szCs w:val="24"/>
                <w:lang w:val="en-US" w:eastAsia="zh-CN"/>
              </w:rPr>
            </w:pPr>
            <w:r>
              <w:rPr>
                <w:rFonts w:hint="eastAsia" w:ascii="宋体" w:hAnsi="宋体"/>
                <w:sz w:val="24"/>
                <w:lang w:val="en-US" w:eastAsia="zh-CN"/>
              </w:rPr>
              <w:t>新型肥产能方面，</w:t>
            </w:r>
            <w:r>
              <w:rPr>
                <w:rFonts w:hint="eastAsia" w:cs="宋体" w:asciiTheme="minorEastAsia" w:hAnsiTheme="minorEastAsia" w:eastAsiaTheme="minorEastAsia"/>
                <w:kern w:val="0"/>
                <w:sz w:val="24"/>
                <w:szCs w:val="24"/>
              </w:rPr>
              <w:t>公司今年投建</w:t>
            </w:r>
            <w:r>
              <w:rPr>
                <w:rFonts w:cs="宋体" w:asciiTheme="minorEastAsia" w:hAnsiTheme="minorEastAsia" w:eastAsiaTheme="minorEastAsia"/>
                <w:kern w:val="0"/>
                <w:sz w:val="24"/>
                <w:szCs w:val="24"/>
              </w:rPr>
              <w:t>30万吨的高品质经济作物专用肥，</w:t>
            </w:r>
            <w:r>
              <w:rPr>
                <w:rFonts w:hint="eastAsia" w:cs="宋体" w:asciiTheme="minorEastAsia" w:hAnsiTheme="minorEastAsia" w:eastAsiaTheme="minorEastAsia"/>
                <w:kern w:val="0"/>
                <w:sz w:val="24"/>
                <w:szCs w:val="24"/>
                <w:lang w:val="en-US" w:eastAsia="zh-CN"/>
              </w:rPr>
              <w:t>有望</w:t>
            </w:r>
            <w:r>
              <w:rPr>
                <w:rFonts w:hint="eastAsia" w:cs="宋体" w:asciiTheme="minorEastAsia" w:hAnsiTheme="minorEastAsia" w:eastAsiaTheme="minorEastAsia"/>
                <w:kern w:val="0"/>
                <w:sz w:val="24"/>
                <w:szCs w:val="24"/>
              </w:rPr>
              <w:t>在</w:t>
            </w:r>
            <w:r>
              <w:rPr>
                <w:rFonts w:cs="宋体" w:asciiTheme="minorEastAsia" w:hAnsiTheme="minorEastAsia" w:eastAsiaTheme="minorEastAsia"/>
                <w:kern w:val="0"/>
                <w:sz w:val="24"/>
                <w:szCs w:val="24"/>
              </w:rPr>
              <w:t>明年的6、7月份能够投产，</w:t>
            </w:r>
            <w:r>
              <w:rPr>
                <w:rFonts w:hint="eastAsia" w:cs="宋体" w:asciiTheme="minorEastAsia" w:hAnsiTheme="minorEastAsia" w:eastAsiaTheme="minorEastAsia"/>
                <w:kern w:val="0"/>
                <w:sz w:val="24"/>
                <w:szCs w:val="24"/>
                <w:lang w:val="en-US" w:eastAsia="zh-CN"/>
              </w:rPr>
              <w:t>将有效助力</w:t>
            </w:r>
            <w:r>
              <w:rPr>
                <w:rFonts w:hint="eastAsia" w:cs="宋体" w:asciiTheme="minorEastAsia" w:hAnsiTheme="minorEastAsia" w:eastAsiaTheme="minorEastAsia"/>
                <w:kern w:val="0"/>
                <w:sz w:val="24"/>
                <w:szCs w:val="24"/>
              </w:rPr>
              <w:t>对明年秋肥期间销量的</w:t>
            </w:r>
            <w:r>
              <w:rPr>
                <w:rFonts w:cs="宋体" w:asciiTheme="minorEastAsia" w:hAnsiTheme="minorEastAsia" w:eastAsiaTheme="minorEastAsia"/>
                <w:kern w:val="0"/>
                <w:sz w:val="24"/>
                <w:szCs w:val="24"/>
              </w:rPr>
              <w:t>提升。</w:t>
            </w:r>
            <w:r>
              <w:rPr>
                <w:rFonts w:hint="eastAsia" w:cs="宋体" w:asciiTheme="minorEastAsia" w:hAnsiTheme="minorEastAsia" w:eastAsiaTheme="minorEastAsia"/>
                <w:kern w:val="0"/>
                <w:sz w:val="24"/>
                <w:szCs w:val="24"/>
                <w:lang w:val="en-US" w:eastAsia="zh-CN"/>
              </w:rPr>
              <w:t>新建产能均为公司</w:t>
            </w:r>
            <w:r>
              <w:rPr>
                <w:rFonts w:hint="eastAsia" w:cs="宋体" w:asciiTheme="minorEastAsia" w:hAnsiTheme="minorEastAsia" w:eastAsiaTheme="minorEastAsia"/>
                <w:kern w:val="0"/>
                <w:sz w:val="24"/>
                <w:szCs w:val="24"/>
              </w:rPr>
              <w:t>现有的</w:t>
            </w:r>
            <w:r>
              <w:rPr>
                <w:rFonts w:cs="宋体" w:asciiTheme="minorEastAsia" w:hAnsiTheme="minorEastAsia" w:eastAsiaTheme="minorEastAsia"/>
                <w:kern w:val="0"/>
                <w:sz w:val="24"/>
                <w:szCs w:val="24"/>
              </w:rPr>
              <w:t>产能</w:t>
            </w:r>
            <w:r>
              <w:rPr>
                <w:rFonts w:hint="eastAsia" w:cs="宋体" w:asciiTheme="minorEastAsia" w:hAnsiTheme="minorEastAsia" w:eastAsiaTheme="minorEastAsia"/>
                <w:kern w:val="0"/>
                <w:sz w:val="24"/>
                <w:szCs w:val="24"/>
              </w:rPr>
              <w:t>不足或者</w:t>
            </w:r>
            <w:r>
              <w:rPr>
                <w:rFonts w:cs="宋体" w:asciiTheme="minorEastAsia" w:hAnsiTheme="minorEastAsia" w:eastAsiaTheme="minorEastAsia"/>
                <w:kern w:val="0"/>
                <w:sz w:val="24"/>
                <w:szCs w:val="24"/>
              </w:rPr>
              <w:t>甚至都没有产能的</w:t>
            </w:r>
            <w:r>
              <w:rPr>
                <w:rFonts w:hint="eastAsia" w:cs="宋体" w:asciiTheme="minorEastAsia" w:hAnsiTheme="minorEastAsia" w:eastAsiaTheme="minorEastAsia"/>
                <w:kern w:val="0"/>
                <w:sz w:val="24"/>
                <w:szCs w:val="24"/>
              </w:rPr>
              <w:t>品种</w:t>
            </w:r>
            <w:r>
              <w:rPr>
                <w:rFonts w:cs="宋体" w:asciiTheme="minorEastAsia" w:hAnsiTheme="minorEastAsia" w:eastAsiaTheme="minorEastAsia"/>
                <w:kern w:val="0"/>
                <w:sz w:val="24"/>
                <w:szCs w:val="24"/>
              </w:rPr>
              <w:t>，</w:t>
            </w:r>
            <w:r>
              <w:rPr>
                <w:rFonts w:hint="eastAsia" w:cs="宋体" w:asciiTheme="minorEastAsia" w:hAnsiTheme="minorEastAsia" w:eastAsiaTheme="minorEastAsia"/>
                <w:kern w:val="0"/>
                <w:sz w:val="24"/>
                <w:szCs w:val="24"/>
                <w:lang w:val="en-US" w:eastAsia="zh-CN"/>
              </w:rPr>
              <w:t>建成后产能利用率将为较高水平。未来几年，公司也将视市场需求和产能利用率情况投建新型肥产能。</w:t>
            </w:r>
          </w:p>
          <w:p>
            <w:pPr>
              <w:widowControl/>
              <w:spacing w:line="360" w:lineRule="auto"/>
              <w:ind w:left="0" w:firstLine="480" w:firstLineChars="200"/>
              <w:jc w:val="left"/>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eastAsiaTheme="minorEastAsia"/>
                <w:kern w:val="0"/>
                <w:sz w:val="24"/>
                <w:szCs w:val="24"/>
                <w:lang w:val="en-US" w:eastAsia="zh-CN"/>
              </w:rPr>
              <w:t>市场营销方面，公司为加快拓展新型肥市场，将销售人员的考核政策向新型肥料倾斜。品牌拓展方面，公司全新品牌“力赛诺”定位为高端品牌，对标国际一流产品，结合我国农业需求，推出了四大类30余款新品，设计出公司最高端的新型肥料产品。</w:t>
            </w:r>
          </w:p>
          <w:p>
            <w:pPr>
              <w:widowControl/>
              <w:spacing w:line="360" w:lineRule="auto"/>
              <w:ind w:left="0" w:firstLine="480" w:firstLineChars="200"/>
              <w:jc w:val="left"/>
              <w:rPr>
                <w:rFonts w:hint="default" w:cs="宋体" w:asciiTheme="minorEastAsia" w:hAnsiTheme="minorEastAsia" w:eastAsiaTheme="minorEastAsia"/>
                <w:kern w:val="0"/>
                <w:sz w:val="24"/>
                <w:szCs w:val="24"/>
                <w:lang w:val="en-US" w:eastAsia="zh-CN"/>
              </w:rPr>
            </w:pPr>
            <w:r>
              <w:rPr>
                <w:rFonts w:hint="eastAsia" w:cs="宋体" w:asciiTheme="minorEastAsia" w:hAnsiTheme="minorEastAsia" w:eastAsiaTheme="minorEastAsia"/>
                <w:kern w:val="0"/>
                <w:sz w:val="24"/>
                <w:szCs w:val="24"/>
                <w:lang w:val="en-US" w:eastAsia="zh-CN"/>
              </w:rPr>
              <w:t>通过以上全方面的储备，</w:t>
            </w:r>
            <w:r>
              <w:rPr>
                <w:rFonts w:hint="eastAsia" w:cs="宋体" w:asciiTheme="minorEastAsia" w:hAnsiTheme="minorEastAsia" w:eastAsiaTheme="minorEastAsia"/>
                <w:kern w:val="0"/>
                <w:sz w:val="24"/>
              </w:rPr>
              <w:t>展望</w:t>
            </w:r>
            <w:r>
              <w:rPr>
                <w:rFonts w:hint="eastAsia" w:cs="宋体" w:asciiTheme="minorEastAsia" w:hAnsiTheme="minorEastAsia" w:eastAsiaTheme="minorEastAsia"/>
                <w:kern w:val="0"/>
                <w:sz w:val="24"/>
                <w:lang w:val="en-US" w:eastAsia="zh-CN"/>
              </w:rPr>
              <w:t>未来几年</w:t>
            </w:r>
            <w:r>
              <w:rPr>
                <w:rFonts w:hint="eastAsia" w:cs="宋体" w:asciiTheme="minorEastAsia" w:hAnsiTheme="minorEastAsia" w:eastAsiaTheme="minorEastAsia"/>
                <w:kern w:val="0"/>
                <w:sz w:val="24"/>
              </w:rPr>
              <w:t>，公司有信心在新型肥销量上</w:t>
            </w:r>
            <w:r>
              <w:rPr>
                <w:rFonts w:hint="eastAsia" w:cs="宋体" w:asciiTheme="minorEastAsia" w:hAnsiTheme="minorEastAsia" w:eastAsiaTheme="minorEastAsia"/>
                <w:kern w:val="0"/>
                <w:sz w:val="24"/>
                <w:lang w:val="en-US" w:eastAsia="zh-CN"/>
              </w:rPr>
              <w:t>取得更好成绩</w:t>
            </w:r>
            <w:r>
              <w:rPr>
                <w:rFonts w:hint="eastAsia" w:cs="宋体" w:asciiTheme="minorEastAsia" w:hAnsiTheme="minorEastAsia" w:eastAsiaTheme="minorEastAsia"/>
                <w:kern w:val="0"/>
                <w:sz w:val="24"/>
              </w:rPr>
              <w:t>。</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附件清单</w:t>
            </w:r>
          </w:p>
        </w:tc>
        <w:tc>
          <w:tcPr>
            <w:tcW w:w="7446" w:type="dxa"/>
            <w:tcBorders>
              <w:top w:val="single" w:color="auto" w:sz="4" w:space="0"/>
              <w:left w:val="single" w:color="auto" w:sz="4" w:space="0"/>
              <w:bottom w:val="single" w:color="auto" w:sz="4" w:space="0"/>
              <w:right w:val="single" w:color="auto" w:sz="4" w:space="0"/>
            </w:tcBorders>
          </w:tcPr>
          <w:p>
            <w:pPr>
              <w:spacing w:line="360" w:lineRule="auto"/>
              <w:rPr>
                <w:bCs/>
                <w:iCs/>
                <w:color w:val="000000"/>
                <w:sz w:val="24"/>
              </w:rPr>
            </w:pPr>
            <w:r>
              <w:rPr>
                <w:rFonts w:hint="eastAsia"/>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4"/>
              </w:rPr>
            </w:pPr>
            <w:r>
              <w:rPr>
                <w:rFonts w:hint="eastAsia"/>
                <w:bCs/>
                <w:iCs/>
                <w:color w:val="000000"/>
                <w:sz w:val="24"/>
              </w:rPr>
              <w:t>日期</w:t>
            </w:r>
          </w:p>
        </w:tc>
        <w:tc>
          <w:tcPr>
            <w:tcW w:w="7446" w:type="dxa"/>
            <w:tcBorders>
              <w:top w:val="single" w:color="auto" w:sz="4" w:space="0"/>
              <w:left w:val="single" w:color="auto" w:sz="4" w:space="0"/>
              <w:bottom w:val="single" w:color="auto" w:sz="4" w:space="0"/>
              <w:right w:val="single" w:color="auto" w:sz="4" w:space="0"/>
            </w:tcBorders>
          </w:tcPr>
          <w:p>
            <w:pPr>
              <w:spacing w:line="360" w:lineRule="auto"/>
              <w:rPr>
                <w:bCs/>
                <w:iCs/>
                <w:color w:val="000000"/>
                <w:sz w:val="24"/>
              </w:rPr>
            </w:pPr>
            <w:r>
              <w:rPr>
                <w:rFonts w:hint="eastAsia"/>
                <w:bCs/>
                <w:iCs/>
                <w:color w:val="000000"/>
                <w:sz w:val="24"/>
              </w:rPr>
              <w:t>20</w:t>
            </w:r>
            <w:r>
              <w:rPr>
                <w:bCs/>
                <w:iCs/>
                <w:color w:val="000000"/>
                <w:sz w:val="24"/>
              </w:rPr>
              <w:t>20</w:t>
            </w:r>
            <w:r>
              <w:rPr>
                <w:rFonts w:hint="eastAsia"/>
                <w:bCs/>
                <w:iCs/>
                <w:color w:val="000000"/>
                <w:sz w:val="24"/>
              </w:rPr>
              <w:t>年1</w:t>
            </w:r>
            <w:r>
              <w:rPr>
                <w:rFonts w:hint="eastAsia"/>
                <w:bCs/>
                <w:iCs/>
                <w:color w:val="000000"/>
                <w:sz w:val="24"/>
                <w:lang w:val="en-US" w:eastAsia="zh-CN"/>
              </w:rPr>
              <w:t>1</w:t>
            </w:r>
            <w:r>
              <w:rPr>
                <w:rFonts w:hint="eastAsia"/>
                <w:bCs/>
                <w:iCs/>
                <w:color w:val="000000"/>
                <w:sz w:val="24"/>
              </w:rPr>
              <w:t>月</w:t>
            </w:r>
            <w:r>
              <w:rPr>
                <w:rFonts w:hint="eastAsia"/>
                <w:bCs/>
                <w:iCs/>
                <w:color w:val="000000"/>
                <w:sz w:val="24"/>
                <w:lang w:val="en-US" w:eastAsia="zh-CN"/>
              </w:rPr>
              <w:t>18</w:t>
            </w:r>
            <w:r>
              <w:rPr>
                <w:rFonts w:hint="eastAsia"/>
                <w:bCs/>
                <w:iCs/>
                <w:color w:val="000000"/>
                <w:sz w:val="24"/>
              </w:rPr>
              <w:t>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D096D"/>
    <w:multiLevelType w:val="singleLevel"/>
    <w:tmpl w:val="64BD096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DF"/>
    <w:rsid w:val="00000BF9"/>
    <w:rsid w:val="000110F6"/>
    <w:rsid w:val="000115A2"/>
    <w:rsid w:val="000126C5"/>
    <w:rsid w:val="000169A7"/>
    <w:rsid w:val="00017959"/>
    <w:rsid w:val="000200A8"/>
    <w:rsid w:val="00025A87"/>
    <w:rsid w:val="000268E2"/>
    <w:rsid w:val="00026B12"/>
    <w:rsid w:val="0003077E"/>
    <w:rsid w:val="00033466"/>
    <w:rsid w:val="0003405A"/>
    <w:rsid w:val="0004073B"/>
    <w:rsid w:val="000408DC"/>
    <w:rsid w:val="00040D93"/>
    <w:rsid w:val="0004413F"/>
    <w:rsid w:val="00044342"/>
    <w:rsid w:val="000467BC"/>
    <w:rsid w:val="00046CC9"/>
    <w:rsid w:val="00047561"/>
    <w:rsid w:val="00052A6D"/>
    <w:rsid w:val="00053035"/>
    <w:rsid w:val="0005554B"/>
    <w:rsid w:val="00056713"/>
    <w:rsid w:val="000608DD"/>
    <w:rsid w:val="00060A14"/>
    <w:rsid w:val="00061C4E"/>
    <w:rsid w:val="0006331D"/>
    <w:rsid w:val="00064BFC"/>
    <w:rsid w:val="00071C65"/>
    <w:rsid w:val="000720F3"/>
    <w:rsid w:val="000752DE"/>
    <w:rsid w:val="00076903"/>
    <w:rsid w:val="0007771B"/>
    <w:rsid w:val="000802FB"/>
    <w:rsid w:val="00085AF4"/>
    <w:rsid w:val="000871E1"/>
    <w:rsid w:val="00090EF2"/>
    <w:rsid w:val="00093A4E"/>
    <w:rsid w:val="00097D24"/>
    <w:rsid w:val="000A0EB7"/>
    <w:rsid w:val="000A3BD2"/>
    <w:rsid w:val="000A5DD6"/>
    <w:rsid w:val="000A7F6C"/>
    <w:rsid w:val="000B08F1"/>
    <w:rsid w:val="000B50D4"/>
    <w:rsid w:val="000C0349"/>
    <w:rsid w:val="000C2154"/>
    <w:rsid w:val="000C588A"/>
    <w:rsid w:val="000D3FBD"/>
    <w:rsid w:val="000D58D8"/>
    <w:rsid w:val="000D6819"/>
    <w:rsid w:val="000D7F2C"/>
    <w:rsid w:val="000E02E0"/>
    <w:rsid w:val="000E4138"/>
    <w:rsid w:val="000E504C"/>
    <w:rsid w:val="000E58FC"/>
    <w:rsid w:val="000E7E75"/>
    <w:rsid w:val="000F27F2"/>
    <w:rsid w:val="000F3447"/>
    <w:rsid w:val="000F56FB"/>
    <w:rsid w:val="000F6B1E"/>
    <w:rsid w:val="00101B29"/>
    <w:rsid w:val="00104DB2"/>
    <w:rsid w:val="001057B3"/>
    <w:rsid w:val="0010591E"/>
    <w:rsid w:val="00107D13"/>
    <w:rsid w:val="00110595"/>
    <w:rsid w:val="00113623"/>
    <w:rsid w:val="00114565"/>
    <w:rsid w:val="001206E5"/>
    <w:rsid w:val="001218ED"/>
    <w:rsid w:val="0012383E"/>
    <w:rsid w:val="00123A1A"/>
    <w:rsid w:val="00123E87"/>
    <w:rsid w:val="00130118"/>
    <w:rsid w:val="00130EC2"/>
    <w:rsid w:val="00132425"/>
    <w:rsid w:val="00133890"/>
    <w:rsid w:val="00134717"/>
    <w:rsid w:val="001371C5"/>
    <w:rsid w:val="00137897"/>
    <w:rsid w:val="00141157"/>
    <w:rsid w:val="00143C62"/>
    <w:rsid w:val="00144E44"/>
    <w:rsid w:val="001458EF"/>
    <w:rsid w:val="00151D7C"/>
    <w:rsid w:val="001524C4"/>
    <w:rsid w:val="001538DA"/>
    <w:rsid w:val="00155934"/>
    <w:rsid w:val="001568D9"/>
    <w:rsid w:val="00156B36"/>
    <w:rsid w:val="001576E9"/>
    <w:rsid w:val="0016156B"/>
    <w:rsid w:val="00162E8F"/>
    <w:rsid w:val="00163405"/>
    <w:rsid w:val="00165080"/>
    <w:rsid w:val="00167074"/>
    <w:rsid w:val="00170203"/>
    <w:rsid w:val="001712AB"/>
    <w:rsid w:val="00173546"/>
    <w:rsid w:val="001759CF"/>
    <w:rsid w:val="0017678A"/>
    <w:rsid w:val="00177032"/>
    <w:rsid w:val="001777D5"/>
    <w:rsid w:val="0018112E"/>
    <w:rsid w:val="001859DE"/>
    <w:rsid w:val="001865E4"/>
    <w:rsid w:val="00186978"/>
    <w:rsid w:val="00191A05"/>
    <w:rsid w:val="00192FEF"/>
    <w:rsid w:val="00193D89"/>
    <w:rsid w:val="00196499"/>
    <w:rsid w:val="001975B4"/>
    <w:rsid w:val="001A04FF"/>
    <w:rsid w:val="001A4404"/>
    <w:rsid w:val="001B1CF5"/>
    <w:rsid w:val="001B2F18"/>
    <w:rsid w:val="001B38A7"/>
    <w:rsid w:val="001B427E"/>
    <w:rsid w:val="001C138C"/>
    <w:rsid w:val="001C2170"/>
    <w:rsid w:val="001C7D46"/>
    <w:rsid w:val="001D27BD"/>
    <w:rsid w:val="001D2E3B"/>
    <w:rsid w:val="001D31E7"/>
    <w:rsid w:val="001D5245"/>
    <w:rsid w:val="001D551C"/>
    <w:rsid w:val="001D570B"/>
    <w:rsid w:val="001D59F3"/>
    <w:rsid w:val="001D65B7"/>
    <w:rsid w:val="001D7B45"/>
    <w:rsid w:val="001E70B4"/>
    <w:rsid w:val="001F06FE"/>
    <w:rsid w:val="001F1B18"/>
    <w:rsid w:val="001F326B"/>
    <w:rsid w:val="001F3FBF"/>
    <w:rsid w:val="001F5A7A"/>
    <w:rsid w:val="00200BA8"/>
    <w:rsid w:val="00205C7D"/>
    <w:rsid w:val="002067F8"/>
    <w:rsid w:val="00206E5B"/>
    <w:rsid w:val="00211A95"/>
    <w:rsid w:val="0021479D"/>
    <w:rsid w:val="00215807"/>
    <w:rsid w:val="002165CA"/>
    <w:rsid w:val="00222AAF"/>
    <w:rsid w:val="0022317F"/>
    <w:rsid w:val="00223661"/>
    <w:rsid w:val="0022382D"/>
    <w:rsid w:val="00223896"/>
    <w:rsid w:val="00224CAD"/>
    <w:rsid w:val="002357D3"/>
    <w:rsid w:val="00237C26"/>
    <w:rsid w:val="002420F7"/>
    <w:rsid w:val="00245063"/>
    <w:rsid w:val="00245BA3"/>
    <w:rsid w:val="002463DA"/>
    <w:rsid w:val="0024740F"/>
    <w:rsid w:val="00252FB1"/>
    <w:rsid w:val="002579DD"/>
    <w:rsid w:val="00264CDE"/>
    <w:rsid w:val="0026799A"/>
    <w:rsid w:val="0027078F"/>
    <w:rsid w:val="00270D59"/>
    <w:rsid w:val="00275B2B"/>
    <w:rsid w:val="00281043"/>
    <w:rsid w:val="00283408"/>
    <w:rsid w:val="002853AD"/>
    <w:rsid w:val="00286711"/>
    <w:rsid w:val="00291A3B"/>
    <w:rsid w:val="00293A1A"/>
    <w:rsid w:val="00297FD4"/>
    <w:rsid w:val="002A0C0C"/>
    <w:rsid w:val="002A590B"/>
    <w:rsid w:val="002A782A"/>
    <w:rsid w:val="002B0588"/>
    <w:rsid w:val="002B275F"/>
    <w:rsid w:val="002B2D6F"/>
    <w:rsid w:val="002B48F6"/>
    <w:rsid w:val="002B6A05"/>
    <w:rsid w:val="002C016A"/>
    <w:rsid w:val="002C1D0A"/>
    <w:rsid w:val="002C4859"/>
    <w:rsid w:val="002C51A7"/>
    <w:rsid w:val="002C54CC"/>
    <w:rsid w:val="002D1988"/>
    <w:rsid w:val="002D66DE"/>
    <w:rsid w:val="002E314B"/>
    <w:rsid w:val="002F02AA"/>
    <w:rsid w:val="002F035A"/>
    <w:rsid w:val="002F3F31"/>
    <w:rsid w:val="002F406A"/>
    <w:rsid w:val="002F6B87"/>
    <w:rsid w:val="002F79D8"/>
    <w:rsid w:val="00302330"/>
    <w:rsid w:val="003054FC"/>
    <w:rsid w:val="00307895"/>
    <w:rsid w:val="00310AA9"/>
    <w:rsid w:val="003146D4"/>
    <w:rsid w:val="00314E1E"/>
    <w:rsid w:val="0031528D"/>
    <w:rsid w:val="00323F74"/>
    <w:rsid w:val="00326962"/>
    <w:rsid w:val="00327674"/>
    <w:rsid w:val="00331D37"/>
    <w:rsid w:val="00332663"/>
    <w:rsid w:val="00333EF5"/>
    <w:rsid w:val="00334484"/>
    <w:rsid w:val="003414BC"/>
    <w:rsid w:val="00342669"/>
    <w:rsid w:val="00346170"/>
    <w:rsid w:val="0034728F"/>
    <w:rsid w:val="003477A7"/>
    <w:rsid w:val="00354EEF"/>
    <w:rsid w:val="003605A2"/>
    <w:rsid w:val="00360F3D"/>
    <w:rsid w:val="0036426C"/>
    <w:rsid w:val="00367C6A"/>
    <w:rsid w:val="00370868"/>
    <w:rsid w:val="00370889"/>
    <w:rsid w:val="00377F5B"/>
    <w:rsid w:val="00384878"/>
    <w:rsid w:val="00385FE4"/>
    <w:rsid w:val="003860A7"/>
    <w:rsid w:val="00394DEC"/>
    <w:rsid w:val="003A5837"/>
    <w:rsid w:val="003A6E19"/>
    <w:rsid w:val="003A7EF7"/>
    <w:rsid w:val="003B2F04"/>
    <w:rsid w:val="003B5B21"/>
    <w:rsid w:val="003C1BD8"/>
    <w:rsid w:val="003C5EF6"/>
    <w:rsid w:val="003C741D"/>
    <w:rsid w:val="003C74C8"/>
    <w:rsid w:val="003D145E"/>
    <w:rsid w:val="003D4157"/>
    <w:rsid w:val="003D6FD3"/>
    <w:rsid w:val="003E030B"/>
    <w:rsid w:val="003E08AD"/>
    <w:rsid w:val="003E1218"/>
    <w:rsid w:val="003E47F4"/>
    <w:rsid w:val="003E4D6A"/>
    <w:rsid w:val="003E71D1"/>
    <w:rsid w:val="003E72CF"/>
    <w:rsid w:val="003F1FA8"/>
    <w:rsid w:val="003F6502"/>
    <w:rsid w:val="0040065C"/>
    <w:rsid w:val="00400D76"/>
    <w:rsid w:val="0040145C"/>
    <w:rsid w:val="00406EDC"/>
    <w:rsid w:val="0041378E"/>
    <w:rsid w:val="00420775"/>
    <w:rsid w:val="0042116C"/>
    <w:rsid w:val="00424D79"/>
    <w:rsid w:val="00425FD6"/>
    <w:rsid w:val="00427211"/>
    <w:rsid w:val="00430CCD"/>
    <w:rsid w:val="004325FC"/>
    <w:rsid w:val="00434057"/>
    <w:rsid w:val="00435073"/>
    <w:rsid w:val="004359FC"/>
    <w:rsid w:val="004361D7"/>
    <w:rsid w:val="004370A8"/>
    <w:rsid w:val="0043783E"/>
    <w:rsid w:val="004418FC"/>
    <w:rsid w:val="004423B6"/>
    <w:rsid w:val="0044292F"/>
    <w:rsid w:val="00444721"/>
    <w:rsid w:val="00444A04"/>
    <w:rsid w:val="0045506F"/>
    <w:rsid w:val="00455E1E"/>
    <w:rsid w:val="00461810"/>
    <w:rsid w:val="00463A0B"/>
    <w:rsid w:val="00465574"/>
    <w:rsid w:val="00466337"/>
    <w:rsid w:val="004707AD"/>
    <w:rsid w:val="00472C95"/>
    <w:rsid w:val="00474D1A"/>
    <w:rsid w:val="0047535B"/>
    <w:rsid w:val="004765C5"/>
    <w:rsid w:val="0048164C"/>
    <w:rsid w:val="0048552C"/>
    <w:rsid w:val="00485D0C"/>
    <w:rsid w:val="00487A33"/>
    <w:rsid w:val="00493350"/>
    <w:rsid w:val="0049497F"/>
    <w:rsid w:val="00495269"/>
    <w:rsid w:val="00496889"/>
    <w:rsid w:val="00497C12"/>
    <w:rsid w:val="004A2D4F"/>
    <w:rsid w:val="004A641D"/>
    <w:rsid w:val="004A6BDD"/>
    <w:rsid w:val="004B0443"/>
    <w:rsid w:val="004B1E41"/>
    <w:rsid w:val="004B52F1"/>
    <w:rsid w:val="004B53DE"/>
    <w:rsid w:val="004B5D41"/>
    <w:rsid w:val="004B643B"/>
    <w:rsid w:val="004C2838"/>
    <w:rsid w:val="004C704B"/>
    <w:rsid w:val="004D5C68"/>
    <w:rsid w:val="004D631C"/>
    <w:rsid w:val="004E128B"/>
    <w:rsid w:val="004E179C"/>
    <w:rsid w:val="004E2366"/>
    <w:rsid w:val="004E7F4E"/>
    <w:rsid w:val="004F2CEC"/>
    <w:rsid w:val="004F6CE3"/>
    <w:rsid w:val="005004F2"/>
    <w:rsid w:val="005035F0"/>
    <w:rsid w:val="00503E09"/>
    <w:rsid w:val="00506816"/>
    <w:rsid w:val="00506B63"/>
    <w:rsid w:val="00507947"/>
    <w:rsid w:val="005116E2"/>
    <w:rsid w:val="0051611F"/>
    <w:rsid w:val="00517238"/>
    <w:rsid w:val="005172E7"/>
    <w:rsid w:val="00520FFB"/>
    <w:rsid w:val="0052374C"/>
    <w:rsid w:val="0052611A"/>
    <w:rsid w:val="005328ED"/>
    <w:rsid w:val="0053321D"/>
    <w:rsid w:val="00533CFC"/>
    <w:rsid w:val="00534D8B"/>
    <w:rsid w:val="00534FE4"/>
    <w:rsid w:val="0053793B"/>
    <w:rsid w:val="00540489"/>
    <w:rsid w:val="005425C8"/>
    <w:rsid w:val="00542845"/>
    <w:rsid w:val="005438B5"/>
    <w:rsid w:val="00543E80"/>
    <w:rsid w:val="005442EA"/>
    <w:rsid w:val="00544D89"/>
    <w:rsid w:val="005452D9"/>
    <w:rsid w:val="005463B6"/>
    <w:rsid w:val="00546DED"/>
    <w:rsid w:val="005553DB"/>
    <w:rsid w:val="00556730"/>
    <w:rsid w:val="00562657"/>
    <w:rsid w:val="00564EA2"/>
    <w:rsid w:val="00566307"/>
    <w:rsid w:val="005669A9"/>
    <w:rsid w:val="005700B1"/>
    <w:rsid w:val="00572086"/>
    <w:rsid w:val="00573639"/>
    <w:rsid w:val="0057521E"/>
    <w:rsid w:val="00576B55"/>
    <w:rsid w:val="0057702D"/>
    <w:rsid w:val="0057794B"/>
    <w:rsid w:val="0058166A"/>
    <w:rsid w:val="00584CEA"/>
    <w:rsid w:val="00584D0D"/>
    <w:rsid w:val="00590380"/>
    <w:rsid w:val="00591342"/>
    <w:rsid w:val="0059396F"/>
    <w:rsid w:val="00593A3E"/>
    <w:rsid w:val="00597C1C"/>
    <w:rsid w:val="00597C70"/>
    <w:rsid w:val="005A327C"/>
    <w:rsid w:val="005A47E8"/>
    <w:rsid w:val="005A4D8A"/>
    <w:rsid w:val="005A64EE"/>
    <w:rsid w:val="005B1A8B"/>
    <w:rsid w:val="005B3351"/>
    <w:rsid w:val="005C0450"/>
    <w:rsid w:val="005C1BA5"/>
    <w:rsid w:val="005C2574"/>
    <w:rsid w:val="005C4B90"/>
    <w:rsid w:val="005D084E"/>
    <w:rsid w:val="005D16BD"/>
    <w:rsid w:val="005D1A8C"/>
    <w:rsid w:val="005D3F2D"/>
    <w:rsid w:val="005D439C"/>
    <w:rsid w:val="005D688F"/>
    <w:rsid w:val="005D6CD7"/>
    <w:rsid w:val="005D71D7"/>
    <w:rsid w:val="005E3160"/>
    <w:rsid w:val="005E4739"/>
    <w:rsid w:val="005E49A1"/>
    <w:rsid w:val="005E5C2E"/>
    <w:rsid w:val="005F078C"/>
    <w:rsid w:val="005F0876"/>
    <w:rsid w:val="005F50E1"/>
    <w:rsid w:val="005F61F4"/>
    <w:rsid w:val="005F63A8"/>
    <w:rsid w:val="005F7CED"/>
    <w:rsid w:val="0060054A"/>
    <w:rsid w:val="006013B9"/>
    <w:rsid w:val="00601B7D"/>
    <w:rsid w:val="00602190"/>
    <w:rsid w:val="00602E28"/>
    <w:rsid w:val="006030C1"/>
    <w:rsid w:val="006031D1"/>
    <w:rsid w:val="00607BF1"/>
    <w:rsid w:val="00610BBC"/>
    <w:rsid w:val="006119C4"/>
    <w:rsid w:val="00614978"/>
    <w:rsid w:val="00614EA6"/>
    <w:rsid w:val="00615508"/>
    <w:rsid w:val="00617881"/>
    <w:rsid w:val="0062103D"/>
    <w:rsid w:val="0062112D"/>
    <w:rsid w:val="0062232A"/>
    <w:rsid w:val="0062297B"/>
    <w:rsid w:val="00622FE1"/>
    <w:rsid w:val="00623957"/>
    <w:rsid w:val="00627B0F"/>
    <w:rsid w:val="006301BA"/>
    <w:rsid w:val="006304FA"/>
    <w:rsid w:val="00630E34"/>
    <w:rsid w:val="006323B2"/>
    <w:rsid w:val="006352C9"/>
    <w:rsid w:val="00640EB1"/>
    <w:rsid w:val="0064753F"/>
    <w:rsid w:val="00654C8B"/>
    <w:rsid w:val="00655DF5"/>
    <w:rsid w:val="00656405"/>
    <w:rsid w:val="00660946"/>
    <w:rsid w:val="006612D4"/>
    <w:rsid w:val="006616D4"/>
    <w:rsid w:val="006621A4"/>
    <w:rsid w:val="00663078"/>
    <w:rsid w:val="0066501B"/>
    <w:rsid w:val="0067336C"/>
    <w:rsid w:val="00674618"/>
    <w:rsid w:val="00675FD8"/>
    <w:rsid w:val="0067670D"/>
    <w:rsid w:val="00676A94"/>
    <w:rsid w:val="00681187"/>
    <w:rsid w:val="00681F89"/>
    <w:rsid w:val="00685AE5"/>
    <w:rsid w:val="00686205"/>
    <w:rsid w:val="00686715"/>
    <w:rsid w:val="00687A29"/>
    <w:rsid w:val="006928B6"/>
    <w:rsid w:val="00695B44"/>
    <w:rsid w:val="00695D06"/>
    <w:rsid w:val="006969DD"/>
    <w:rsid w:val="006A0BDC"/>
    <w:rsid w:val="006A1B54"/>
    <w:rsid w:val="006A72DF"/>
    <w:rsid w:val="006B26AB"/>
    <w:rsid w:val="006C008F"/>
    <w:rsid w:val="006C0F52"/>
    <w:rsid w:val="006C1763"/>
    <w:rsid w:val="006C1A20"/>
    <w:rsid w:val="006C333E"/>
    <w:rsid w:val="006C63D7"/>
    <w:rsid w:val="006C647B"/>
    <w:rsid w:val="006C7C9C"/>
    <w:rsid w:val="006E113A"/>
    <w:rsid w:val="006E210B"/>
    <w:rsid w:val="006E243B"/>
    <w:rsid w:val="006E5C10"/>
    <w:rsid w:val="006F3542"/>
    <w:rsid w:val="006F3685"/>
    <w:rsid w:val="006F45D5"/>
    <w:rsid w:val="006F5C9C"/>
    <w:rsid w:val="006F69B2"/>
    <w:rsid w:val="006F7A10"/>
    <w:rsid w:val="006F7C6C"/>
    <w:rsid w:val="00701B6B"/>
    <w:rsid w:val="00702CB5"/>
    <w:rsid w:val="007065A6"/>
    <w:rsid w:val="00710A07"/>
    <w:rsid w:val="00711E25"/>
    <w:rsid w:val="00712D10"/>
    <w:rsid w:val="00714CD2"/>
    <w:rsid w:val="00720F62"/>
    <w:rsid w:val="00723286"/>
    <w:rsid w:val="00724357"/>
    <w:rsid w:val="00726B30"/>
    <w:rsid w:val="00727EC9"/>
    <w:rsid w:val="00730035"/>
    <w:rsid w:val="00733F9D"/>
    <w:rsid w:val="007345A7"/>
    <w:rsid w:val="007353CC"/>
    <w:rsid w:val="0073602D"/>
    <w:rsid w:val="007365DE"/>
    <w:rsid w:val="007407BC"/>
    <w:rsid w:val="00740B66"/>
    <w:rsid w:val="00743B05"/>
    <w:rsid w:val="007543D6"/>
    <w:rsid w:val="007546F7"/>
    <w:rsid w:val="007600F6"/>
    <w:rsid w:val="007655A4"/>
    <w:rsid w:val="00765DBD"/>
    <w:rsid w:val="00767302"/>
    <w:rsid w:val="00770D58"/>
    <w:rsid w:val="00771C3E"/>
    <w:rsid w:val="007726F8"/>
    <w:rsid w:val="007754E8"/>
    <w:rsid w:val="00782A74"/>
    <w:rsid w:val="007831F0"/>
    <w:rsid w:val="00784FF0"/>
    <w:rsid w:val="0078601C"/>
    <w:rsid w:val="00792D1E"/>
    <w:rsid w:val="0079366C"/>
    <w:rsid w:val="00793A4E"/>
    <w:rsid w:val="00795C36"/>
    <w:rsid w:val="00796438"/>
    <w:rsid w:val="007B40AC"/>
    <w:rsid w:val="007B70DB"/>
    <w:rsid w:val="007C674A"/>
    <w:rsid w:val="007E0866"/>
    <w:rsid w:val="007E0B2E"/>
    <w:rsid w:val="007E29E7"/>
    <w:rsid w:val="007E54A4"/>
    <w:rsid w:val="007E5C8D"/>
    <w:rsid w:val="007E723D"/>
    <w:rsid w:val="007E75AA"/>
    <w:rsid w:val="007F281B"/>
    <w:rsid w:val="007F44E0"/>
    <w:rsid w:val="007F55D7"/>
    <w:rsid w:val="00802554"/>
    <w:rsid w:val="00803AB8"/>
    <w:rsid w:val="00804FAF"/>
    <w:rsid w:val="00811C65"/>
    <w:rsid w:val="0081387B"/>
    <w:rsid w:val="0081708C"/>
    <w:rsid w:val="00817CC3"/>
    <w:rsid w:val="00823A1B"/>
    <w:rsid w:val="00825BD3"/>
    <w:rsid w:val="0083757C"/>
    <w:rsid w:val="00842B3D"/>
    <w:rsid w:val="00846128"/>
    <w:rsid w:val="008462A2"/>
    <w:rsid w:val="0084691C"/>
    <w:rsid w:val="00852229"/>
    <w:rsid w:val="00853BB8"/>
    <w:rsid w:val="0085635B"/>
    <w:rsid w:val="008610F8"/>
    <w:rsid w:val="00862235"/>
    <w:rsid w:val="00863416"/>
    <w:rsid w:val="00863531"/>
    <w:rsid w:val="00863A69"/>
    <w:rsid w:val="0086490E"/>
    <w:rsid w:val="008668E5"/>
    <w:rsid w:val="00872027"/>
    <w:rsid w:val="008764C3"/>
    <w:rsid w:val="00877FF9"/>
    <w:rsid w:val="0088186F"/>
    <w:rsid w:val="0088276D"/>
    <w:rsid w:val="0088495B"/>
    <w:rsid w:val="00887D5F"/>
    <w:rsid w:val="00890082"/>
    <w:rsid w:val="00890E85"/>
    <w:rsid w:val="00892B97"/>
    <w:rsid w:val="0089545B"/>
    <w:rsid w:val="0089599F"/>
    <w:rsid w:val="00897F15"/>
    <w:rsid w:val="008A0FD0"/>
    <w:rsid w:val="008A1DA5"/>
    <w:rsid w:val="008A49B4"/>
    <w:rsid w:val="008B720B"/>
    <w:rsid w:val="008C27B0"/>
    <w:rsid w:val="008C3B6C"/>
    <w:rsid w:val="008C7BC9"/>
    <w:rsid w:val="008D0264"/>
    <w:rsid w:val="008D1530"/>
    <w:rsid w:val="008D73E7"/>
    <w:rsid w:val="008D7842"/>
    <w:rsid w:val="008D7A38"/>
    <w:rsid w:val="008E1784"/>
    <w:rsid w:val="008E1953"/>
    <w:rsid w:val="008E2940"/>
    <w:rsid w:val="008E5528"/>
    <w:rsid w:val="008E73A4"/>
    <w:rsid w:val="008F0BE8"/>
    <w:rsid w:val="008F23C2"/>
    <w:rsid w:val="008F245E"/>
    <w:rsid w:val="008F61A4"/>
    <w:rsid w:val="008F7B4C"/>
    <w:rsid w:val="00901416"/>
    <w:rsid w:val="00903500"/>
    <w:rsid w:val="00907D21"/>
    <w:rsid w:val="009110AB"/>
    <w:rsid w:val="009124C6"/>
    <w:rsid w:val="00912A1C"/>
    <w:rsid w:val="00913740"/>
    <w:rsid w:val="00914B7F"/>
    <w:rsid w:val="0091593A"/>
    <w:rsid w:val="0091654B"/>
    <w:rsid w:val="00916958"/>
    <w:rsid w:val="0092093A"/>
    <w:rsid w:val="00921D0D"/>
    <w:rsid w:val="00921E43"/>
    <w:rsid w:val="00922026"/>
    <w:rsid w:val="00922D80"/>
    <w:rsid w:val="0092354F"/>
    <w:rsid w:val="0092376E"/>
    <w:rsid w:val="009360CD"/>
    <w:rsid w:val="00940E74"/>
    <w:rsid w:val="00941ADF"/>
    <w:rsid w:val="009450E6"/>
    <w:rsid w:val="00945FDD"/>
    <w:rsid w:val="009462B6"/>
    <w:rsid w:val="00950B83"/>
    <w:rsid w:val="009546EE"/>
    <w:rsid w:val="00956B5B"/>
    <w:rsid w:val="009619C3"/>
    <w:rsid w:val="00970A89"/>
    <w:rsid w:val="00971C3D"/>
    <w:rsid w:val="009735E6"/>
    <w:rsid w:val="009755BB"/>
    <w:rsid w:val="00976B9A"/>
    <w:rsid w:val="00977D9D"/>
    <w:rsid w:val="00981DD6"/>
    <w:rsid w:val="009828A4"/>
    <w:rsid w:val="009839AE"/>
    <w:rsid w:val="0098599A"/>
    <w:rsid w:val="00987606"/>
    <w:rsid w:val="00987A85"/>
    <w:rsid w:val="00991BA0"/>
    <w:rsid w:val="00992A27"/>
    <w:rsid w:val="00996C2C"/>
    <w:rsid w:val="009A4051"/>
    <w:rsid w:val="009A4EBB"/>
    <w:rsid w:val="009B08D2"/>
    <w:rsid w:val="009B14C0"/>
    <w:rsid w:val="009B295D"/>
    <w:rsid w:val="009B48B3"/>
    <w:rsid w:val="009B5742"/>
    <w:rsid w:val="009C0030"/>
    <w:rsid w:val="009C0B63"/>
    <w:rsid w:val="009C1EA7"/>
    <w:rsid w:val="009C2DF9"/>
    <w:rsid w:val="009C3E60"/>
    <w:rsid w:val="009C4E58"/>
    <w:rsid w:val="009C726D"/>
    <w:rsid w:val="009D0AFF"/>
    <w:rsid w:val="009D463F"/>
    <w:rsid w:val="009D55B1"/>
    <w:rsid w:val="009D5628"/>
    <w:rsid w:val="009D598A"/>
    <w:rsid w:val="009D61E5"/>
    <w:rsid w:val="009E0870"/>
    <w:rsid w:val="009E1057"/>
    <w:rsid w:val="009E3053"/>
    <w:rsid w:val="009E71FA"/>
    <w:rsid w:val="009E789C"/>
    <w:rsid w:val="009E79E6"/>
    <w:rsid w:val="009F2718"/>
    <w:rsid w:val="009F400F"/>
    <w:rsid w:val="009F4EA7"/>
    <w:rsid w:val="009F6167"/>
    <w:rsid w:val="00A05E7A"/>
    <w:rsid w:val="00A0788D"/>
    <w:rsid w:val="00A079E4"/>
    <w:rsid w:val="00A10443"/>
    <w:rsid w:val="00A11DA8"/>
    <w:rsid w:val="00A12466"/>
    <w:rsid w:val="00A125C6"/>
    <w:rsid w:val="00A132DF"/>
    <w:rsid w:val="00A142E7"/>
    <w:rsid w:val="00A171D3"/>
    <w:rsid w:val="00A21419"/>
    <w:rsid w:val="00A221B0"/>
    <w:rsid w:val="00A27283"/>
    <w:rsid w:val="00A2749C"/>
    <w:rsid w:val="00A27572"/>
    <w:rsid w:val="00A31EE2"/>
    <w:rsid w:val="00A34391"/>
    <w:rsid w:val="00A35323"/>
    <w:rsid w:val="00A37896"/>
    <w:rsid w:val="00A37FA9"/>
    <w:rsid w:val="00A406FE"/>
    <w:rsid w:val="00A40CDE"/>
    <w:rsid w:val="00A43795"/>
    <w:rsid w:val="00A5168D"/>
    <w:rsid w:val="00A51A24"/>
    <w:rsid w:val="00A5576B"/>
    <w:rsid w:val="00A57F2F"/>
    <w:rsid w:val="00A6162B"/>
    <w:rsid w:val="00A645E4"/>
    <w:rsid w:val="00A6646F"/>
    <w:rsid w:val="00A67123"/>
    <w:rsid w:val="00A72FBA"/>
    <w:rsid w:val="00A73187"/>
    <w:rsid w:val="00A73D1C"/>
    <w:rsid w:val="00A771CA"/>
    <w:rsid w:val="00A80183"/>
    <w:rsid w:val="00A8031A"/>
    <w:rsid w:val="00A829B3"/>
    <w:rsid w:val="00A82E51"/>
    <w:rsid w:val="00A83429"/>
    <w:rsid w:val="00A8454D"/>
    <w:rsid w:val="00A86886"/>
    <w:rsid w:val="00A90BAA"/>
    <w:rsid w:val="00A90E68"/>
    <w:rsid w:val="00A94949"/>
    <w:rsid w:val="00A94B5B"/>
    <w:rsid w:val="00A95908"/>
    <w:rsid w:val="00AA0443"/>
    <w:rsid w:val="00AA1A96"/>
    <w:rsid w:val="00AB2266"/>
    <w:rsid w:val="00AB2B23"/>
    <w:rsid w:val="00AB2E1E"/>
    <w:rsid w:val="00AB4BAE"/>
    <w:rsid w:val="00AB56B7"/>
    <w:rsid w:val="00AB6254"/>
    <w:rsid w:val="00AC0563"/>
    <w:rsid w:val="00AC06A5"/>
    <w:rsid w:val="00AC09F0"/>
    <w:rsid w:val="00AC331A"/>
    <w:rsid w:val="00AC3E89"/>
    <w:rsid w:val="00AC6145"/>
    <w:rsid w:val="00AD2D18"/>
    <w:rsid w:val="00AD4A61"/>
    <w:rsid w:val="00AD54FA"/>
    <w:rsid w:val="00AD6140"/>
    <w:rsid w:val="00AD7962"/>
    <w:rsid w:val="00AE0789"/>
    <w:rsid w:val="00AE2FAD"/>
    <w:rsid w:val="00AE59DA"/>
    <w:rsid w:val="00AF11F7"/>
    <w:rsid w:val="00AF16C3"/>
    <w:rsid w:val="00AF345D"/>
    <w:rsid w:val="00B006DE"/>
    <w:rsid w:val="00B00957"/>
    <w:rsid w:val="00B030C9"/>
    <w:rsid w:val="00B036CB"/>
    <w:rsid w:val="00B0738C"/>
    <w:rsid w:val="00B13056"/>
    <w:rsid w:val="00B15B33"/>
    <w:rsid w:val="00B16EBE"/>
    <w:rsid w:val="00B23707"/>
    <w:rsid w:val="00B24A60"/>
    <w:rsid w:val="00B262BA"/>
    <w:rsid w:val="00B26EFA"/>
    <w:rsid w:val="00B30B14"/>
    <w:rsid w:val="00B323C4"/>
    <w:rsid w:val="00B33FFA"/>
    <w:rsid w:val="00B36994"/>
    <w:rsid w:val="00B40688"/>
    <w:rsid w:val="00B407F5"/>
    <w:rsid w:val="00B466DE"/>
    <w:rsid w:val="00B51038"/>
    <w:rsid w:val="00B53251"/>
    <w:rsid w:val="00B803ED"/>
    <w:rsid w:val="00B8256F"/>
    <w:rsid w:val="00B843F6"/>
    <w:rsid w:val="00B844F1"/>
    <w:rsid w:val="00B854E4"/>
    <w:rsid w:val="00B86793"/>
    <w:rsid w:val="00B91C36"/>
    <w:rsid w:val="00B9655C"/>
    <w:rsid w:val="00B96643"/>
    <w:rsid w:val="00BA41A9"/>
    <w:rsid w:val="00BB0943"/>
    <w:rsid w:val="00BB3B8B"/>
    <w:rsid w:val="00BB415C"/>
    <w:rsid w:val="00BB65CB"/>
    <w:rsid w:val="00BC03B9"/>
    <w:rsid w:val="00BC0404"/>
    <w:rsid w:val="00BC0654"/>
    <w:rsid w:val="00BC24A4"/>
    <w:rsid w:val="00BC3501"/>
    <w:rsid w:val="00BC47FA"/>
    <w:rsid w:val="00BD138C"/>
    <w:rsid w:val="00BD4BC0"/>
    <w:rsid w:val="00BD55F0"/>
    <w:rsid w:val="00BE306A"/>
    <w:rsid w:val="00BF4467"/>
    <w:rsid w:val="00BF502E"/>
    <w:rsid w:val="00BF5E5A"/>
    <w:rsid w:val="00C04210"/>
    <w:rsid w:val="00C043FC"/>
    <w:rsid w:val="00C04E05"/>
    <w:rsid w:val="00C10CED"/>
    <w:rsid w:val="00C20C74"/>
    <w:rsid w:val="00C27325"/>
    <w:rsid w:val="00C31C07"/>
    <w:rsid w:val="00C337EF"/>
    <w:rsid w:val="00C41E10"/>
    <w:rsid w:val="00C420DB"/>
    <w:rsid w:val="00C43A18"/>
    <w:rsid w:val="00C457FB"/>
    <w:rsid w:val="00C51644"/>
    <w:rsid w:val="00C57810"/>
    <w:rsid w:val="00C57A7B"/>
    <w:rsid w:val="00C57F2A"/>
    <w:rsid w:val="00C624DF"/>
    <w:rsid w:val="00C65AB7"/>
    <w:rsid w:val="00C66366"/>
    <w:rsid w:val="00C73B9B"/>
    <w:rsid w:val="00C75293"/>
    <w:rsid w:val="00C7762D"/>
    <w:rsid w:val="00C83746"/>
    <w:rsid w:val="00C83ADB"/>
    <w:rsid w:val="00C83DEC"/>
    <w:rsid w:val="00C86152"/>
    <w:rsid w:val="00C97E97"/>
    <w:rsid w:val="00CA0121"/>
    <w:rsid w:val="00CA43CC"/>
    <w:rsid w:val="00CA58E9"/>
    <w:rsid w:val="00CA7949"/>
    <w:rsid w:val="00CB35D2"/>
    <w:rsid w:val="00CB6147"/>
    <w:rsid w:val="00CB6503"/>
    <w:rsid w:val="00CC166D"/>
    <w:rsid w:val="00CC5530"/>
    <w:rsid w:val="00CC5641"/>
    <w:rsid w:val="00CC5AE6"/>
    <w:rsid w:val="00CC5F31"/>
    <w:rsid w:val="00CD01B8"/>
    <w:rsid w:val="00CD2D40"/>
    <w:rsid w:val="00CD3045"/>
    <w:rsid w:val="00CD4F1A"/>
    <w:rsid w:val="00CD615C"/>
    <w:rsid w:val="00CD7608"/>
    <w:rsid w:val="00CE1D64"/>
    <w:rsid w:val="00CE2F72"/>
    <w:rsid w:val="00CF13B5"/>
    <w:rsid w:val="00D055B7"/>
    <w:rsid w:val="00D05CDA"/>
    <w:rsid w:val="00D13685"/>
    <w:rsid w:val="00D137B7"/>
    <w:rsid w:val="00D157C3"/>
    <w:rsid w:val="00D170F0"/>
    <w:rsid w:val="00D22E9D"/>
    <w:rsid w:val="00D24723"/>
    <w:rsid w:val="00D279F9"/>
    <w:rsid w:val="00D3179C"/>
    <w:rsid w:val="00D31F0C"/>
    <w:rsid w:val="00D32568"/>
    <w:rsid w:val="00D33DC8"/>
    <w:rsid w:val="00D36E2A"/>
    <w:rsid w:val="00D406C9"/>
    <w:rsid w:val="00D4075D"/>
    <w:rsid w:val="00D41DBB"/>
    <w:rsid w:val="00D448CA"/>
    <w:rsid w:val="00D45BE1"/>
    <w:rsid w:val="00D46196"/>
    <w:rsid w:val="00D465C7"/>
    <w:rsid w:val="00D51464"/>
    <w:rsid w:val="00D51695"/>
    <w:rsid w:val="00D53856"/>
    <w:rsid w:val="00D556D2"/>
    <w:rsid w:val="00D60D46"/>
    <w:rsid w:val="00D60E42"/>
    <w:rsid w:val="00D616C1"/>
    <w:rsid w:val="00D63CB7"/>
    <w:rsid w:val="00D700B0"/>
    <w:rsid w:val="00D75916"/>
    <w:rsid w:val="00D80DD1"/>
    <w:rsid w:val="00D81431"/>
    <w:rsid w:val="00D86070"/>
    <w:rsid w:val="00D91C8A"/>
    <w:rsid w:val="00D9220D"/>
    <w:rsid w:val="00DA04DB"/>
    <w:rsid w:val="00DA2BD9"/>
    <w:rsid w:val="00DA3418"/>
    <w:rsid w:val="00DA523A"/>
    <w:rsid w:val="00DB42D3"/>
    <w:rsid w:val="00DB5C15"/>
    <w:rsid w:val="00DB60B4"/>
    <w:rsid w:val="00DC409F"/>
    <w:rsid w:val="00DD053A"/>
    <w:rsid w:val="00DD28C2"/>
    <w:rsid w:val="00DD362E"/>
    <w:rsid w:val="00DD3A57"/>
    <w:rsid w:val="00DD6691"/>
    <w:rsid w:val="00DE1047"/>
    <w:rsid w:val="00DE1742"/>
    <w:rsid w:val="00DE330E"/>
    <w:rsid w:val="00DE363C"/>
    <w:rsid w:val="00DE5A57"/>
    <w:rsid w:val="00DE6067"/>
    <w:rsid w:val="00DE79A9"/>
    <w:rsid w:val="00DF0A78"/>
    <w:rsid w:val="00DF63FA"/>
    <w:rsid w:val="00DF7057"/>
    <w:rsid w:val="00E04493"/>
    <w:rsid w:val="00E074BE"/>
    <w:rsid w:val="00E108B7"/>
    <w:rsid w:val="00E11AAC"/>
    <w:rsid w:val="00E12509"/>
    <w:rsid w:val="00E14419"/>
    <w:rsid w:val="00E1655E"/>
    <w:rsid w:val="00E21D0B"/>
    <w:rsid w:val="00E24D85"/>
    <w:rsid w:val="00E2552C"/>
    <w:rsid w:val="00E30C52"/>
    <w:rsid w:val="00E33EB4"/>
    <w:rsid w:val="00E3429E"/>
    <w:rsid w:val="00E34603"/>
    <w:rsid w:val="00E37AFC"/>
    <w:rsid w:val="00E40928"/>
    <w:rsid w:val="00E4564C"/>
    <w:rsid w:val="00E46613"/>
    <w:rsid w:val="00E50A6B"/>
    <w:rsid w:val="00E53BFF"/>
    <w:rsid w:val="00E553C4"/>
    <w:rsid w:val="00E5750E"/>
    <w:rsid w:val="00E5794A"/>
    <w:rsid w:val="00E647E1"/>
    <w:rsid w:val="00E65DCB"/>
    <w:rsid w:val="00E72A3C"/>
    <w:rsid w:val="00E73711"/>
    <w:rsid w:val="00E73C72"/>
    <w:rsid w:val="00E759CD"/>
    <w:rsid w:val="00E808B1"/>
    <w:rsid w:val="00E81258"/>
    <w:rsid w:val="00E829F2"/>
    <w:rsid w:val="00E8477E"/>
    <w:rsid w:val="00E84CA2"/>
    <w:rsid w:val="00E86A93"/>
    <w:rsid w:val="00E86F10"/>
    <w:rsid w:val="00E96879"/>
    <w:rsid w:val="00E96DE7"/>
    <w:rsid w:val="00E9726D"/>
    <w:rsid w:val="00EA010A"/>
    <w:rsid w:val="00EA1A5A"/>
    <w:rsid w:val="00EA3197"/>
    <w:rsid w:val="00EA34A6"/>
    <w:rsid w:val="00EA64A8"/>
    <w:rsid w:val="00EB4F46"/>
    <w:rsid w:val="00EC1D94"/>
    <w:rsid w:val="00ED269B"/>
    <w:rsid w:val="00ED3B73"/>
    <w:rsid w:val="00ED5846"/>
    <w:rsid w:val="00EE1962"/>
    <w:rsid w:val="00EE3143"/>
    <w:rsid w:val="00EE4F13"/>
    <w:rsid w:val="00EE6B55"/>
    <w:rsid w:val="00EF13FD"/>
    <w:rsid w:val="00EF17CE"/>
    <w:rsid w:val="00EF412C"/>
    <w:rsid w:val="00EF4745"/>
    <w:rsid w:val="00EF5682"/>
    <w:rsid w:val="00EF5CFE"/>
    <w:rsid w:val="00EF794C"/>
    <w:rsid w:val="00F022B7"/>
    <w:rsid w:val="00F02DD6"/>
    <w:rsid w:val="00F1192D"/>
    <w:rsid w:val="00F12717"/>
    <w:rsid w:val="00F13DFA"/>
    <w:rsid w:val="00F16094"/>
    <w:rsid w:val="00F21CC3"/>
    <w:rsid w:val="00F223D2"/>
    <w:rsid w:val="00F239F5"/>
    <w:rsid w:val="00F23E84"/>
    <w:rsid w:val="00F24418"/>
    <w:rsid w:val="00F25154"/>
    <w:rsid w:val="00F25722"/>
    <w:rsid w:val="00F26B25"/>
    <w:rsid w:val="00F33EDA"/>
    <w:rsid w:val="00F34C9C"/>
    <w:rsid w:val="00F443C4"/>
    <w:rsid w:val="00F4554A"/>
    <w:rsid w:val="00F504C7"/>
    <w:rsid w:val="00F50DDD"/>
    <w:rsid w:val="00F534F9"/>
    <w:rsid w:val="00F5463C"/>
    <w:rsid w:val="00F54881"/>
    <w:rsid w:val="00F556AD"/>
    <w:rsid w:val="00F56D30"/>
    <w:rsid w:val="00F575B3"/>
    <w:rsid w:val="00F6185F"/>
    <w:rsid w:val="00F630A9"/>
    <w:rsid w:val="00F678FF"/>
    <w:rsid w:val="00F71DDE"/>
    <w:rsid w:val="00F76062"/>
    <w:rsid w:val="00F76437"/>
    <w:rsid w:val="00F7742A"/>
    <w:rsid w:val="00F86F99"/>
    <w:rsid w:val="00F94756"/>
    <w:rsid w:val="00FA12DF"/>
    <w:rsid w:val="00FA7592"/>
    <w:rsid w:val="00FB0196"/>
    <w:rsid w:val="00FB0A06"/>
    <w:rsid w:val="00FB13D4"/>
    <w:rsid w:val="00FB149E"/>
    <w:rsid w:val="00FB1D39"/>
    <w:rsid w:val="00FB419B"/>
    <w:rsid w:val="00FB459C"/>
    <w:rsid w:val="00FC067E"/>
    <w:rsid w:val="00FC280B"/>
    <w:rsid w:val="00FC2CCF"/>
    <w:rsid w:val="00FC53BC"/>
    <w:rsid w:val="00FD239B"/>
    <w:rsid w:val="00FD252D"/>
    <w:rsid w:val="00FD2DDC"/>
    <w:rsid w:val="00FE1CDE"/>
    <w:rsid w:val="00FE1DF3"/>
    <w:rsid w:val="00FE6D9E"/>
    <w:rsid w:val="00FF140C"/>
    <w:rsid w:val="00FF5BAD"/>
    <w:rsid w:val="00FF714D"/>
    <w:rsid w:val="01006885"/>
    <w:rsid w:val="01F03E57"/>
    <w:rsid w:val="025651D9"/>
    <w:rsid w:val="027A77DD"/>
    <w:rsid w:val="030057A2"/>
    <w:rsid w:val="0326587F"/>
    <w:rsid w:val="038A2EE2"/>
    <w:rsid w:val="03F32CEC"/>
    <w:rsid w:val="047158B0"/>
    <w:rsid w:val="057F6C89"/>
    <w:rsid w:val="05BA1D35"/>
    <w:rsid w:val="05E06409"/>
    <w:rsid w:val="06471F54"/>
    <w:rsid w:val="065D61A7"/>
    <w:rsid w:val="06B86799"/>
    <w:rsid w:val="073A4BAD"/>
    <w:rsid w:val="07452BE4"/>
    <w:rsid w:val="077C4B8A"/>
    <w:rsid w:val="08154AFF"/>
    <w:rsid w:val="09031BAA"/>
    <w:rsid w:val="092D4524"/>
    <w:rsid w:val="094B0E9C"/>
    <w:rsid w:val="09B330A5"/>
    <w:rsid w:val="09DC3148"/>
    <w:rsid w:val="09F827C0"/>
    <w:rsid w:val="0B8F7AC1"/>
    <w:rsid w:val="0BAD01F8"/>
    <w:rsid w:val="0C9B634A"/>
    <w:rsid w:val="0CAF0B97"/>
    <w:rsid w:val="0CFC1D94"/>
    <w:rsid w:val="0F047DC7"/>
    <w:rsid w:val="0F1F4C4D"/>
    <w:rsid w:val="0FF81793"/>
    <w:rsid w:val="119C4A58"/>
    <w:rsid w:val="12793CE7"/>
    <w:rsid w:val="13126820"/>
    <w:rsid w:val="1339584A"/>
    <w:rsid w:val="137A7D37"/>
    <w:rsid w:val="13B3459B"/>
    <w:rsid w:val="14124DC7"/>
    <w:rsid w:val="14662846"/>
    <w:rsid w:val="148059F7"/>
    <w:rsid w:val="14F26544"/>
    <w:rsid w:val="151933D0"/>
    <w:rsid w:val="15333C58"/>
    <w:rsid w:val="157E55A7"/>
    <w:rsid w:val="16E76B51"/>
    <w:rsid w:val="17070E0E"/>
    <w:rsid w:val="177B16C3"/>
    <w:rsid w:val="18E5656C"/>
    <w:rsid w:val="19EA0097"/>
    <w:rsid w:val="1A102220"/>
    <w:rsid w:val="1A176930"/>
    <w:rsid w:val="1B703FF1"/>
    <w:rsid w:val="1B96397D"/>
    <w:rsid w:val="1C147F16"/>
    <w:rsid w:val="1C301221"/>
    <w:rsid w:val="1CCD4408"/>
    <w:rsid w:val="1DA82343"/>
    <w:rsid w:val="1DC7681A"/>
    <w:rsid w:val="1ED94C8E"/>
    <w:rsid w:val="1EEB70B2"/>
    <w:rsid w:val="1F6C25DA"/>
    <w:rsid w:val="1F882B18"/>
    <w:rsid w:val="1FC70C22"/>
    <w:rsid w:val="209C0E98"/>
    <w:rsid w:val="21246993"/>
    <w:rsid w:val="21830E9A"/>
    <w:rsid w:val="21EC6D62"/>
    <w:rsid w:val="224A2EFF"/>
    <w:rsid w:val="226A7F29"/>
    <w:rsid w:val="22EA1C16"/>
    <w:rsid w:val="235255EC"/>
    <w:rsid w:val="239D4DCE"/>
    <w:rsid w:val="2440268D"/>
    <w:rsid w:val="24C5566A"/>
    <w:rsid w:val="24E97B3D"/>
    <w:rsid w:val="25294891"/>
    <w:rsid w:val="25751E9B"/>
    <w:rsid w:val="258E1001"/>
    <w:rsid w:val="259E6B73"/>
    <w:rsid w:val="25AE05F1"/>
    <w:rsid w:val="261206FC"/>
    <w:rsid w:val="263B0186"/>
    <w:rsid w:val="265D7994"/>
    <w:rsid w:val="27747161"/>
    <w:rsid w:val="27A139AC"/>
    <w:rsid w:val="27CC196D"/>
    <w:rsid w:val="28026CC4"/>
    <w:rsid w:val="286F3650"/>
    <w:rsid w:val="29247779"/>
    <w:rsid w:val="29A8489C"/>
    <w:rsid w:val="29B03FFA"/>
    <w:rsid w:val="2A2A417F"/>
    <w:rsid w:val="2A8A3696"/>
    <w:rsid w:val="2AC618FC"/>
    <w:rsid w:val="2B604E40"/>
    <w:rsid w:val="2C232266"/>
    <w:rsid w:val="2D642DAE"/>
    <w:rsid w:val="2D757574"/>
    <w:rsid w:val="2D9F02F0"/>
    <w:rsid w:val="2E250C8A"/>
    <w:rsid w:val="2E2D37C8"/>
    <w:rsid w:val="2EC772DC"/>
    <w:rsid w:val="2F8D2E1E"/>
    <w:rsid w:val="30251753"/>
    <w:rsid w:val="31624E66"/>
    <w:rsid w:val="324300F9"/>
    <w:rsid w:val="32E85A6A"/>
    <w:rsid w:val="33354262"/>
    <w:rsid w:val="334F3B12"/>
    <w:rsid w:val="341D21FE"/>
    <w:rsid w:val="34D90E8F"/>
    <w:rsid w:val="34E038B6"/>
    <w:rsid w:val="35F303FD"/>
    <w:rsid w:val="36026EE6"/>
    <w:rsid w:val="36394FBF"/>
    <w:rsid w:val="37052259"/>
    <w:rsid w:val="38636EA4"/>
    <w:rsid w:val="387B544A"/>
    <w:rsid w:val="392E01DC"/>
    <w:rsid w:val="39DC4F21"/>
    <w:rsid w:val="3AAB20F6"/>
    <w:rsid w:val="3B2242DD"/>
    <w:rsid w:val="3B275FD5"/>
    <w:rsid w:val="3B707766"/>
    <w:rsid w:val="3B9309EA"/>
    <w:rsid w:val="3BA332F6"/>
    <w:rsid w:val="3BD10A6D"/>
    <w:rsid w:val="3BD36FCD"/>
    <w:rsid w:val="3C6D2E1C"/>
    <w:rsid w:val="3D0B5139"/>
    <w:rsid w:val="3D1C30BF"/>
    <w:rsid w:val="3E284D69"/>
    <w:rsid w:val="3E3B7F20"/>
    <w:rsid w:val="3E5E414B"/>
    <w:rsid w:val="3E900C5B"/>
    <w:rsid w:val="3F3845E1"/>
    <w:rsid w:val="3F6A7877"/>
    <w:rsid w:val="405349F5"/>
    <w:rsid w:val="41170283"/>
    <w:rsid w:val="41395713"/>
    <w:rsid w:val="41865D7F"/>
    <w:rsid w:val="41A43892"/>
    <w:rsid w:val="41B452AE"/>
    <w:rsid w:val="423A42DA"/>
    <w:rsid w:val="427712E0"/>
    <w:rsid w:val="42EF2DF9"/>
    <w:rsid w:val="42F10226"/>
    <w:rsid w:val="43A672EC"/>
    <w:rsid w:val="44B92954"/>
    <w:rsid w:val="45411BB7"/>
    <w:rsid w:val="45465C1D"/>
    <w:rsid w:val="45837129"/>
    <w:rsid w:val="45F61245"/>
    <w:rsid w:val="46276B0B"/>
    <w:rsid w:val="46511231"/>
    <w:rsid w:val="46800089"/>
    <w:rsid w:val="474708CA"/>
    <w:rsid w:val="4758588C"/>
    <w:rsid w:val="47655232"/>
    <w:rsid w:val="47987367"/>
    <w:rsid w:val="48014491"/>
    <w:rsid w:val="48110B5A"/>
    <w:rsid w:val="49244BC1"/>
    <w:rsid w:val="49364211"/>
    <w:rsid w:val="49B774E6"/>
    <w:rsid w:val="4A1449C2"/>
    <w:rsid w:val="4AFF25A8"/>
    <w:rsid w:val="4BC01D39"/>
    <w:rsid w:val="4C133F4B"/>
    <w:rsid w:val="4D6916B3"/>
    <w:rsid w:val="4D6B5FD7"/>
    <w:rsid w:val="4D73153F"/>
    <w:rsid w:val="4E164061"/>
    <w:rsid w:val="4E87011D"/>
    <w:rsid w:val="4E881B84"/>
    <w:rsid w:val="4EB67D85"/>
    <w:rsid w:val="4EFA0B54"/>
    <w:rsid w:val="4F750D6C"/>
    <w:rsid w:val="50263A27"/>
    <w:rsid w:val="5139431F"/>
    <w:rsid w:val="52D71E37"/>
    <w:rsid w:val="53143C0B"/>
    <w:rsid w:val="545C1E41"/>
    <w:rsid w:val="54857503"/>
    <w:rsid w:val="54D406AC"/>
    <w:rsid w:val="54EA04C5"/>
    <w:rsid w:val="54F810B3"/>
    <w:rsid w:val="555215CE"/>
    <w:rsid w:val="555A7FE0"/>
    <w:rsid w:val="567631B8"/>
    <w:rsid w:val="56B446A1"/>
    <w:rsid w:val="56E515B1"/>
    <w:rsid w:val="572C1B29"/>
    <w:rsid w:val="5782278B"/>
    <w:rsid w:val="57CA7D70"/>
    <w:rsid w:val="582264A4"/>
    <w:rsid w:val="583A160A"/>
    <w:rsid w:val="583F604D"/>
    <w:rsid w:val="590430AA"/>
    <w:rsid w:val="59373245"/>
    <w:rsid w:val="593D66C3"/>
    <w:rsid w:val="5AB80E93"/>
    <w:rsid w:val="5ABB4AD7"/>
    <w:rsid w:val="5ADE2D3C"/>
    <w:rsid w:val="5B1B195F"/>
    <w:rsid w:val="5B372AD8"/>
    <w:rsid w:val="5B511DCF"/>
    <w:rsid w:val="5B515320"/>
    <w:rsid w:val="5B7F37A8"/>
    <w:rsid w:val="5C73102C"/>
    <w:rsid w:val="5C757AD5"/>
    <w:rsid w:val="5CFC2120"/>
    <w:rsid w:val="5DAF1C7B"/>
    <w:rsid w:val="5EAC3E35"/>
    <w:rsid w:val="5F83725F"/>
    <w:rsid w:val="5FCC3C2E"/>
    <w:rsid w:val="5FDF0B03"/>
    <w:rsid w:val="605376A9"/>
    <w:rsid w:val="608858F8"/>
    <w:rsid w:val="60CD637B"/>
    <w:rsid w:val="619065FD"/>
    <w:rsid w:val="61961FAC"/>
    <w:rsid w:val="61E31001"/>
    <w:rsid w:val="627B7690"/>
    <w:rsid w:val="629E1DEE"/>
    <w:rsid w:val="62FA7E5E"/>
    <w:rsid w:val="646829FB"/>
    <w:rsid w:val="648120A9"/>
    <w:rsid w:val="6486085D"/>
    <w:rsid w:val="64922405"/>
    <w:rsid w:val="64C75643"/>
    <w:rsid w:val="65022BCA"/>
    <w:rsid w:val="65BD21F7"/>
    <w:rsid w:val="66696833"/>
    <w:rsid w:val="66CF3451"/>
    <w:rsid w:val="67265DE3"/>
    <w:rsid w:val="67DD69C5"/>
    <w:rsid w:val="6BB17A79"/>
    <w:rsid w:val="6C6B5956"/>
    <w:rsid w:val="6C7A50E4"/>
    <w:rsid w:val="6C9854CE"/>
    <w:rsid w:val="6E383D08"/>
    <w:rsid w:val="6EA264AD"/>
    <w:rsid w:val="6EE91433"/>
    <w:rsid w:val="6FBE248F"/>
    <w:rsid w:val="70726DFE"/>
    <w:rsid w:val="70EC1381"/>
    <w:rsid w:val="710D6F61"/>
    <w:rsid w:val="721C4E5E"/>
    <w:rsid w:val="724C2052"/>
    <w:rsid w:val="72A74D21"/>
    <w:rsid w:val="72C97DA9"/>
    <w:rsid w:val="73BC0658"/>
    <w:rsid w:val="74406B0D"/>
    <w:rsid w:val="74DE1DF7"/>
    <w:rsid w:val="75967DE8"/>
    <w:rsid w:val="76167FEB"/>
    <w:rsid w:val="76BE57E4"/>
    <w:rsid w:val="76F92296"/>
    <w:rsid w:val="783D1559"/>
    <w:rsid w:val="78CB611F"/>
    <w:rsid w:val="79D56303"/>
    <w:rsid w:val="7A1414F6"/>
    <w:rsid w:val="7A3F6068"/>
    <w:rsid w:val="7AFD234F"/>
    <w:rsid w:val="7BFB0C8D"/>
    <w:rsid w:val="7C4E38BF"/>
    <w:rsid w:val="7CB2270C"/>
    <w:rsid w:val="7D1E5FF8"/>
    <w:rsid w:val="7D782AF4"/>
    <w:rsid w:val="7D8A124B"/>
    <w:rsid w:val="7DA167A2"/>
    <w:rsid w:val="7ED26B92"/>
    <w:rsid w:val="7F791D73"/>
    <w:rsid w:val="7FDF6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Plain Text"/>
    <w:basedOn w:val="1"/>
    <w:link w:val="17"/>
    <w:qFormat/>
    <w:uiPriority w:val="0"/>
    <w:rPr>
      <w:rFonts w:ascii="宋体" w:hAnsi="Courier New" w:cs="Courier New"/>
      <w:kern w:val="0"/>
      <w:sz w:val="28"/>
      <w:szCs w:val="21"/>
    </w:r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0"/>
    <w:unhideWhenUsed/>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annotation reference"/>
    <w:basedOn w:val="11"/>
    <w:unhideWhenUsed/>
    <w:qFormat/>
    <w:uiPriority w:val="0"/>
    <w:rPr>
      <w:sz w:val="21"/>
      <w:szCs w:val="21"/>
    </w:rPr>
  </w:style>
  <w:style w:type="character" w:customStyle="1" w:styleId="14">
    <w:name w:val="页眉 字符"/>
    <w:basedOn w:val="11"/>
    <w:link w:val="6"/>
    <w:qFormat/>
    <w:uiPriority w:val="0"/>
    <w:rPr>
      <w:kern w:val="2"/>
      <w:sz w:val="18"/>
      <w:szCs w:val="18"/>
    </w:rPr>
  </w:style>
  <w:style w:type="character" w:customStyle="1" w:styleId="15">
    <w:name w:val="页脚 字符"/>
    <w:basedOn w:val="11"/>
    <w:link w:val="5"/>
    <w:qFormat/>
    <w:uiPriority w:val="99"/>
    <w:rPr>
      <w:kern w:val="2"/>
      <w:sz w:val="18"/>
      <w:szCs w:val="18"/>
    </w:rPr>
  </w:style>
  <w:style w:type="paragraph" w:customStyle="1" w:styleId="16">
    <w:name w:val="p0"/>
    <w:basedOn w:val="1"/>
    <w:qFormat/>
    <w:uiPriority w:val="0"/>
    <w:pPr>
      <w:widowControl/>
      <w:spacing w:before="40" w:after="40"/>
    </w:pPr>
    <w:rPr>
      <w:kern w:val="0"/>
      <w:sz w:val="18"/>
      <w:szCs w:val="18"/>
    </w:rPr>
  </w:style>
  <w:style w:type="character" w:customStyle="1" w:styleId="17">
    <w:name w:val="纯文本 字符"/>
    <w:link w:val="3"/>
    <w:qFormat/>
    <w:locked/>
    <w:uiPriority w:val="0"/>
    <w:rPr>
      <w:rFonts w:ascii="宋体" w:hAnsi="Courier New" w:cs="Courier New"/>
      <w:sz w:val="28"/>
      <w:szCs w:val="21"/>
    </w:rPr>
  </w:style>
  <w:style w:type="character" w:customStyle="1" w:styleId="18">
    <w:name w:val="纯文本 Char1"/>
    <w:basedOn w:val="11"/>
    <w:qFormat/>
    <w:uiPriority w:val="0"/>
    <w:rPr>
      <w:rFonts w:ascii="宋体" w:hAnsi="Courier New" w:cs="Courier New"/>
      <w:kern w:val="2"/>
      <w:sz w:val="21"/>
      <w:szCs w:val="21"/>
    </w:rPr>
  </w:style>
  <w:style w:type="character" w:customStyle="1" w:styleId="19">
    <w:name w:val="批注文字 字符"/>
    <w:basedOn w:val="11"/>
    <w:link w:val="2"/>
    <w:qFormat/>
    <w:uiPriority w:val="0"/>
    <w:rPr>
      <w:kern w:val="2"/>
      <w:sz w:val="21"/>
      <w:szCs w:val="24"/>
    </w:rPr>
  </w:style>
  <w:style w:type="character" w:customStyle="1" w:styleId="20">
    <w:name w:val="批注主题 字符"/>
    <w:basedOn w:val="19"/>
    <w:link w:val="8"/>
    <w:semiHidden/>
    <w:qFormat/>
    <w:uiPriority w:val="0"/>
    <w:rPr>
      <w:b/>
      <w:bCs/>
      <w:kern w:val="2"/>
      <w:sz w:val="21"/>
      <w:szCs w:val="24"/>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8</Pages>
  <Words>907</Words>
  <Characters>5170</Characters>
  <Lines>43</Lines>
  <Paragraphs>12</Paragraphs>
  <TotalTime>5</TotalTime>
  <ScaleCrop>false</ScaleCrop>
  <LinksUpToDate>false</LinksUpToDate>
  <CharactersWithSpaces>6065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2017-11-02T07:17:00Z</dcterms:created>
  <dc:creator>陵光</dc:creator>
  <cp:lastModifiedBy>郑丽</cp:lastModifiedBy>
  <cp:lastPrinted>2017-05-03T06:55:00Z</cp:lastPrinted>
  <dcterms:modified xsi:type="dcterms:W3CDTF">2020-11-18T08:52:40Z</dcterms:modified>
  <dc:title>附件二、投资者关系活动记录表格式</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