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2474" w14:textId="29C25CA2" w:rsidR="00BA302F" w:rsidRPr="00BA302F" w:rsidRDefault="00BA302F" w:rsidP="007D6AB0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sz w:val="24"/>
          <w:szCs w:val="20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>证券代码：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002745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</w:t>
      </w:r>
      <w:r>
        <w:rPr>
          <w:rFonts w:ascii="宋体" w:eastAsia="宋体" w:hAnsi="宋体" w:cs="Times New Roman"/>
          <w:bCs/>
          <w:iCs/>
          <w:sz w:val="24"/>
          <w:szCs w:val="20"/>
        </w:rPr>
        <w:t xml:space="preserve">     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 证券简称：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木林森</w:t>
      </w:r>
    </w:p>
    <w:p w14:paraId="2E2B2439" w14:textId="0D977A8C" w:rsidR="00BA302F" w:rsidRPr="00BA302F" w:rsidRDefault="007B78ED" w:rsidP="00BA302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20</w:t>
      </w:r>
      <w:r w:rsidR="004929F9">
        <w:rPr>
          <w:rFonts w:ascii="宋体" w:eastAsia="宋体" w:hAnsi="宋体" w:cs="Times New Roman"/>
          <w:b/>
          <w:bCs/>
          <w:iCs/>
          <w:sz w:val="24"/>
          <w:szCs w:val="24"/>
        </w:rPr>
        <w:t>20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年</w:t>
      </w:r>
      <w:r w:rsidR="006C47E5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11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月</w:t>
      </w:r>
      <w:r w:rsidR="006C47E5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17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日</w:t>
      </w:r>
      <w:r w:rsid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木林森</w:t>
      </w:r>
      <w:r w:rsidR="00BA302F" w:rsidRP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股份有限公司投资者关系活动记录表</w:t>
      </w:r>
    </w:p>
    <w:p w14:paraId="48196D62" w14:textId="7D4D335C" w:rsidR="00BA302F" w:rsidRPr="00BA302F" w:rsidRDefault="00BA302F" w:rsidP="00BA302F">
      <w:pPr>
        <w:spacing w:line="400" w:lineRule="exact"/>
        <w:rPr>
          <w:rFonts w:ascii="宋体" w:eastAsia="宋体" w:hAnsi="宋体" w:cs="Times New Roman"/>
          <w:bCs/>
          <w:iCs/>
          <w:sz w:val="24"/>
          <w:szCs w:val="24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ascii="宋体" w:eastAsia="宋体" w:hAnsi="宋体" w:cs="Times New Roman" w:hint="eastAsia"/>
          <w:bCs/>
          <w:iCs/>
          <w:sz w:val="24"/>
          <w:szCs w:val="24"/>
        </w:rPr>
        <w:t>20</w:t>
      </w:r>
      <w:r w:rsidR="004929F9">
        <w:rPr>
          <w:rFonts w:ascii="宋体" w:eastAsia="宋体" w:hAnsi="宋体" w:cs="Times New Roman"/>
          <w:bCs/>
          <w:iCs/>
          <w:sz w:val="24"/>
          <w:szCs w:val="24"/>
        </w:rPr>
        <w:t>20</w:t>
      </w:r>
      <w:r>
        <w:rPr>
          <w:rFonts w:ascii="宋体" w:eastAsia="宋体" w:hAnsi="宋体" w:cs="Times New Roman" w:hint="eastAsia"/>
          <w:bCs/>
          <w:iCs/>
          <w:sz w:val="24"/>
          <w:szCs w:val="24"/>
        </w:rPr>
        <w:t>-00</w:t>
      </w:r>
      <w:r w:rsidR="006C47E5">
        <w:rPr>
          <w:rFonts w:ascii="宋体" w:eastAsia="宋体" w:hAnsi="宋体" w:cs="Times New Roman" w:hint="eastAsia"/>
          <w:bCs/>
          <w:iCs/>
          <w:sz w:val="24"/>
          <w:szCs w:val="24"/>
        </w:rPr>
        <w:t>4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BA302F" w:rsidRPr="00BA302F" w14:paraId="725FF4AB" w14:textId="77777777" w:rsidTr="00291679">
        <w:tc>
          <w:tcPr>
            <w:tcW w:w="1908" w:type="dxa"/>
            <w:shd w:val="clear" w:color="auto" w:fill="auto"/>
            <w:vAlign w:val="center"/>
          </w:tcPr>
          <w:p w14:paraId="3D4BED16" w14:textId="506ADB55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24D34820" w14:textId="520F00B9" w:rsidR="00BA302F" w:rsidRPr="00BA302F" w:rsidRDefault="00F9774A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 w:rsidR="00BA302F"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BA302F"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A302F"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882B303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91A6D8E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5E9B6E6" w14:textId="77777777" w:rsidR="00BA302F" w:rsidRPr="00BA302F" w:rsidRDefault="00BA302F" w:rsidP="00BA302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Pr="00BA302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ab/>
            </w:r>
          </w:p>
          <w:p w14:paraId="221A9F5A" w14:textId="0C366397" w:rsidR="00BA302F" w:rsidRPr="00BA302F" w:rsidRDefault="00F9774A" w:rsidP="00BA302F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F97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A302F"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482489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BA302F" w:rsidRPr="00BA302F" w14:paraId="47475F42" w14:textId="77777777" w:rsidTr="00291679">
        <w:tc>
          <w:tcPr>
            <w:tcW w:w="1908" w:type="dxa"/>
            <w:shd w:val="clear" w:color="auto" w:fill="auto"/>
            <w:vAlign w:val="center"/>
          </w:tcPr>
          <w:p w14:paraId="663A2E11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14:paraId="61063C62" w14:textId="36CBE688" w:rsidR="00BA302F" w:rsidRPr="00482489" w:rsidRDefault="006C47E5" w:rsidP="006C47E5">
            <w:pPr>
              <w:spacing w:line="480" w:lineRule="atLeast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深圳市明达资产管理有限公司</w:t>
            </w:r>
            <w:r w:rsidR="00BA302F"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F1E4E" w:rsidRPr="002F1E4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刘明达</w:t>
            </w:r>
            <w:r w:rsid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香港安爵国际资本有限公司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刘岩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深圳市恩泽投资管理有限公司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刘悦琪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深圳上潮劲草证券基金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杨柏平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富荣基金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李延峥</w:t>
            </w:r>
            <w:r w:rsidR="004929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深圳健易投资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王玉亮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融通基金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林清源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深圳金田龙盛投资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杨丙田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深圳市中欧瑞博投资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宋伟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潮金投资</w:t>
            </w:r>
            <w:r w:rsidR="004824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刘跃；深圳金石投资公司：刘国祥；深圳前海大</w:t>
            </w:r>
            <w:r w:rsidR="00F977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宇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资本：卢山；北京鼎萨投资：岳永明</w:t>
            </w:r>
            <w:r w:rsidR="007B3C8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BA302F" w:rsidRPr="00BA302F" w14:paraId="5D82395E" w14:textId="77777777" w:rsidTr="00291679">
        <w:tc>
          <w:tcPr>
            <w:tcW w:w="1908" w:type="dxa"/>
            <w:shd w:val="clear" w:color="auto" w:fill="auto"/>
            <w:vAlign w:val="center"/>
          </w:tcPr>
          <w:p w14:paraId="181E30C9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14:paraId="59423F46" w14:textId="40FF6A16" w:rsidR="00BA302F" w:rsidRPr="00BA302F" w:rsidRDefault="00BA302F" w:rsidP="006C47E5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</w:t>
            </w:r>
            <w:r w:rsidR="0048248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6C47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6C47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BA302F" w:rsidRPr="00BA302F" w14:paraId="02898485" w14:textId="77777777" w:rsidTr="00291679">
        <w:tc>
          <w:tcPr>
            <w:tcW w:w="1908" w:type="dxa"/>
            <w:shd w:val="clear" w:color="auto" w:fill="auto"/>
            <w:vAlign w:val="center"/>
          </w:tcPr>
          <w:p w14:paraId="67DFBC4A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14:paraId="0D47475D" w14:textId="21F8D5E3" w:rsidR="00BA302F" w:rsidRPr="00BA302F" w:rsidRDefault="00BB38C5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B38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中山市小榄镇木林森大道</w:t>
            </w:r>
            <w:r w:rsidRPr="00BB38C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1号1楼会议室</w:t>
            </w:r>
          </w:p>
        </w:tc>
      </w:tr>
      <w:tr w:rsidR="00BA302F" w:rsidRPr="00BA302F" w14:paraId="19C2DE36" w14:textId="77777777" w:rsidTr="00291679">
        <w:tc>
          <w:tcPr>
            <w:tcW w:w="1908" w:type="dxa"/>
            <w:shd w:val="clear" w:color="auto" w:fill="auto"/>
            <w:vAlign w:val="center"/>
          </w:tcPr>
          <w:p w14:paraId="70AD8B99" w14:textId="77777777" w:rsidR="00BA302F" w:rsidRPr="00BA302F" w:rsidRDefault="00BA302F" w:rsidP="00291679">
            <w:pPr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CD17002" w14:textId="071A9BF1" w:rsidR="00BA302F" w:rsidRPr="00BA302F" w:rsidRDefault="00482489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董事长孙清焕先生、</w:t>
            </w:r>
            <w:r w:rsid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董事会秘书李冠群</w:t>
            </w:r>
            <w:r w:rsidR="00A577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  <w:r w:rsidR="006C47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、财务总监易亚男</w:t>
            </w:r>
            <w:r w:rsidR="00A5778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BA302F" w:rsidRPr="00BA302F" w14:paraId="2935A9F9" w14:textId="77777777" w:rsidTr="009B7F14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14:paraId="63D37D28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3754292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0487A91E" w14:textId="3EC04CAF" w:rsidR="00BA302F" w:rsidRPr="007B3C88" w:rsidRDefault="0010117E" w:rsidP="00033BCE">
            <w:pPr>
              <w:spacing w:line="480" w:lineRule="atLeast"/>
              <w:ind w:firstLineChars="200" w:firstLine="422"/>
              <w:rPr>
                <w:rFonts w:ascii="宋体" w:eastAsia="宋体" w:hAnsi="宋体" w:cs="Times New Roman"/>
                <w:b/>
                <w:iCs/>
                <w:color w:val="000000" w:themeColor="text1"/>
                <w:szCs w:val="21"/>
              </w:rPr>
            </w:pPr>
            <w:r w:rsidRPr="007B3C88">
              <w:rPr>
                <w:rFonts w:ascii="宋体" w:eastAsia="宋体" w:hAnsi="宋体" w:cs="Times New Roman" w:hint="eastAsia"/>
                <w:b/>
                <w:iCs/>
                <w:color w:val="000000" w:themeColor="text1"/>
                <w:szCs w:val="21"/>
              </w:rPr>
              <w:t>一</w:t>
            </w:r>
            <w:r w:rsidR="00DD4B0A" w:rsidRPr="007B3C88">
              <w:rPr>
                <w:rFonts w:ascii="宋体" w:eastAsia="宋体" w:hAnsi="宋体" w:cs="Times New Roman" w:hint="eastAsia"/>
                <w:b/>
                <w:iCs/>
                <w:color w:val="000000" w:themeColor="text1"/>
                <w:szCs w:val="21"/>
              </w:rPr>
              <w:t>、</w:t>
            </w:r>
            <w:r w:rsidR="00A57780">
              <w:rPr>
                <w:rFonts w:ascii="宋体" w:eastAsia="宋体" w:hAnsi="宋体" w:cs="Times New Roman" w:hint="eastAsia"/>
                <w:b/>
                <w:iCs/>
                <w:color w:val="000000" w:themeColor="text1"/>
                <w:szCs w:val="21"/>
              </w:rPr>
              <w:t>董事长孙清焕先生</w:t>
            </w:r>
            <w:r w:rsidR="00DD4B0A" w:rsidRPr="007B3C88">
              <w:rPr>
                <w:rFonts w:ascii="宋体" w:eastAsia="宋体" w:hAnsi="宋体" w:cs="Times New Roman" w:hint="eastAsia"/>
                <w:b/>
                <w:iCs/>
                <w:color w:val="000000" w:themeColor="text1"/>
                <w:szCs w:val="21"/>
              </w:rPr>
              <w:t>介绍公司的基本情况</w:t>
            </w:r>
            <w:r w:rsidR="00AA4BF1">
              <w:rPr>
                <w:rFonts w:ascii="宋体" w:eastAsia="宋体" w:hAnsi="宋体" w:cs="Times New Roman" w:hint="eastAsia"/>
                <w:b/>
                <w:iCs/>
                <w:color w:val="000000" w:themeColor="text1"/>
                <w:szCs w:val="21"/>
              </w:rPr>
              <w:t>.</w:t>
            </w:r>
          </w:p>
          <w:p w14:paraId="5B7F854F" w14:textId="141A0A92" w:rsidR="0010117E" w:rsidRPr="007B3C88" w:rsidRDefault="0010117E" w:rsidP="00033BCE">
            <w:pPr>
              <w:spacing w:line="480" w:lineRule="atLeast"/>
              <w:ind w:firstLineChars="200" w:firstLine="422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7B3C8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二、问答环节</w:t>
            </w:r>
          </w:p>
          <w:p w14:paraId="2998C823" w14:textId="77777777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Pr="00DA0A6C">
              <w:rPr>
                <w:rFonts w:ascii="宋体" w:eastAsia="宋体" w:hAnsi="宋体" w:hint="eastAsia"/>
                <w:sz w:val="24"/>
                <w:szCs w:val="24"/>
              </w:rPr>
              <w:t>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：公司未来三年五年的规划是什么？</w:t>
            </w:r>
          </w:p>
          <w:p w14:paraId="65429D7C" w14:textId="3CE3F5DD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21455">
              <w:rPr>
                <w:rFonts w:ascii="宋体" w:eastAsia="宋体" w:hAnsi="宋体" w:hint="eastAsia"/>
                <w:sz w:val="24"/>
                <w:szCs w:val="24"/>
              </w:rPr>
              <w:t>公司品牌收入目前已占营收的</w:t>
            </w:r>
            <w:r w:rsidR="00906A08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906A08">
              <w:rPr>
                <w:rFonts w:ascii="宋体" w:eastAsia="宋体" w:hAnsi="宋体"/>
                <w:sz w:val="24"/>
                <w:szCs w:val="24"/>
              </w:rPr>
              <w:t>0%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，未来公司将往成品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方面全面发展，公司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板块</w:t>
            </w:r>
            <w:r w:rsidR="00321455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会有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大的成长空间。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封装板块的占比将会逐年降低。</w:t>
            </w:r>
          </w:p>
          <w:p w14:paraId="311E0D12" w14:textId="2FC01179" w:rsidR="00906A08" w:rsidRDefault="00906A08" w:rsidP="00906A0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、朗德万斯目前的情况？</w:t>
            </w:r>
          </w:p>
          <w:p w14:paraId="68E827A1" w14:textId="5673B6A3" w:rsidR="00906A08" w:rsidRDefault="00906A08" w:rsidP="00906A08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答：目前朗德万斯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已经提前完成计划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，员工数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量大幅的减少，人工成本将得到很大的改善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。未来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将对内部的管理组织架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构进行优化，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运营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、管理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、供应链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都将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移到深圳，降低管理成本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，提高利润率。</w:t>
            </w:r>
          </w:p>
          <w:p w14:paraId="47A095C8" w14:textId="469F46F4" w:rsidR="00A57780" w:rsidRDefault="00906A08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、问：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如何发挥朗德万斯的品牌优势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69EFD88" w14:textId="3D43084F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 w:rsidR="00F9774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近几年我们公司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一直致力于由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制造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向品牌业务转型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，向品牌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转型时总结了很多经验，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总结出了与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其他照明品牌企业不同的道路，我们以不同的产品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寻找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与之相匹配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的合作伙伴与渠道，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在由公司统一安排的相适应管理人员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746BB">
              <w:rPr>
                <w:rFonts w:ascii="宋体" w:eastAsia="宋体" w:hAnsi="宋体" w:hint="eastAsia"/>
                <w:sz w:val="24"/>
                <w:szCs w:val="24"/>
              </w:rPr>
              <w:t>发挥销售渠道的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灵活性。我们最突出的优势是国外有良好的品牌渠道，而国内的大多数照明品牌商渠道还是局限国内。</w:t>
            </w:r>
          </w:p>
          <w:p w14:paraId="4C714F7A" w14:textId="6249C2C8" w:rsidR="00A57780" w:rsidRDefault="0063455C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、问：请问小米战略投资</w:t>
            </w:r>
            <w:r w:rsidR="00321455">
              <w:rPr>
                <w:rFonts w:ascii="宋体" w:eastAsia="宋体" w:hAnsi="宋体" w:hint="eastAsia"/>
                <w:sz w:val="24"/>
                <w:szCs w:val="24"/>
              </w:rPr>
              <w:t>与合作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情况？</w:t>
            </w:r>
          </w:p>
          <w:p w14:paraId="3202EBF0" w14:textId="73873E68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答：小米战略投资的事项目前在预申报阶段，</w:t>
            </w:r>
            <w:r w:rsidR="00321455">
              <w:rPr>
                <w:rFonts w:ascii="宋体" w:eastAsia="宋体" w:hAnsi="宋体" w:hint="eastAsia"/>
                <w:sz w:val="24"/>
                <w:szCs w:val="24"/>
              </w:rPr>
              <w:t>等待政策落实，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公司引入小米为战略投资者主要考虑双方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产业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上能有很好的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协同</w:t>
            </w:r>
            <w:r w:rsidR="00906A08">
              <w:rPr>
                <w:rFonts w:ascii="宋体" w:eastAsia="宋体" w:hAnsi="宋体" w:hint="eastAsia"/>
                <w:sz w:val="24"/>
                <w:szCs w:val="24"/>
              </w:rPr>
              <w:t>效应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，目前双方的产业协同已经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逐步的开展接洽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5223041" w14:textId="54B73330" w:rsidR="00A57780" w:rsidRDefault="0063455C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、请问目前行业的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如何？</w:t>
            </w:r>
          </w:p>
          <w:p w14:paraId="7BA1EDD3" w14:textId="22895DF2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照明市场需求稳定，全球市场每年有1</w:t>
            </w:r>
            <w:r w:rsidR="0063455C">
              <w:rPr>
                <w:rFonts w:ascii="宋体" w:eastAsia="宋体" w:hAnsi="宋体"/>
                <w:sz w:val="24"/>
                <w:szCs w:val="24"/>
              </w:rPr>
              <w:t>0%-20%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以上的增长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封装产品近几个月来，需求增长快速，很多产品供不应求，价格也稳中有升。</w:t>
            </w:r>
          </w:p>
          <w:p w14:paraId="02D2DB86" w14:textId="07FC7204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</w:t>
            </w:r>
            <w:r w:rsidR="00321455">
              <w:rPr>
                <w:rFonts w:ascii="宋体" w:eastAsia="宋体" w:hAnsi="宋体" w:hint="eastAsia"/>
                <w:sz w:val="24"/>
                <w:szCs w:val="24"/>
              </w:rPr>
              <w:t>行业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未来三年的竞争格局是如何的？</w:t>
            </w:r>
          </w:p>
          <w:p w14:paraId="6E3C5834" w14:textId="2D53ABA1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答：成品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品牌行业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集中度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都较为分散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，随着城镇化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加快，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国家对产品品质的要求</w:t>
            </w:r>
            <w:r w:rsidR="0063455C">
              <w:rPr>
                <w:rFonts w:ascii="宋体" w:eastAsia="宋体" w:hAnsi="宋体" w:hint="eastAsia"/>
                <w:sz w:val="24"/>
                <w:szCs w:val="24"/>
              </w:rPr>
              <w:t>提高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技术创新门槛也会变高，上述因素将导致</w:t>
            </w:r>
            <w:r w:rsidR="0063455C" w:rsidRPr="0063455C">
              <w:rPr>
                <w:rFonts w:ascii="宋体" w:eastAsia="宋体" w:hAnsi="宋体" w:hint="eastAsia"/>
                <w:sz w:val="24"/>
                <w:szCs w:val="24"/>
              </w:rPr>
              <w:t>成品品牌行业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集中度会越来越高，预测会往大厂集中。</w:t>
            </w:r>
          </w:p>
          <w:p w14:paraId="1C10A966" w14:textId="77777777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7、公司的渠道经营与产品的如何互补？</w:t>
            </w:r>
          </w:p>
          <w:p w14:paraId="463F64AD" w14:textId="263C111C" w:rsidR="00A57780" w:rsidRDefault="00A57780" w:rsidP="00A5778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答：对品牌的理解，主要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是以优质的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产品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提供给终端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客户，在渠道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销售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链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都能与渠道各方分享利益，形成良性的合作伙伴关系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大力发展线上销售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，聘请有过优异成绩的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电商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团队，加入到公司，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为公司的未来渠道销售战略提供强有力的保证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。在产品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，公司要求保持原有的优势的基础上，做有差异化、</w:t>
            </w:r>
            <w:r w:rsidR="00460A54">
              <w:rPr>
                <w:rFonts w:ascii="宋体" w:eastAsia="宋体" w:hAnsi="宋体" w:hint="eastAsia"/>
                <w:sz w:val="24"/>
                <w:szCs w:val="24"/>
              </w:rPr>
              <w:t>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附加值、科技含量高的产品，对品牌有赋能的产品。</w:t>
            </w:r>
          </w:p>
          <w:p w14:paraId="07398BC7" w14:textId="5B8B0E13" w:rsidR="00A57780" w:rsidRDefault="00F049B5" w:rsidP="00A577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8</w:t>
            </w:r>
            <w:r w:rsidR="00A57780">
              <w:rPr>
                <w:rFonts w:ascii="宋体" w:eastAsia="宋体" w:hAnsi="宋体" w:hint="eastAsia"/>
                <w:sz w:val="24"/>
                <w:szCs w:val="24"/>
              </w:rPr>
              <w:t>、公司有哪些措施能够提高营业收入？</w:t>
            </w:r>
          </w:p>
          <w:p w14:paraId="45B3FC3A" w14:textId="717C4272" w:rsidR="00A57780" w:rsidRDefault="00A57780" w:rsidP="00A5778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答：首先我们完成了对朗德万斯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传统照明产品向</w:t>
            </w:r>
            <w:r w:rsidR="006617AF">
              <w:rPr>
                <w:rFonts w:ascii="宋体" w:eastAsia="宋体" w:hAnsi="宋体"/>
                <w:sz w:val="24"/>
                <w:szCs w:val="24"/>
              </w:rPr>
              <w:t>LED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产品的转换，目前</w:t>
            </w:r>
            <w:r w:rsidR="006617AF">
              <w:rPr>
                <w:rFonts w:ascii="宋体" w:eastAsia="宋体" w:hAnsi="宋体"/>
                <w:sz w:val="24"/>
                <w:szCs w:val="24"/>
              </w:rPr>
              <w:t>LED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产品已经占光源产品8</w:t>
            </w:r>
            <w:r w:rsidR="006617AF">
              <w:rPr>
                <w:rFonts w:ascii="宋体" w:eastAsia="宋体" w:hAnsi="宋体"/>
                <w:sz w:val="24"/>
                <w:szCs w:val="24"/>
              </w:rPr>
              <w:t>0%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。其次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在欧洲、美国这些市场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灯具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增加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的品类，再把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更多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智能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照明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产品推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市场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6617AF" w:rsidRPr="006617AF">
              <w:rPr>
                <w:rFonts w:ascii="宋体" w:eastAsia="宋体" w:hAnsi="宋体" w:hint="eastAsia"/>
                <w:sz w:val="24"/>
                <w:szCs w:val="24"/>
              </w:rPr>
              <w:t>品类增多，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从而提高市场占有率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6617AF" w:rsidRPr="006617AF">
              <w:rPr>
                <w:rFonts w:ascii="宋体" w:eastAsia="宋体" w:hAnsi="宋体" w:hint="eastAsia"/>
                <w:sz w:val="24"/>
                <w:szCs w:val="24"/>
              </w:rPr>
              <w:t>利润的增长点也会增多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销售终端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朗德万斯的品牌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具有客户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认可度的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，新产品推广及销售非常容易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随着公司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深紫外产品、人因照明产品、显示屏照明</w:t>
            </w:r>
            <w:r w:rsidR="006617AF">
              <w:rPr>
                <w:rFonts w:ascii="宋体" w:eastAsia="宋体" w:hAnsi="宋体" w:hint="eastAsia"/>
                <w:sz w:val="24"/>
                <w:szCs w:val="24"/>
              </w:rPr>
              <w:t>等产品的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逐步推广。</w:t>
            </w:r>
            <w:r w:rsidR="0094618B">
              <w:rPr>
                <w:rFonts w:ascii="宋体" w:eastAsia="宋体" w:hAnsi="宋体" w:hint="eastAsia"/>
                <w:sz w:val="24"/>
                <w:szCs w:val="24"/>
              </w:rPr>
              <w:t>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次我们希望在亚太、拉美等新兴市场，</w:t>
            </w:r>
            <w:r w:rsidR="0094618B">
              <w:rPr>
                <w:rFonts w:ascii="宋体" w:eastAsia="宋体" w:hAnsi="宋体" w:hint="eastAsia"/>
                <w:sz w:val="24"/>
                <w:szCs w:val="24"/>
              </w:rPr>
              <w:t>利用良好的国际品牌效应，进一步开拓市场，加大新兴市场的占有率。</w:t>
            </w:r>
          </w:p>
          <w:p w14:paraId="630A9CFE" w14:textId="7D9DCB9A" w:rsidR="00E75E8D" w:rsidRPr="00A57780" w:rsidRDefault="00E75E8D" w:rsidP="007B3C88">
            <w:pPr>
              <w:spacing w:line="480" w:lineRule="atLeast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A302F" w:rsidRPr="00BA302F" w14:paraId="697B212B" w14:textId="77777777" w:rsidTr="009B7F14">
        <w:tc>
          <w:tcPr>
            <w:tcW w:w="1908" w:type="dxa"/>
            <w:shd w:val="clear" w:color="auto" w:fill="auto"/>
            <w:vAlign w:val="center"/>
          </w:tcPr>
          <w:p w14:paraId="0AC67167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14:paraId="79F93BE1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BA302F" w:rsidRPr="00BA302F" w14:paraId="5F3CFA79" w14:textId="77777777" w:rsidTr="009B7F14">
        <w:tc>
          <w:tcPr>
            <w:tcW w:w="1908" w:type="dxa"/>
            <w:shd w:val="clear" w:color="auto" w:fill="auto"/>
            <w:vAlign w:val="center"/>
          </w:tcPr>
          <w:p w14:paraId="33B46755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14:paraId="2AECF342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4DCF4089" w14:textId="77777777" w:rsidR="00EB47BF" w:rsidRDefault="00EB47BF"/>
    <w:sectPr w:rsidR="00EB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27B82" w14:textId="77777777" w:rsidR="00090439" w:rsidRDefault="00090439" w:rsidP="00BA302F">
      <w:r>
        <w:separator/>
      </w:r>
    </w:p>
  </w:endnote>
  <w:endnote w:type="continuationSeparator" w:id="0">
    <w:p w14:paraId="6D3E6B14" w14:textId="77777777" w:rsidR="00090439" w:rsidRDefault="00090439" w:rsidP="00BA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14D0B" w14:textId="77777777" w:rsidR="00090439" w:rsidRDefault="00090439" w:rsidP="00BA302F">
      <w:r>
        <w:separator/>
      </w:r>
    </w:p>
  </w:footnote>
  <w:footnote w:type="continuationSeparator" w:id="0">
    <w:p w14:paraId="27EA807A" w14:textId="77777777" w:rsidR="00090439" w:rsidRDefault="00090439" w:rsidP="00BA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E6B9A"/>
    <w:multiLevelType w:val="hybridMultilevel"/>
    <w:tmpl w:val="09C423E0"/>
    <w:lvl w:ilvl="0" w:tplc="E36A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BF"/>
    <w:rsid w:val="0000797B"/>
    <w:rsid w:val="00033BCE"/>
    <w:rsid w:val="00090439"/>
    <w:rsid w:val="000C00D8"/>
    <w:rsid w:val="0010117E"/>
    <w:rsid w:val="0011149C"/>
    <w:rsid w:val="00160567"/>
    <w:rsid w:val="00200E5E"/>
    <w:rsid w:val="00271E43"/>
    <w:rsid w:val="00291679"/>
    <w:rsid w:val="002F1E4E"/>
    <w:rsid w:val="00321455"/>
    <w:rsid w:val="003236F5"/>
    <w:rsid w:val="00371BB0"/>
    <w:rsid w:val="003A2B66"/>
    <w:rsid w:val="00460A54"/>
    <w:rsid w:val="00467A42"/>
    <w:rsid w:val="00471768"/>
    <w:rsid w:val="00482489"/>
    <w:rsid w:val="0048324E"/>
    <w:rsid w:val="004929F9"/>
    <w:rsid w:val="004F67EF"/>
    <w:rsid w:val="005D7E37"/>
    <w:rsid w:val="0063455C"/>
    <w:rsid w:val="006500CD"/>
    <w:rsid w:val="0065097B"/>
    <w:rsid w:val="006617AF"/>
    <w:rsid w:val="006C47E5"/>
    <w:rsid w:val="006D1993"/>
    <w:rsid w:val="006D451F"/>
    <w:rsid w:val="006E0859"/>
    <w:rsid w:val="007B3C88"/>
    <w:rsid w:val="007B78ED"/>
    <w:rsid w:val="007D6AB0"/>
    <w:rsid w:val="008050AD"/>
    <w:rsid w:val="00906A08"/>
    <w:rsid w:val="0094618B"/>
    <w:rsid w:val="009F08EF"/>
    <w:rsid w:val="00A57780"/>
    <w:rsid w:val="00AA4BF1"/>
    <w:rsid w:val="00AA7FC9"/>
    <w:rsid w:val="00AD6F06"/>
    <w:rsid w:val="00B3339E"/>
    <w:rsid w:val="00BA302F"/>
    <w:rsid w:val="00BB38C5"/>
    <w:rsid w:val="00C17476"/>
    <w:rsid w:val="00C746BB"/>
    <w:rsid w:val="00C830B9"/>
    <w:rsid w:val="00CC24BA"/>
    <w:rsid w:val="00DA1212"/>
    <w:rsid w:val="00DD4B0A"/>
    <w:rsid w:val="00E75E8D"/>
    <w:rsid w:val="00EB47BF"/>
    <w:rsid w:val="00F01A84"/>
    <w:rsid w:val="00F049B5"/>
    <w:rsid w:val="00F2221E"/>
    <w:rsid w:val="00F56B27"/>
    <w:rsid w:val="00F9774A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15FB3"/>
  <w15:docId w15:val="{8C09E9FD-B34D-46DB-8172-48D0496F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F"/>
    <w:rPr>
      <w:sz w:val="18"/>
      <w:szCs w:val="18"/>
    </w:rPr>
  </w:style>
  <w:style w:type="paragraph" w:styleId="a7">
    <w:name w:val="List Paragraph"/>
    <w:basedOn w:val="a"/>
    <w:uiPriority w:val="34"/>
    <w:qFormat/>
    <w:rsid w:val="00BA302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29167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9167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9167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67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9167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67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91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71329</dc:creator>
  <cp:keywords/>
  <dc:description/>
  <cp:lastModifiedBy>hui</cp:lastModifiedBy>
  <cp:revision>3</cp:revision>
  <cp:lastPrinted>2020-08-13T07:47:00Z</cp:lastPrinted>
  <dcterms:created xsi:type="dcterms:W3CDTF">2020-11-18T10:18:00Z</dcterms:created>
  <dcterms:modified xsi:type="dcterms:W3CDTF">2020-11-18T10:24:00Z</dcterms:modified>
</cp:coreProperties>
</file>