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4EBC6" w14:textId="3F739EEB" w:rsidR="00114067" w:rsidRDefault="009A6191" w:rsidP="00E103FB">
      <w:pPr>
        <w:spacing w:before="156" w:after="156" w:line="400" w:lineRule="exact"/>
        <w:rPr>
          <w:rFonts w:ascii="宋体"/>
          <w:bCs/>
          <w:iCs/>
          <w:sz w:val="24"/>
        </w:rPr>
      </w:pPr>
      <w:r>
        <w:rPr>
          <w:rFonts w:ascii="宋体" w:hAnsi="宋体" w:hint="eastAsia"/>
          <w:bCs/>
          <w:iCs/>
          <w:sz w:val="24"/>
        </w:rPr>
        <w:t>证券代码：</w:t>
      </w:r>
      <w:r>
        <w:rPr>
          <w:rFonts w:ascii="宋体" w:hAnsi="宋体"/>
          <w:bCs/>
          <w:iCs/>
          <w:sz w:val="24"/>
        </w:rPr>
        <w:t>002299</w:t>
      </w:r>
      <w:r>
        <w:rPr>
          <w:rFonts w:ascii="宋体" w:hAnsi="宋体" w:hint="eastAsia"/>
          <w:bCs/>
          <w:iCs/>
          <w:sz w:val="24"/>
        </w:rPr>
        <w:t xml:space="preserve">                                   证券简称：圣农发展</w:t>
      </w:r>
    </w:p>
    <w:p w14:paraId="63660656" w14:textId="77777777" w:rsidR="0002186D" w:rsidRDefault="00AA1750" w:rsidP="00C4463D">
      <w:pPr>
        <w:spacing w:beforeLines="100" w:before="312" w:afterLines="100" w:after="312" w:line="360" w:lineRule="auto"/>
        <w:jc w:val="center"/>
        <w:rPr>
          <w:rFonts w:ascii="宋体"/>
          <w:b/>
          <w:bCs/>
          <w:iCs/>
          <w:sz w:val="24"/>
          <w:szCs w:val="24"/>
        </w:rPr>
      </w:pPr>
      <w:r>
        <w:rPr>
          <w:rFonts w:ascii="宋体" w:hAnsi="宋体" w:hint="eastAsia"/>
          <w:b/>
          <w:bCs/>
          <w:iCs/>
          <w:sz w:val="24"/>
          <w:szCs w:val="24"/>
        </w:rPr>
        <w:t>福建圣农发展股份有限公司投资者关系活动记录表</w:t>
      </w:r>
    </w:p>
    <w:p w14:paraId="5C0DF14D" w14:textId="0D2BD526" w:rsidR="0002186D" w:rsidRDefault="00AA1750">
      <w:pPr>
        <w:spacing w:line="400" w:lineRule="exact"/>
        <w:rPr>
          <w:rFonts w:ascii="宋体"/>
          <w:bCs/>
          <w:iCs/>
          <w:sz w:val="24"/>
          <w:szCs w:val="24"/>
        </w:rPr>
      </w:pPr>
      <w:r>
        <w:rPr>
          <w:rFonts w:ascii="宋体" w:hAnsi="宋体" w:hint="eastAsia"/>
          <w:bCs/>
          <w:iCs/>
          <w:sz w:val="24"/>
          <w:szCs w:val="24"/>
        </w:rPr>
        <w:t>编号：</w:t>
      </w:r>
      <w:r>
        <w:rPr>
          <w:rFonts w:ascii="宋体" w:hAnsi="宋体"/>
          <w:bCs/>
          <w:iCs/>
          <w:sz w:val="24"/>
          <w:szCs w:val="24"/>
        </w:rPr>
        <w:t>20</w:t>
      </w:r>
      <w:r w:rsidR="002B66C8">
        <w:rPr>
          <w:rFonts w:ascii="宋体" w:hAnsi="宋体"/>
          <w:bCs/>
          <w:iCs/>
          <w:sz w:val="24"/>
          <w:szCs w:val="24"/>
        </w:rPr>
        <w:t>20</w:t>
      </w:r>
      <w:r w:rsidR="00B41C60">
        <w:rPr>
          <w:rFonts w:ascii="宋体" w:hAnsi="宋体" w:hint="eastAsia"/>
          <w:bCs/>
          <w:iCs/>
          <w:sz w:val="24"/>
          <w:szCs w:val="24"/>
        </w:rPr>
        <w:t>-</w:t>
      </w:r>
      <w:r w:rsidR="00720434">
        <w:rPr>
          <w:rFonts w:ascii="宋体" w:hAnsi="宋体" w:hint="eastAsia"/>
          <w:bCs/>
          <w:iCs/>
          <w:sz w:val="24"/>
          <w:szCs w:val="24"/>
        </w:rPr>
        <w:t>0</w:t>
      </w:r>
      <w:r w:rsidR="00E42410">
        <w:rPr>
          <w:rFonts w:ascii="宋体" w:hAnsi="宋体" w:hint="eastAsia"/>
          <w:bCs/>
          <w:iCs/>
          <w:sz w:val="24"/>
          <w:szCs w:val="24"/>
        </w:rPr>
        <w:t>0</w:t>
      </w:r>
      <w:r w:rsidR="002B66C8">
        <w:rPr>
          <w:rFonts w:ascii="宋体" w:hAnsi="宋体"/>
          <w:bCs/>
          <w:iCs/>
          <w:sz w:val="24"/>
          <w:szCs w:val="24"/>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02186D" w14:paraId="1FBE8101" w14:textId="77777777" w:rsidTr="00C4463D">
        <w:trPr>
          <w:trHeight w:val="2471"/>
        </w:trPr>
        <w:tc>
          <w:tcPr>
            <w:tcW w:w="1908" w:type="dxa"/>
          </w:tcPr>
          <w:p w14:paraId="1DEEEB92" w14:textId="77777777" w:rsidR="0002186D" w:rsidRDefault="00AA1750">
            <w:pPr>
              <w:spacing w:line="480" w:lineRule="atLeast"/>
              <w:rPr>
                <w:rFonts w:ascii="宋体"/>
                <w:b/>
                <w:bCs/>
                <w:iCs/>
                <w:sz w:val="24"/>
                <w:szCs w:val="24"/>
              </w:rPr>
            </w:pPr>
            <w:r>
              <w:rPr>
                <w:rFonts w:ascii="宋体" w:hAnsi="宋体" w:hint="eastAsia"/>
                <w:b/>
                <w:bCs/>
                <w:iCs/>
                <w:sz w:val="24"/>
                <w:szCs w:val="24"/>
              </w:rPr>
              <w:t>投资者关系活动类别</w:t>
            </w:r>
          </w:p>
          <w:p w14:paraId="71CFF649" w14:textId="77777777" w:rsidR="0002186D" w:rsidRDefault="0002186D">
            <w:pPr>
              <w:spacing w:line="480" w:lineRule="atLeast"/>
              <w:rPr>
                <w:rFonts w:ascii="宋体"/>
                <w:b/>
                <w:bCs/>
                <w:iCs/>
                <w:sz w:val="24"/>
                <w:szCs w:val="24"/>
              </w:rPr>
            </w:pPr>
          </w:p>
        </w:tc>
        <w:tc>
          <w:tcPr>
            <w:tcW w:w="6614" w:type="dxa"/>
          </w:tcPr>
          <w:p w14:paraId="52283BD7" w14:textId="77777777" w:rsidR="0002186D" w:rsidRDefault="00AA1750">
            <w:pPr>
              <w:spacing w:line="480" w:lineRule="atLeast"/>
              <w:rPr>
                <w:rFonts w:ascii="宋体"/>
                <w:bCs/>
                <w:iCs/>
                <w:sz w:val="24"/>
                <w:szCs w:val="24"/>
              </w:rPr>
            </w:pPr>
            <w:r>
              <w:rPr>
                <w:rFonts w:ascii="Wingdings 2" w:hAnsi="Wingdings 2"/>
                <w:sz w:val="28"/>
                <w:szCs w:val="28"/>
              </w:rPr>
              <w:t></w:t>
            </w:r>
            <w:r>
              <w:rPr>
                <w:rFonts w:ascii="宋体" w:hAnsi="宋体" w:hint="eastAsia"/>
                <w:sz w:val="24"/>
                <w:szCs w:val="24"/>
              </w:rPr>
              <w:t>特定对象调研</w:t>
            </w:r>
            <w:r>
              <w:rPr>
                <w:rFonts w:ascii="宋体" w:hAnsi="宋体" w:hint="eastAsia"/>
                <w:bCs/>
                <w:iCs/>
                <w:sz w:val="24"/>
                <w:szCs w:val="24"/>
              </w:rPr>
              <w:t>□</w:t>
            </w:r>
            <w:r>
              <w:rPr>
                <w:rFonts w:ascii="宋体" w:hAnsi="宋体" w:hint="eastAsia"/>
                <w:sz w:val="24"/>
                <w:szCs w:val="24"/>
              </w:rPr>
              <w:t>分析师会议</w:t>
            </w:r>
          </w:p>
          <w:p w14:paraId="6C8C818B" w14:textId="77777777" w:rsidR="0002186D" w:rsidRDefault="00AA1750">
            <w:pPr>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媒体采访</w:t>
            </w:r>
            <w:r>
              <w:rPr>
                <w:rFonts w:ascii="宋体" w:hAnsi="宋体" w:hint="eastAsia"/>
                <w:bCs/>
                <w:iCs/>
                <w:sz w:val="24"/>
                <w:szCs w:val="24"/>
              </w:rPr>
              <w:t>□</w:t>
            </w:r>
            <w:r>
              <w:rPr>
                <w:rFonts w:ascii="宋体" w:hAnsi="宋体" w:hint="eastAsia"/>
                <w:sz w:val="24"/>
                <w:szCs w:val="24"/>
              </w:rPr>
              <w:t>业绩说明会</w:t>
            </w:r>
          </w:p>
          <w:p w14:paraId="6552948D" w14:textId="77777777" w:rsidR="0002186D" w:rsidRDefault="00AA1750">
            <w:pPr>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新闻发布会</w:t>
            </w:r>
            <w:r>
              <w:rPr>
                <w:rFonts w:ascii="宋体" w:hAnsi="宋体" w:hint="eastAsia"/>
                <w:bCs/>
                <w:iCs/>
                <w:sz w:val="24"/>
                <w:szCs w:val="24"/>
              </w:rPr>
              <w:t>□</w:t>
            </w:r>
            <w:r>
              <w:rPr>
                <w:rFonts w:ascii="宋体" w:hAnsi="宋体" w:hint="eastAsia"/>
                <w:sz w:val="24"/>
                <w:szCs w:val="24"/>
              </w:rPr>
              <w:t>路演活动</w:t>
            </w:r>
          </w:p>
          <w:p w14:paraId="2C19C429" w14:textId="77777777" w:rsidR="0002186D" w:rsidRDefault="00AA1750">
            <w:pPr>
              <w:tabs>
                <w:tab w:val="left" w:pos="3045"/>
                <w:tab w:val="center" w:pos="3199"/>
              </w:tabs>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bCs/>
                <w:iCs/>
                <w:sz w:val="24"/>
                <w:szCs w:val="24"/>
              </w:rPr>
              <w:tab/>
            </w:r>
          </w:p>
          <w:p w14:paraId="738711B0" w14:textId="77777777" w:rsidR="0002186D" w:rsidRDefault="00AA1750">
            <w:pPr>
              <w:tabs>
                <w:tab w:val="center" w:pos="3199"/>
              </w:tabs>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其他</w:t>
            </w:r>
          </w:p>
        </w:tc>
      </w:tr>
      <w:tr w:rsidR="0002186D" w14:paraId="2FD1C659" w14:textId="77777777" w:rsidTr="00C4463D">
        <w:trPr>
          <w:trHeight w:val="1021"/>
        </w:trPr>
        <w:tc>
          <w:tcPr>
            <w:tcW w:w="1908" w:type="dxa"/>
          </w:tcPr>
          <w:p w14:paraId="6A67C4C6" w14:textId="77777777" w:rsidR="0002186D" w:rsidRDefault="00AA1750" w:rsidP="00683FCF">
            <w:pPr>
              <w:spacing w:line="400" w:lineRule="atLeast"/>
              <w:rPr>
                <w:rFonts w:ascii="宋体"/>
                <w:b/>
                <w:bCs/>
                <w:iCs/>
                <w:sz w:val="24"/>
                <w:szCs w:val="24"/>
              </w:rPr>
            </w:pPr>
            <w:r>
              <w:rPr>
                <w:rFonts w:ascii="宋体" w:hAnsi="宋体" w:hint="eastAsia"/>
                <w:b/>
                <w:bCs/>
                <w:iCs/>
                <w:sz w:val="24"/>
                <w:szCs w:val="24"/>
              </w:rPr>
              <w:t>参与单位名称及人员姓名</w:t>
            </w:r>
          </w:p>
        </w:tc>
        <w:tc>
          <w:tcPr>
            <w:tcW w:w="6614" w:type="dxa"/>
          </w:tcPr>
          <w:p w14:paraId="7AC9D71A" w14:textId="77777777" w:rsidR="00DE304C" w:rsidRDefault="002B66C8" w:rsidP="00DE304C">
            <w:pPr>
              <w:spacing w:line="400" w:lineRule="atLeast"/>
              <w:rPr>
                <w:b/>
              </w:rPr>
            </w:pPr>
            <w:r>
              <w:rPr>
                <w:rFonts w:hint="eastAsia"/>
                <w:b/>
              </w:rPr>
              <w:t>明亚基金：黄超</w:t>
            </w:r>
          </w:p>
          <w:p w14:paraId="29F4CFB9" w14:textId="32ACD0E8" w:rsidR="002B66C8" w:rsidRPr="004A2D25" w:rsidRDefault="002B66C8" w:rsidP="00DE304C">
            <w:pPr>
              <w:spacing w:line="400" w:lineRule="atLeast"/>
              <w:rPr>
                <w:b/>
              </w:rPr>
            </w:pPr>
            <w:r>
              <w:rPr>
                <w:rFonts w:hint="eastAsia"/>
                <w:b/>
              </w:rPr>
              <w:t>东方证券：张斌梅</w:t>
            </w:r>
          </w:p>
        </w:tc>
      </w:tr>
      <w:tr w:rsidR="0002186D" w14:paraId="0114BAA6" w14:textId="77777777" w:rsidTr="00631F06">
        <w:trPr>
          <w:trHeight w:val="510"/>
        </w:trPr>
        <w:tc>
          <w:tcPr>
            <w:tcW w:w="1908" w:type="dxa"/>
          </w:tcPr>
          <w:p w14:paraId="1DB30B84" w14:textId="77777777" w:rsidR="0002186D" w:rsidRDefault="00AA1750">
            <w:pPr>
              <w:spacing w:line="480" w:lineRule="atLeast"/>
              <w:rPr>
                <w:rFonts w:ascii="宋体"/>
                <w:b/>
                <w:bCs/>
                <w:iCs/>
                <w:sz w:val="24"/>
                <w:szCs w:val="24"/>
              </w:rPr>
            </w:pPr>
            <w:r>
              <w:rPr>
                <w:rFonts w:ascii="宋体" w:hAnsi="宋体" w:hint="eastAsia"/>
                <w:b/>
                <w:bCs/>
                <w:iCs/>
                <w:sz w:val="24"/>
                <w:szCs w:val="24"/>
              </w:rPr>
              <w:t>时间</w:t>
            </w:r>
          </w:p>
        </w:tc>
        <w:tc>
          <w:tcPr>
            <w:tcW w:w="6614" w:type="dxa"/>
          </w:tcPr>
          <w:p w14:paraId="78CD8FDB" w14:textId="6FC1CBDE" w:rsidR="0002186D" w:rsidRDefault="004A2D25" w:rsidP="002B66C8">
            <w:pPr>
              <w:spacing w:line="480" w:lineRule="atLeast"/>
              <w:rPr>
                <w:rFonts w:ascii="宋体"/>
                <w:bCs/>
                <w:iCs/>
                <w:sz w:val="24"/>
                <w:szCs w:val="24"/>
              </w:rPr>
            </w:pPr>
            <w:r>
              <w:rPr>
                <w:rFonts w:ascii="宋体" w:hAnsi="宋体"/>
                <w:bCs/>
                <w:iCs/>
                <w:sz w:val="24"/>
                <w:szCs w:val="24"/>
              </w:rPr>
              <w:t>20</w:t>
            </w:r>
            <w:r w:rsidR="002B66C8">
              <w:rPr>
                <w:rFonts w:ascii="宋体" w:hAnsi="宋体"/>
                <w:bCs/>
                <w:iCs/>
                <w:sz w:val="24"/>
                <w:szCs w:val="24"/>
              </w:rPr>
              <w:t>20</w:t>
            </w:r>
            <w:r>
              <w:rPr>
                <w:rFonts w:ascii="宋体" w:hAnsi="宋体" w:hint="eastAsia"/>
                <w:bCs/>
                <w:iCs/>
                <w:sz w:val="24"/>
                <w:szCs w:val="24"/>
              </w:rPr>
              <w:t>年</w:t>
            </w:r>
            <w:r w:rsidR="002B66C8">
              <w:rPr>
                <w:rFonts w:ascii="宋体" w:hAnsi="宋体"/>
                <w:bCs/>
                <w:iCs/>
                <w:sz w:val="24"/>
                <w:szCs w:val="24"/>
              </w:rPr>
              <w:t>11</w:t>
            </w:r>
            <w:r>
              <w:rPr>
                <w:rFonts w:ascii="宋体" w:hAnsi="宋体" w:hint="eastAsia"/>
                <w:bCs/>
                <w:iCs/>
                <w:sz w:val="24"/>
                <w:szCs w:val="24"/>
              </w:rPr>
              <w:t>月</w:t>
            </w:r>
            <w:r w:rsidR="002B66C8">
              <w:rPr>
                <w:rFonts w:ascii="宋体" w:hAnsi="宋体" w:hint="eastAsia"/>
                <w:bCs/>
                <w:iCs/>
                <w:sz w:val="24"/>
                <w:szCs w:val="24"/>
              </w:rPr>
              <w:t>1</w:t>
            </w:r>
            <w:r w:rsidR="002B66C8">
              <w:rPr>
                <w:rFonts w:ascii="宋体" w:hAnsi="宋体"/>
                <w:bCs/>
                <w:iCs/>
                <w:sz w:val="24"/>
                <w:szCs w:val="24"/>
              </w:rPr>
              <w:t>7</w:t>
            </w:r>
            <w:r w:rsidR="00AA1750">
              <w:rPr>
                <w:rFonts w:ascii="宋体" w:hAnsi="宋体" w:hint="eastAsia"/>
                <w:bCs/>
                <w:iCs/>
                <w:sz w:val="24"/>
                <w:szCs w:val="24"/>
              </w:rPr>
              <w:t>日</w:t>
            </w:r>
          </w:p>
        </w:tc>
      </w:tr>
      <w:tr w:rsidR="0002186D" w14:paraId="28C82B8A" w14:textId="77777777" w:rsidTr="00631F06">
        <w:trPr>
          <w:trHeight w:val="510"/>
        </w:trPr>
        <w:tc>
          <w:tcPr>
            <w:tcW w:w="1908" w:type="dxa"/>
          </w:tcPr>
          <w:p w14:paraId="13492FF9" w14:textId="77777777" w:rsidR="0002186D" w:rsidRDefault="00AA1750">
            <w:pPr>
              <w:spacing w:line="480" w:lineRule="atLeast"/>
              <w:rPr>
                <w:rFonts w:ascii="宋体"/>
                <w:b/>
                <w:bCs/>
                <w:iCs/>
                <w:sz w:val="24"/>
                <w:szCs w:val="24"/>
              </w:rPr>
            </w:pPr>
            <w:r>
              <w:rPr>
                <w:rFonts w:ascii="宋体" w:hAnsi="宋体" w:hint="eastAsia"/>
                <w:b/>
                <w:bCs/>
                <w:iCs/>
                <w:sz w:val="24"/>
                <w:szCs w:val="24"/>
              </w:rPr>
              <w:t>地点</w:t>
            </w:r>
          </w:p>
        </w:tc>
        <w:tc>
          <w:tcPr>
            <w:tcW w:w="6614" w:type="dxa"/>
          </w:tcPr>
          <w:p w14:paraId="79C229BD" w14:textId="77777777" w:rsidR="0002186D" w:rsidRDefault="00AA1750">
            <w:pPr>
              <w:spacing w:line="480" w:lineRule="atLeast"/>
              <w:rPr>
                <w:rFonts w:ascii="宋体"/>
                <w:bCs/>
                <w:iCs/>
                <w:sz w:val="24"/>
                <w:szCs w:val="24"/>
              </w:rPr>
            </w:pPr>
            <w:proofErr w:type="gramStart"/>
            <w:r>
              <w:rPr>
                <w:rFonts w:ascii="宋体" w:hAnsi="宋体" w:hint="eastAsia"/>
                <w:bCs/>
                <w:iCs/>
                <w:sz w:val="24"/>
                <w:szCs w:val="24"/>
              </w:rPr>
              <w:t>圣农发展</w:t>
            </w:r>
            <w:proofErr w:type="gramEnd"/>
            <w:r>
              <w:rPr>
                <w:rFonts w:ascii="宋体" w:hAnsi="宋体" w:hint="eastAsia"/>
                <w:bCs/>
                <w:iCs/>
                <w:sz w:val="24"/>
                <w:szCs w:val="24"/>
              </w:rPr>
              <w:t>总部大楼</w:t>
            </w:r>
          </w:p>
        </w:tc>
      </w:tr>
      <w:tr w:rsidR="0002186D" w14:paraId="3BC21066" w14:textId="77777777" w:rsidTr="00631F06">
        <w:trPr>
          <w:trHeight w:val="1021"/>
        </w:trPr>
        <w:tc>
          <w:tcPr>
            <w:tcW w:w="1908" w:type="dxa"/>
          </w:tcPr>
          <w:p w14:paraId="223B1058" w14:textId="77777777" w:rsidR="0002186D" w:rsidRDefault="00AA1750" w:rsidP="00683FCF">
            <w:pPr>
              <w:spacing w:line="400" w:lineRule="atLeast"/>
              <w:rPr>
                <w:rFonts w:ascii="宋体"/>
                <w:b/>
                <w:bCs/>
                <w:iCs/>
                <w:sz w:val="24"/>
                <w:szCs w:val="24"/>
              </w:rPr>
            </w:pPr>
            <w:r>
              <w:rPr>
                <w:rFonts w:ascii="宋体" w:hAnsi="宋体" w:hint="eastAsia"/>
                <w:b/>
                <w:bCs/>
                <w:iCs/>
                <w:sz w:val="24"/>
                <w:szCs w:val="24"/>
              </w:rPr>
              <w:t>上市公司接待人员姓名</w:t>
            </w:r>
          </w:p>
        </w:tc>
        <w:tc>
          <w:tcPr>
            <w:tcW w:w="6614" w:type="dxa"/>
          </w:tcPr>
          <w:p w14:paraId="4EEED72F" w14:textId="77777777" w:rsidR="00A84869" w:rsidRDefault="00686BA7" w:rsidP="00152E16">
            <w:pPr>
              <w:spacing w:line="400" w:lineRule="atLeast"/>
              <w:jc w:val="left"/>
              <w:rPr>
                <w:rFonts w:ascii="宋体"/>
                <w:bCs/>
                <w:iCs/>
                <w:sz w:val="24"/>
                <w:szCs w:val="24"/>
              </w:rPr>
            </w:pPr>
            <w:r>
              <w:rPr>
                <w:rFonts w:ascii="宋体" w:hAnsi="宋体" w:hint="eastAsia"/>
                <w:bCs/>
                <w:iCs/>
                <w:sz w:val="24"/>
                <w:szCs w:val="24"/>
              </w:rPr>
              <w:t>廖俊杰</w:t>
            </w:r>
            <w:r w:rsidR="00C4463D">
              <w:rPr>
                <w:rFonts w:ascii="宋体" w:hAnsi="宋体" w:hint="eastAsia"/>
                <w:bCs/>
                <w:iCs/>
                <w:sz w:val="24"/>
                <w:szCs w:val="24"/>
              </w:rPr>
              <w:t>、曾丽梅</w:t>
            </w:r>
          </w:p>
        </w:tc>
      </w:tr>
      <w:tr w:rsidR="0002186D" w14:paraId="653CF286" w14:textId="77777777">
        <w:trPr>
          <w:trHeight w:val="1757"/>
        </w:trPr>
        <w:tc>
          <w:tcPr>
            <w:tcW w:w="1908" w:type="dxa"/>
            <w:vAlign w:val="center"/>
          </w:tcPr>
          <w:p w14:paraId="1EFBE93B" w14:textId="77777777" w:rsidR="0002186D" w:rsidRDefault="00AA1750">
            <w:pPr>
              <w:spacing w:line="480" w:lineRule="atLeast"/>
              <w:rPr>
                <w:rFonts w:ascii="宋体"/>
                <w:b/>
                <w:bCs/>
                <w:iCs/>
                <w:sz w:val="24"/>
                <w:szCs w:val="24"/>
              </w:rPr>
            </w:pPr>
            <w:r>
              <w:rPr>
                <w:rFonts w:ascii="宋体" w:hAnsi="宋体" w:hint="eastAsia"/>
                <w:b/>
                <w:bCs/>
                <w:iCs/>
                <w:sz w:val="24"/>
                <w:szCs w:val="24"/>
              </w:rPr>
              <w:t>投资者关系活动主要内容介绍</w:t>
            </w:r>
          </w:p>
          <w:p w14:paraId="412F3D8C" w14:textId="77777777" w:rsidR="0002186D" w:rsidRDefault="0002186D">
            <w:pPr>
              <w:spacing w:line="480" w:lineRule="atLeast"/>
              <w:rPr>
                <w:rFonts w:ascii="宋体"/>
                <w:b/>
                <w:bCs/>
                <w:iCs/>
                <w:sz w:val="24"/>
                <w:szCs w:val="24"/>
              </w:rPr>
            </w:pPr>
          </w:p>
        </w:tc>
        <w:tc>
          <w:tcPr>
            <w:tcW w:w="6614" w:type="dxa"/>
          </w:tcPr>
          <w:p w14:paraId="4C58F7C7" w14:textId="368DF6B6" w:rsidR="0072162F" w:rsidRDefault="0072162F" w:rsidP="001C5E97">
            <w:pPr>
              <w:spacing w:line="360" w:lineRule="auto"/>
              <w:rPr>
                <w:rFonts w:ascii="宋体" w:hAnsi="宋体"/>
                <w:bCs/>
                <w:iCs/>
                <w:sz w:val="24"/>
                <w:szCs w:val="24"/>
              </w:rPr>
            </w:pPr>
            <w:r>
              <w:rPr>
                <w:rFonts w:ascii="宋体" w:hAnsi="宋体" w:hint="eastAsia"/>
                <w:bCs/>
                <w:iCs/>
                <w:sz w:val="24"/>
                <w:szCs w:val="24"/>
              </w:rPr>
              <w:t>1、来访人员向公司领导</w:t>
            </w:r>
            <w:r w:rsidR="005B6E3B">
              <w:rPr>
                <w:rFonts w:ascii="宋体" w:hAnsi="宋体" w:hint="eastAsia"/>
                <w:bCs/>
                <w:iCs/>
                <w:sz w:val="24"/>
                <w:szCs w:val="24"/>
              </w:rPr>
              <w:t>询问</w:t>
            </w:r>
            <w:r w:rsidR="002B66C8">
              <w:rPr>
                <w:rFonts w:ascii="宋体" w:hAnsi="宋体" w:hint="eastAsia"/>
                <w:bCs/>
                <w:iCs/>
                <w:sz w:val="24"/>
                <w:szCs w:val="24"/>
              </w:rPr>
              <w:t>公司经营亮点及优势</w:t>
            </w:r>
            <w:r w:rsidR="005B6E3B">
              <w:rPr>
                <w:rFonts w:ascii="宋体" w:hAnsi="宋体" w:hint="eastAsia"/>
                <w:bCs/>
                <w:iCs/>
                <w:sz w:val="24"/>
                <w:szCs w:val="24"/>
              </w:rPr>
              <w:t>。</w:t>
            </w:r>
          </w:p>
          <w:p w14:paraId="79936E15" w14:textId="391FE9D5" w:rsidR="002B66C8" w:rsidRDefault="00B63F87" w:rsidP="001C5E97">
            <w:pPr>
              <w:spacing w:line="360" w:lineRule="auto"/>
              <w:ind w:firstLineChars="200" w:firstLine="480"/>
              <w:rPr>
                <w:rFonts w:ascii="宋体" w:hAnsi="宋体"/>
                <w:bCs/>
                <w:iCs/>
                <w:sz w:val="24"/>
                <w:szCs w:val="24"/>
              </w:rPr>
            </w:pPr>
            <w:r w:rsidRPr="00753136">
              <w:rPr>
                <w:rFonts w:ascii="宋体" w:hAnsi="宋体" w:hint="eastAsia"/>
                <w:bCs/>
                <w:iCs/>
                <w:sz w:val="24"/>
                <w:szCs w:val="24"/>
              </w:rPr>
              <w:t>公司领导回答：</w:t>
            </w:r>
            <w:r w:rsidR="0091384C">
              <w:rPr>
                <w:rFonts w:ascii="宋体" w:hAnsi="宋体" w:hint="eastAsia"/>
                <w:bCs/>
                <w:iCs/>
                <w:sz w:val="24"/>
                <w:szCs w:val="24"/>
              </w:rPr>
              <w:t>当前，公司业绩</w:t>
            </w:r>
            <w:r w:rsidR="00A262FC">
              <w:rPr>
                <w:rFonts w:ascii="宋体" w:hAnsi="宋体" w:hint="eastAsia"/>
                <w:bCs/>
                <w:iCs/>
                <w:sz w:val="24"/>
                <w:szCs w:val="24"/>
              </w:rPr>
              <w:t>继续</w:t>
            </w:r>
            <w:r w:rsidR="0091384C">
              <w:rPr>
                <w:rFonts w:ascii="宋体" w:hAnsi="宋体" w:hint="eastAsia"/>
                <w:bCs/>
                <w:iCs/>
                <w:sz w:val="24"/>
                <w:szCs w:val="24"/>
              </w:rPr>
              <w:t>跑赢行业，并</w:t>
            </w:r>
            <w:r w:rsidR="00A262FC">
              <w:rPr>
                <w:rFonts w:ascii="宋体" w:hAnsi="宋体" w:hint="eastAsia"/>
                <w:bCs/>
                <w:iCs/>
                <w:sz w:val="24"/>
                <w:szCs w:val="24"/>
              </w:rPr>
              <w:t>持续</w:t>
            </w:r>
            <w:r w:rsidR="0091384C">
              <w:rPr>
                <w:rFonts w:ascii="宋体" w:hAnsi="宋体" w:hint="eastAsia"/>
                <w:bCs/>
                <w:iCs/>
                <w:sz w:val="24"/>
                <w:szCs w:val="24"/>
              </w:rPr>
              <w:t>保持较高盈利水平，</w:t>
            </w:r>
            <w:r w:rsidR="0091384C" w:rsidRPr="0047277B">
              <w:rPr>
                <w:rFonts w:ascii="宋体" w:hAnsi="宋体" w:hint="eastAsia"/>
                <w:bCs/>
                <w:iCs/>
                <w:sz w:val="24"/>
                <w:szCs w:val="24"/>
              </w:rPr>
              <w:t>利润率和同行业差距逐步拉开</w:t>
            </w:r>
            <w:r w:rsidR="0091384C">
              <w:rPr>
                <w:rFonts w:ascii="宋体" w:hAnsi="宋体" w:hint="eastAsia"/>
                <w:bCs/>
                <w:iCs/>
                <w:sz w:val="24"/>
                <w:szCs w:val="24"/>
              </w:rPr>
              <w:t>。而这一亮丽业绩并非一蹴而就，是建立在公司多年深挖内部管理及严格实施成本管控的基础上，管理、成本及溢价等</w:t>
            </w:r>
            <w:r w:rsidR="00A262FC">
              <w:rPr>
                <w:rFonts w:ascii="宋体" w:hAnsi="宋体" w:hint="eastAsia"/>
                <w:bCs/>
                <w:iCs/>
                <w:sz w:val="24"/>
                <w:szCs w:val="24"/>
              </w:rPr>
              <w:t>多</w:t>
            </w:r>
            <w:r w:rsidR="0091384C">
              <w:rPr>
                <w:rFonts w:ascii="宋体" w:hAnsi="宋体" w:hint="eastAsia"/>
                <w:bCs/>
                <w:iCs/>
                <w:sz w:val="24"/>
                <w:szCs w:val="24"/>
              </w:rPr>
              <w:t>方面均得到有效提升，具体表现在：</w:t>
            </w:r>
          </w:p>
          <w:p w14:paraId="32E19EC0" w14:textId="65675B0C" w:rsidR="002B66C8" w:rsidRDefault="002B66C8" w:rsidP="001C5E97">
            <w:pPr>
              <w:spacing w:line="360" w:lineRule="auto"/>
              <w:ind w:firstLineChars="200" w:firstLine="480"/>
              <w:rPr>
                <w:rFonts w:ascii="宋体" w:hAnsi="宋体"/>
                <w:bCs/>
                <w:iCs/>
                <w:sz w:val="24"/>
                <w:szCs w:val="24"/>
              </w:rPr>
            </w:pPr>
            <w:r w:rsidRPr="002B66C8">
              <w:rPr>
                <w:rFonts w:ascii="宋体" w:hAnsi="宋体" w:hint="eastAsia"/>
                <w:bCs/>
                <w:iCs/>
                <w:sz w:val="24"/>
                <w:szCs w:val="24"/>
              </w:rPr>
              <w:t xml:space="preserve"> 1）</w:t>
            </w:r>
            <w:r>
              <w:rPr>
                <w:rFonts w:ascii="宋体" w:hAnsi="宋体" w:hint="eastAsia"/>
                <w:bCs/>
                <w:iCs/>
                <w:sz w:val="24"/>
                <w:szCs w:val="24"/>
              </w:rPr>
              <w:t>成本</w:t>
            </w:r>
            <w:r w:rsidR="0091384C">
              <w:rPr>
                <w:rFonts w:ascii="宋体" w:hAnsi="宋体" w:hint="eastAsia"/>
                <w:bCs/>
                <w:iCs/>
                <w:sz w:val="24"/>
                <w:szCs w:val="24"/>
              </w:rPr>
              <w:t>下降</w:t>
            </w:r>
            <w:r>
              <w:rPr>
                <w:rFonts w:ascii="宋体" w:hAnsi="宋体" w:hint="eastAsia"/>
                <w:bCs/>
                <w:iCs/>
                <w:sz w:val="24"/>
                <w:szCs w:val="24"/>
              </w:rPr>
              <w:t>。</w:t>
            </w:r>
            <w:r w:rsidRPr="002B66C8">
              <w:rPr>
                <w:rFonts w:ascii="宋体" w:hAnsi="宋体" w:hint="eastAsia"/>
                <w:bCs/>
                <w:iCs/>
                <w:sz w:val="24"/>
                <w:szCs w:val="24"/>
              </w:rPr>
              <w:t>在玉米等原料价格不断上涨的背景下，公司成本</w:t>
            </w:r>
            <w:r w:rsidR="00A262FC">
              <w:rPr>
                <w:rFonts w:ascii="宋体" w:hAnsi="宋体" w:hint="eastAsia"/>
                <w:bCs/>
                <w:iCs/>
                <w:sz w:val="24"/>
                <w:szCs w:val="24"/>
              </w:rPr>
              <w:t>与去年相比</w:t>
            </w:r>
            <w:r w:rsidRPr="002B66C8">
              <w:rPr>
                <w:rFonts w:ascii="宋体" w:hAnsi="宋体" w:hint="eastAsia"/>
                <w:bCs/>
                <w:iCs/>
                <w:sz w:val="24"/>
                <w:szCs w:val="24"/>
              </w:rPr>
              <w:t>仍保持一定比例的降幅。</w:t>
            </w:r>
            <w:r w:rsidR="00A262FC">
              <w:rPr>
                <w:rFonts w:ascii="宋体" w:hAnsi="宋体" w:hint="eastAsia"/>
                <w:bCs/>
                <w:iCs/>
                <w:sz w:val="24"/>
                <w:szCs w:val="24"/>
              </w:rPr>
              <w:t>主要</w:t>
            </w:r>
            <w:r w:rsidRPr="002B66C8">
              <w:rPr>
                <w:rFonts w:ascii="宋体" w:hAnsi="宋体" w:hint="eastAsia"/>
                <w:bCs/>
                <w:iCs/>
                <w:sz w:val="24"/>
                <w:szCs w:val="24"/>
              </w:rPr>
              <w:t>得益于公司自有种源比例的不断提升以及多年来持续推进的精细化管理，公司一体化产业</w:t>
            </w:r>
            <w:proofErr w:type="gramStart"/>
            <w:r w:rsidRPr="002B66C8">
              <w:rPr>
                <w:rFonts w:ascii="宋体" w:hAnsi="宋体" w:hint="eastAsia"/>
                <w:bCs/>
                <w:iCs/>
                <w:sz w:val="24"/>
                <w:szCs w:val="24"/>
              </w:rPr>
              <w:t>链规模</w:t>
            </w:r>
            <w:proofErr w:type="gramEnd"/>
            <w:r w:rsidRPr="002B66C8">
              <w:rPr>
                <w:rFonts w:ascii="宋体" w:hAnsi="宋体" w:hint="eastAsia"/>
                <w:bCs/>
                <w:iCs/>
                <w:sz w:val="24"/>
                <w:szCs w:val="24"/>
              </w:rPr>
              <w:t xml:space="preserve">效应显著，生产效率、管理水平得到较大提升。 </w:t>
            </w:r>
          </w:p>
          <w:p w14:paraId="0C2677EB" w14:textId="7755F308" w:rsidR="00C325E9" w:rsidRDefault="002B66C8" w:rsidP="001C5E97">
            <w:pPr>
              <w:spacing w:line="360" w:lineRule="auto"/>
              <w:ind w:firstLineChars="200" w:firstLine="480"/>
              <w:rPr>
                <w:rFonts w:ascii="宋体" w:hAnsi="宋体"/>
                <w:bCs/>
                <w:iCs/>
                <w:sz w:val="24"/>
                <w:szCs w:val="24"/>
              </w:rPr>
            </w:pPr>
            <w:r w:rsidRPr="002B66C8">
              <w:rPr>
                <w:rFonts w:ascii="宋体" w:hAnsi="宋体" w:hint="eastAsia"/>
                <w:bCs/>
                <w:iCs/>
                <w:sz w:val="24"/>
                <w:szCs w:val="24"/>
              </w:rPr>
              <w:t>2）</w:t>
            </w:r>
            <w:r>
              <w:rPr>
                <w:rFonts w:ascii="宋体" w:hAnsi="宋体" w:hint="eastAsia"/>
                <w:bCs/>
                <w:iCs/>
                <w:sz w:val="24"/>
                <w:szCs w:val="24"/>
              </w:rPr>
              <w:t>产品溢价。</w:t>
            </w:r>
            <w:r w:rsidRPr="002B66C8">
              <w:rPr>
                <w:rFonts w:ascii="宋体" w:hAnsi="宋体" w:hint="eastAsia"/>
                <w:bCs/>
                <w:iCs/>
                <w:sz w:val="24"/>
                <w:szCs w:val="24"/>
              </w:rPr>
              <w:t>与行业鸡肉产品相比，公司鸡肉溢价程度逐年提升。公司一体化产业</w:t>
            </w:r>
            <w:proofErr w:type="gramStart"/>
            <w:r w:rsidRPr="002B66C8">
              <w:rPr>
                <w:rFonts w:ascii="宋体" w:hAnsi="宋体" w:hint="eastAsia"/>
                <w:bCs/>
                <w:iCs/>
                <w:sz w:val="24"/>
                <w:szCs w:val="24"/>
              </w:rPr>
              <w:t>链有效</w:t>
            </w:r>
            <w:proofErr w:type="gramEnd"/>
            <w:r w:rsidRPr="002B66C8">
              <w:rPr>
                <w:rFonts w:ascii="宋体" w:hAnsi="宋体" w:hint="eastAsia"/>
                <w:bCs/>
                <w:iCs/>
                <w:sz w:val="24"/>
                <w:szCs w:val="24"/>
              </w:rPr>
              <w:t>保障食品安全及提升产品价值，尤其是拥有众多国内外的优质客户，这从很大程度上使公</w:t>
            </w:r>
            <w:r w:rsidRPr="002B66C8">
              <w:rPr>
                <w:rFonts w:ascii="宋体" w:hAnsi="宋体" w:hint="eastAsia"/>
                <w:bCs/>
                <w:iCs/>
                <w:sz w:val="24"/>
                <w:szCs w:val="24"/>
              </w:rPr>
              <w:lastRenderedPageBreak/>
              <w:t>司销售价格</w:t>
            </w:r>
            <w:r w:rsidR="0091384C">
              <w:rPr>
                <w:rFonts w:ascii="宋体" w:hAnsi="宋体" w:hint="eastAsia"/>
                <w:bCs/>
                <w:iCs/>
                <w:sz w:val="24"/>
                <w:szCs w:val="24"/>
              </w:rPr>
              <w:t>与</w:t>
            </w:r>
            <w:r w:rsidRPr="002B66C8">
              <w:rPr>
                <w:rFonts w:ascii="宋体" w:hAnsi="宋体" w:hint="eastAsia"/>
                <w:bCs/>
                <w:iCs/>
                <w:sz w:val="24"/>
                <w:szCs w:val="24"/>
              </w:rPr>
              <w:t>行业</w:t>
            </w:r>
            <w:r w:rsidR="0091384C">
              <w:rPr>
                <w:rFonts w:ascii="宋体" w:hAnsi="宋体" w:hint="eastAsia"/>
                <w:bCs/>
                <w:iCs/>
                <w:sz w:val="24"/>
                <w:szCs w:val="24"/>
              </w:rPr>
              <w:t>鸡肉平均水平相比</w:t>
            </w:r>
            <w:r w:rsidRPr="002B66C8">
              <w:rPr>
                <w:rFonts w:ascii="宋体" w:hAnsi="宋体" w:hint="eastAsia"/>
                <w:bCs/>
                <w:iCs/>
                <w:sz w:val="24"/>
                <w:szCs w:val="24"/>
              </w:rPr>
              <w:t>具有</w:t>
            </w:r>
            <w:r w:rsidR="0091384C">
              <w:rPr>
                <w:rFonts w:ascii="宋体" w:hAnsi="宋体" w:hint="eastAsia"/>
                <w:bCs/>
                <w:iCs/>
                <w:sz w:val="24"/>
                <w:szCs w:val="24"/>
              </w:rPr>
              <w:t>溢价</w:t>
            </w:r>
            <w:r>
              <w:rPr>
                <w:rFonts w:ascii="宋体" w:hAnsi="宋体" w:hint="eastAsia"/>
                <w:bCs/>
                <w:iCs/>
                <w:sz w:val="24"/>
                <w:szCs w:val="24"/>
              </w:rPr>
              <w:t>优势</w:t>
            </w:r>
            <w:r w:rsidRPr="002B66C8">
              <w:rPr>
                <w:rFonts w:ascii="宋体" w:hAnsi="宋体" w:hint="eastAsia"/>
                <w:bCs/>
                <w:iCs/>
                <w:sz w:val="24"/>
                <w:szCs w:val="24"/>
              </w:rPr>
              <w:t>。此外，随着公司熟食板块规模的不断扩大，将进一步强化公司产品的价格优势，进而有效平滑白羽肉鸡行业周期波动</w:t>
            </w:r>
            <w:r w:rsidR="00A262FC">
              <w:rPr>
                <w:rFonts w:ascii="宋体" w:hAnsi="宋体" w:hint="eastAsia"/>
                <w:bCs/>
                <w:iCs/>
                <w:sz w:val="24"/>
                <w:szCs w:val="24"/>
              </w:rPr>
              <w:t>的影响</w:t>
            </w:r>
            <w:r w:rsidRPr="002B66C8">
              <w:rPr>
                <w:rFonts w:ascii="宋体" w:hAnsi="宋体" w:hint="eastAsia"/>
                <w:bCs/>
                <w:iCs/>
                <w:sz w:val="24"/>
                <w:szCs w:val="24"/>
              </w:rPr>
              <w:t>。</w:t>
            </w:r>
          </w:p>
          <w:p w14:paraId="0CA47786" w14:textId="77777777" w:rsidR="002B66C8" w:rsidRPr="00C325E9" w:rsidRDefault="002B66C8" w:rsidP="001C5E97">
            <w:pPr>
              <w:spacing w:line="360" w:lineRule="auto"/>
              <w:ind w:firstLineChars="200" w:firstLine="480"/>
              <w:rPr>
                <w:rFonts w:ascii="宋体" w:hAnsi="宋体"/>
                <w:bCs/>
                <w:iCs/>
                <w:sz w:val="24"/>
                <w:szCs w:val="24"/>
              </w:rPr>
            </w:pPr>
          </w:p>
          <w:p w14:paraId="3AD3380E" w14:textId="77777777" w:rsidR="00B63F87" w:rsidRDefault="00B63F87" w:rsidP="001C5E97">
            <w:pPr>
              <w:spacing w:line="360" w:lineRule="auto"/>
              <w:rPr>
                <w:rFonts w:ascii="宋体" w:hAnsi="宋体"/>
                <w:bCs/>
                <w:iCs/>
                <w:sz w:val="24"/>
                <w:szCs w:val="24"/>
              </w:rPr>
            </w:pPr>
            <w:r>
              <w:rPr>
                <w:rFonts w:ascii="宋体" w:hAnsi="宋体" w:hint="eastAsia"/>
                <w:bCs/>
                <w:iCs/>
                <w:sz w:val="24"/>
                <w:szCs w:val="24"/>
              </w:rPr>
              <w:t>2、来访人员问公司领导</w:t>
            </w:r>
            <w:r w:rsidR="00C4463D">
              <w:rPr>
                <w:rFonts w:ascii="宋体" w:hAnsi="宋体" w:hint="eastAsia"/>
                <w:bCs/>
                <w:iCs/>
                <w:sz w:val="24"/>
                <w:szCs w:val="24"/>
              </w:rPr>
              <w:t>未来发展规划</w:t>
            </w:r>
            <w:r>
              <w:rPr>
                <w:rFonts w:ascii="宋体" w:hAnsi="宋体" w:hint="eastAsia"/>
                <w:bCs/>
                <w:iCs/>
                <w:sz w:val="24"/>
                <w:szCs w:val="24"/>
              </w:rPr>
              <w:t>。</w:t>
            </w:r>
          </w:p>
          <w:p w14:paraId="0F4BFCB0" w14:textId="724AFBA6" w:rsidR="000B1F0B" w:rsidRDefault="00B63F87" w:rsidP="00C4463D">
            <w:pPr>
              <w:spacing w:beforeLines="50" w:before="156" w:line="360" w:lineRule="auto"/>
              <w:ind w:firstLineChars="200" w:firstLine="480"/>
              <w:outlineLvl w:val="0"/>
              <w:rPr>
                <w:rFonts w:ascii="宋体" w:hAnsi="宋体"/>
                <w:sz w:val="24"/>
              </w:rPr>
            </w:pPr>
            <w:r w:rsidRPr="00753136">
              <w:rPr>
                <w:rFonts w:ascii="宋体" w:hAnsi="宋体" w:hint="eastAsia"/>
                <w:bCs/>
                <w:iCs/>
                <w:sz w:val="24"/>
                <w:szCs w:val="24"/>
              </w:rPr>
              <w:t>公司领导回答：</w:t>
            </w:r>
            <w:r w:rsidR="002B66C8" w:rsidRPr="002B66C8">
              <w:rPr>
                <w:rFonts w:ascii="宋体" w:hAnsi="宋体" w:hint="eastAsia"/>
                <w:bCs/>
                <w:iCs/>
                <w:sz w:val="24"/>
                <w:szCs w:val="24"/>
              </w:rPr>
              <w:t>公司将始终秉承熟食+生食双曲线同步发展战略，并重点发展熟食板块。</w:t>
            </w:r>
            <w:r w:rsidR="0091384C">
              <w:rPr>
                <w:rFonts w:ascii="宋体" w:hAnsi="宋体" w:hint="eastAsia"/>
                <w:bCs/>
                <w:iCs/>
                <w:sz w:val="24"/>
                <w:szCs w:val="24"/>
              </w:rPr>
              <w:t>后续，</w:t>
            </w:r>
            <w:r w:rsidR="00DC388B">
              <w:rPr>
                <w:rFonts w:ascii="宋体" w:hAnsi="宋体" w:hint="eastAsia"/>
                <w:bCs/>
                <w:iCs/>
                <w:sz w:val="24"/>
                <w:szCs w:val="24"/>
              </w:rPr>
              <w:t>公司</w:t>
            </w:r>
            <w:r w:rsidR="002B66C8" w:rsidRPr="002B66C8">
              <w:rPr>
                <w:rFonts w:ascii="宋体" w:hAnsi="宋体" w:hint="eastAsia"/>
                <w:bCs/>
                <w:iCs/>
                <w:sz w:val="24"/>
                <w:szCs w:val="24"/>
              </w:rPr>
              <w:t>将大幅增加C</w:t>
            </w:r>
            <w:proofErr w:type="gramStart"/>
            <w:r w:rsidR="002B66C8" w:rsidRPr="002B66C8">
              <w:rPr>
                <w:rFonts w:ascii="宋体" w:hAnsi="宋体" w:hint="eastAsia"/>
                <w:bCs/>
                <w:iCs/>
                <w:sz w:val="24"/>
                <w:szCs w:val="24"/>
              </w:rPr>
              <w:t>端品牌</w:t>
            </w:r>
            <w:proofErr w:type="gramEnd"/>
            <w:r w:rsidR="002B66C8" w:rsidRPr="002B66C8">
              <w:rPr>
                <w:rFonts w:ascii="宋体" w:hAnsi="宋体" w:hint="eastAsia"/>
                <w:bCs/>
                <w:iCs/>
                <w:sz w:val="24"/>
                <w:szCs w:val="24"/>
              </w:rPr>
              <w:t>推广预算，开展多样式品牌推广策略，</w:t>
            </w:r>
            <w:r w:rsidR="00DC388B">
              <w:rPr>
                <w:rFonts w:ascii="宋体" w:hAnsi="宋体" w:hint="eastAsia"/>
                <w:bCs/>
                <w:iCs/>
                <w:sz w:val="24"/>
                <w:szCs w:val="24"/>
              </w:rPr>
              <w:t>增强公司品牌</w:t>
            </w:r>
            <w:r w:rsidR="0091384C">
              <w:rPr>
                <w:rFonts w:ascii="宋体" w:hAnsi="宋体" w:hint="eastAsia"/>
                <w:bCs/>
                <w:iCs/>
                <w:sz w:val="24"/>
                <w:szCs w:val="24"/>
              </w:rPr>
              <w:t>知名度及</w:t>
            </w:r>
            <w:r w:rsidR="00DC388B">
              <w:rPr>
                <w:rFonts w:ascii="宋体" w:hAnsi="宋体" w:hint="eastAsia"/>
                <w:bCs/>
                <w:iCs/>
                <w:sz w:val="24"/>
                <w:szCs w:val="24"/>
              </w:rPr>
              <w:t>竞争力</w:t>
            </w:r>
            <w:r w:rsidR="002B66C8" w:rsidRPr="002B66C8">
              <w:rPr>
                <w:rFonts w:ascii="宋体" w:hAnsi="宋体" w:hint="eastAsia"/>
                <w:bCs/>
                <w:iCs/>
                <w:sz w:val="24"/>
                <w:szCs w:val="24"/>
              </w:rPr>
              <w:t>。</w:t>
            </w:r>
            <w:r w:rsidR="0091384C">
              <w:rPr>
                <w:rFonts w:ascii="宋体" w:hAnsi="宋体" w:hint="eastAsia"/>
                <w:bCs/>
                <w:iCs/>
                <w:sz w:val="24"/>
                <w:szCs w:val="24"/>
              </w:rPr>
              <w:t>此外</w:t>
            </w:r>
            <w:r w:rsidR="002B66C8" w:rsidRPr="002B66C8">
              <w:rPr>
                <w:rFonts w:ascii="宋体" w:hAnsi="宋体" w:hint="eastAsia"/>
                <w:bCs/>
                <w:iCs/>
                <w:sz w:val="24"/>
                <w:szCs w:val="24"/>
              </w:rPr>
              <w:t>，</w:t>
            </w:r>
            <w:r w:rsidR="0091384C">
              <w:rPr>
                <w:rFonts w:ascii="宋体" w:hAnsi="宋体" w:hint="eastAsia"/>
                <w:bCs/>
                <w:iCs/>
                <w:sz w:val="24"/>
                <w:szCs w:val="24"/>
              </w:rPr>
              <w:t>公司将从熟食板块产能扩增角度出发，扩大生食板块养殖量</w:t>
            </w:r>
            <w:r w:rsidR="002B66C8" w:rsidRPr="002B66C8">
              <w:rPr>
                <w:rFonts w:ascii="宋体" w:hAnsi="宋体" w:hint="eastAsia"/>
                <w:bCs/>
                <w:iCs/>
                <w:sz w:val="24"/>
                <w:szCs w:val="24"/>
              </w:rPr>
              <w:t>，</w:t>
            </w:r>
            <w:r w:rsidR="00A262FC">
              <w:rPr>
                <w:rFonts w:ascii="宋体" w:hAnsi="宋体" w:hint="eastAsia"/>
                <w:bCs/>
                <w:iCs/>
                <w:sz w:val="24"/>
                <w:szCs w:val="24"/>
              </w:rPr>
              <w:t>进而</w:t>
            </w:r>
            <w:r w:rsidR="002B66C8" w:rsidRPr="002B66C8">
              <w:rPr>
                <w:rFonts w:ascii="宋体" w:hAnsi="宋体" w:hint="eastAsia"/>
                <w:bCs/>
                <w:iCs/>
                <w:sz w:val="24"/>
                <w:szCs w:val="24"/>
              </w:rPr>
              <w:t>有效提升公司占有率及竞争力。</w:t>
            </w:r>
          </w:p>
          <w:p w14:paraId="605364D2" w14:textId="7A4FB124" w:rsidR="002B66C8" w:rsidRDefault="002B66C8" w:rsidP="00C4463D">
            <w:pPr>
              <w:spacing w:beforeLines="50" w:before="156" w:line="360" w:lineRule="auto"/>
              <w:ind w:firstLineChars="200" w:firstLine="480"/>
              <w:outlineLvl w:val="0"/>
              <w:rPr>
                <w:rFonts w:ascii="宋体" w:hAnsi="宋体"/>
                <w:sz w:val="24"/>
              </w:rPr>
            </w:pPr>
          </w:p>
          <w:p w14:paraId="5E4B9EA6" w14:textId="77777777" w:rsidR="002B66C8" w:rsidRPr="001B6418" w:rsidRDefault="002B66C8" w:rsidP="00C4463D">
            <w:pPr>
              <w:spacing w:beforeLines="50" w:before="156" w:line="360" w:lineRule="auto"/>
              <w:ind w:firstLineChars="200" w:firstLine="480"/>
              <w:outlineLvl w:val="0"/>
              <w:rPr>
                <w:rFonts w:ascii="宋体" w:hAnsi="宋体"/>
                <w:bCs/>
                <w:iCs/>
                <w:sz w:val="24"/>
                <w:szCs w:val="24"/>
              </w:rPr>
            </w:pPr>
          </w:p>
          <w:p w14:paraId="7129A21C" w14:textId="77777777" w:rsidR="0002186D" w:rsidRDefault="00AA1750" w:rsidP="004F5C73">
            <w:pPr>
              <w:spacing w:line="360" w:lineRule="auto"/>
              <w:ind w:firstLine="482"/>
              <w:rPr>
                <w:rFonts w:ascii="宋体"/>
                <w:b/>
                <w:bCs/>
                <w:iCs/>
                <w:sz w:val="24"/>
                <w:szCs w:val="24"/>
              </w:rPr>
            </w:pPr>
            <w:r>
              <w:rPr>
                <w:rFonts w:ascii="宋体" w:hAnsi="宋体" w:hint="eastAsia"/>
                <w:b/>
                <w:bCs/>
                <w:iCs/>
                <w:sz w:val="24"/>
                <w:szCs w:val="24"/>
              </w:rPr>
              <w:t>注：所有交流内容均未涉及公司未公开的信息。</w:t>
            </w:r>
          </w:p>
        </w:tc>
      </w:tr>
      <w:tr w:rsidR="0002186D" w14:paraId="1FDE3774" w14:textId="77777777" w:rsidTr="00631F06">
        <w:trPr>
          <w:trHeight w:val="510"/>
        </w:trPr>
        <w:tc>
          <w:tcPr>
            <w:tcW w:w="1908" w:type="dxa"/>
            <w:vAlign w:val="center"/>
          </w:tcPr>
          <w:p w14:paraId="6E30DD50" w14:textId="77777777" w:rsidR="0002186D" w:rsidRDefault="00AA1750">
            <w:pPr>
              <w:spacing w:line="480" w:lineRule="atLeast"/>
              <w:rPr>
                <w:rFonts w:ascii="宋体"/>
                <w:b/>
                <w:bCs/>
                <w:iCs/>
                <w:sz w:val="24"/>
                <w:szCs w:val="24"/>
              </w:rPr>
            </w:pPr>
            <w:r>
              <w:rPr>
                <w:rFonts w:ascii="宋体" w:hAnsi="宋体" w:hint="eastAsia"/>
                <w:b/>
                <w:bCs/>
                <w:iCs/>
                <w:sz w:val="24"/>
                <w:szCs w:val="24"/>
              </w:rPr>
              <w:lastRenderedPageBreak/>
              <w:t>附件清单（如有）</w:t>
            </w:r>
          </w:p>
        </w:tc>
        <w:tc>
          <w:tcPr>
            <w:tcW w:w="6614" w:type="dxa"/>
          </w:tcPr>
          <w:p w14:paraId="63A72FB6" w14:textId="77777777" w:rsidR="0002186D" w:rsidRDefault="00AA1750">
            <w:pPr>
              <w:spacing w:line="480" w:lineRule="atLeast"/>
              <w:rPr>
                <w:rFonts w:ascii="宋体"/>
                <w:bCs/>
                <w:iCs/>
                <w:sz w:val="24"/>
                <w:szCs w:val="24"/>
              </w:rPr>
            </w:pPr>
            <w:r>
              <w:rPr>
                <w:rFonts w:ascii="宋体" w:hint="eastAsia"/>
                <w:bCs/>
                <w:iCs/>
                <w:sz w:val="24"/>
                <w:szCs w:val="24"/>
              </w:rPr>
              <w:t>无</w:t>
            </w:r>
          </w:p>
        </w:tc>
      </w:tr>
      <w:tr w:rsidR="0002186D" w14:paraId="4F256E8D" w14:textId="77777777" w:rsidTr="00631F06">
        <w:trPr>
          <w:trHeight w:val="510"/>
        </w:trPr>
        <w:tc>
          <w:tcPr>
            <w:tcW w:w="1908" w:type="dxa"/>
            <w:vAlign w:val="center"/>
          </w:tcPr>
          <w:p w14:paraId="2B022AEB" w14:textId="77777777" w:rsidR="0002186D" w:rsidRDefault="00AA1750">
            <w:pPr>
              <w:spacing w:line="480" w:lineRule="atLeast"/>
              <w:rPr>
                <w:rFonts w:ascii="宋体"/>
                <w:b/>
                <w:bCs/>
                <w:iCs/>
                <w:sz w:val="24"/>
                <w:szCs w:val="24"/>
              </w:rPr>
            </w:pPr>
            <w:r>
              <w:rPr>
                <w:rFonts w:ascii="宋体" w:hAnsi="宋体" w:hint="eastAsia"/>
                <w:b/>
                <w:bCs/>
                <w:iCs/>
                <w:sz w:val="24"/>
                <w:szCs w:val="24"/>
              </w:rPr>
              <w:t>日期</w:t>
            </w:r>
          </w:p>
        </w:tc>
        <w:tc>
          <w:tcPr>
            <w:tcW w:w="6614" w:type="dxa"/>
          </w:tcPr>
          <w:p w14:paraId="0D3541AE" w14:textId="13BBE72F" w:rsidR="0002186D" w:rsidRDefault="00C4463D" w:rsidP="002B66C8">
            <w:pPr>
              <w:spacing w:line="480" w:lineRule="atLeast"/>
              <w:rPr>
                <w:rFonts w:ascii="宋体"/>
                <w:bCs/>
                <w:iCs/>
                <w:sz w:val="24"/>
                <w:szCs w:val="24"/>
              </w:rPr>
            </w:pPr>
            <w:r>
              <w:rPr>
                <w:rFonts w:ascii="宋体" w:hAnsi="宋体"/>
                <w:bCs/>
                <w:iCs/>
                <w:sz w:val="24"/>
                <w:szCs w:val="24"/>
              </w:rPr>
              <w:t>20</w:t>
            </w:r>
            <w:r w:rsidR="002B66C8">
              <w:rPr>
                <w:rFonts w:ascii="宋体" w:hAnsi="宋体"/>
                <w:bCs/>
                <w:iCs/>
                <w:sz w:val="24"/>
                <w:szCs w:val="24"/>
              </w:rPr>
              <w:t>20</w:t>
            </w:r>
            <w:r>
              <w:rPr>
                <w:rFonts w:ascii="宋体" w:hAnsi="宋体" w:hint="eastAsia"/>
                <w:bCs/>
                <w:iCs/>
                <w:sz w:val="24"/>
                <w:szCs w:val="24"/>
              </w:rPr>
              <w:t>年</w:t>
            </w:r>
            <w:r w:rsidR="002B66C8">
              <w:rPr>
                <w:rFonts w:ascii="宋体" w:hAnsi="宋体"/>
                <w:bCs/>
                <w:iCs/>
                <w:sz w:val="24"/>
                <w:szCs w:val="24"/>
              </w:rPr>
              <w:t>11</w:t>
            </w:r>
            <w:r w:rsidR="004A2D25">
              <w:rPr>
                <w:rFonts w:ascii="宋体" w:hAnsi="宋体" w:hint="eastAsia"/>
                <w:bCs/>
                <w:iCs/>
                <w:sz w:val="24"/>
                <w:szCs w:val="24"/>
              </w:rPr>
              <w:t>月</w:t>
            </w:r>
            <w:r w:rsidR="002B66C8">
              <w:rPr>
                <w:rFonts w:ascii="宋体" w:hAnsi="宋体"/>
                <w:bCs/>
                <w:iCs/>
                <w:sz w:val="24"/>
                <w:szCs w:val="24"/>
              </w:rPr>
              <w:t>1</w:t>
            </w:r>
            <w:r w:rsidR="0091384C">
              <w:rPr>
                <w:rFonts w:ascii="宋体" w:hAnsi="宋体"/>
                <w:bCs/>
                <w:iCs/>
                <w:sz w:val="24"/>
                <w:szCs w:val="24"/>
              </w:rPr>
              <w:t>9</w:t>
            </w:r>
            <w:r w:rsidR="00AA1750">
              <w:rPr>
                <w:rFonts w:ascii="宋体" w:hAnsi="宋体" w:hint="eastAsia"/>
                <w:bCs/>
                <w:iCs/>
                <w:sz w:val="24"/>
                <w:szCs w:val="24"/>
              </w:rPr>
              <w:t>日</w:t>
            </w:r>
          </w:p>
        </w:tc>
      </w:tr>
    </w:tbl>
    <w:p w14:paraId="6A0EF5DB" w14:textId="77777777" w:rsidR="00D86F86" w:rsidRDefault="00D86F86">
      <w:pPr>
        <w:spacing w:line="24" w:lineRule="auto"/>
      </w:pPr>
    </w:p>
    <w:sectPr w:rsidR="00D86F86" w:rsidSect="00F06EF2">
      <w:headerReference w:type="default" r:id="rId8"/>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2BB8" w14:textId="77777777" w:rsidR="00645047" w:rsidRDefault="00645047">
      <w:r>
        <w:separator/>
      </w:r>
    </w:p>
  </w:endnote>
  <w:endnote w:type="continuationSeparator" w:id="0">
    <w:p w14:paraId="18EB92FD" w14:textId="77777777" w:rsidR="00645047" w:rsidRDefault="006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70B57" w14:textId="77777777" w:rsidR="00645047" w:rsidRDefault="00645047">
      <w:r>
        <w:separator/>
      </w:r>
    </w:p>
  </w:footnote>
  <w:footnote w:type="continuationSeparator" w:id="0">
    <w:p w14:paraId="379ACA32" w14:textId="77777777" w:rsidR="00645047" w:rsidRDefault="0064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A7EB" w14:textId="77777777" w:rsidR="0002186D" w:rsidRDefault="0002186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BA"/>
    <w:rsid w:val="00004FF1"/>
    <w:rsid w:val="00012890"/>
    <w:rsid w:val="00017FDF"/>
    <w:rsid w:val="00021411"/>
    <w:rsid w:val="0002186D"/>
    <w:rsid w:val="00022DCD"/>
    <w:rsid w:val="00024F4F"/>
    <w:rsid w:val="00025ABD"/>
    <w:rsid w:val="0002746D"/>
    <w:rsid w:val="0003047F"/>
    <w:rsid w:val="00034927"/>
    <w:rsid w:val="00045B87"/>
    <w:rsid w:val="00045FA8"/>
    <w:rsid w:val="00046604"/>
    <w:rsid w:val="00051D54"/>
    <w:rsid w:val="00051D8A"/>
    <w:rsid w:val="0005223F"/>
    <w:rsid w:val="000529EA"/>
    <w:rsid w:val="000550CC"/>
    <w:rsid w:val="00055ABA"/>
    <w:rsid w:val="000609AE"/>
    <w:rsid w:val="00070CC9"/>
    <w:rsid w:val="00072C3E"/>
    <w:rsid w:val="00072F85"/>
    <w:rsid w:val="00075AC0"/>
    <w:rsid w:val="00081859"/>
    <w:rsid w:val="00084E6C"/>
    <w:rsid w:val="000944C1"/>
    <w:rsid w:val="00095F3D"/>
    <w:rsid w:val="000A7AE5"/>
    <w:rsid w:val="000B1F0B"/>
    <w:rsid w:val="000B296B"/>
    <w:rsid w:val="000B2E06"/>
    <w:rsid w:val="000C121F"/>
    <w:rsid w:val="000C4DC3"/>
    <w:rsid w:val="000D04FF"/>
    <w:rsid w:val="000D2C44"/>
    <w:rsid w:val="000D5B3F"/>
    <w:rsid w:val="000D66B8"/>
    <w:rsid w:val="000E3035"/>
    <w:rsid w:val="000F1C3A"/>
    <w:rsid w:val="00107441"/>
    <w:rsid w:val="001129FB"/>
    <w:rsid w:val="00114067"/>
    <w:rsid w:val="00114287"/>
    <w:rsid w:val="001155BC"/>
    <w:rsid w:val="00122C52"/>
    <w:rsid w:val="00131F99"/>
    <w:rsid w:val="001354E5"/>
    <w:rsid w:val="0013679D"/>
    <w:rsid w:val="001402F7"/>
    <w:rsid w:val="00140A96"/>
    <w:rsid w:val="001431C0"/>
    <w:rsid w:val="00144117"/>
    <w:rsid w:val="0014461A"/>
    <w:rsid w:val="00150BD2"/>
    <w:rsid w:val="00152E16"/>
    <w:rsid w:val="00154386"/>
    <w:rsid w:val="00157344"/>
    <w:rsid w:val="00173DE5"/>
    <w:rsid w:val="0017522B"/>
    <w:rsid w:val="00177089"/>
    <w:rsid w:val="0018558D"/>
    <w:rsid w:val="0018641A"/>
    <w:rsid w:val="001958CA"/>
    <w:rsid w:val="00196EAA"/>
    <w:rsid w:val="001A69AF"/>
    <w:rsid w:val="001B03A2"/>
    <w:rsid w:val="001B2644"/>
    <w:rsid w:val="001B4271"/>
    <w:rsid w:val="001B4C65"/>
    <w:rsid w:val="001B6418"/>
    <w:rsid w:val="001B6C74"/>
    <w:rsid w:val="001C1DF0"/>
    <w:rsid w:val="001C5E97"/>
    <w:rsid w:val="001D2589"/>
    <w:rsid w:val="001D44EA"/>
    <w:rsid w:val="001D5918"/>
    <w:rsid w:val="001E45B4"/>
    <w:rsid w:val="001F3A0E"/>
    <w:rsid w:val="001F3C82"/>
    <w:rsid w:val="001F413D"/>
    <w:rsid w:val="001F75B7"/>
    <w:rsid w:val="00201E65"/>
    <w:rsid w:val="002031A4"/>
    <w:rsid w:val="002042F0"/>
    <w:rsid w:val="002147BA"/>
    <w:rsid w:val="002208D8"/>
    <w:rsid w:val="00222524"/>
    <w:rsid w:val="002426DB"/>
    <w:rsid w:val="00253AA7"/>
    <w:rsid w:val="00274435"/>
    <w:rsid w:val="00276645"/>
    <w:rsid w:val="00277911"/>
    <w:rsid w:val="00293DE4"/>
    <w:rsid w:val="00294718"/>
    <w:rsid w:val="002966D8"/>
    <w:rsid w:val="00297320"/>
    <w:rsid w:val="002A2721"/>
    <w:rsid w:val="002B66C8"/>
    <w:rsid w:val="002D1165"/>
    <w:rsid w:val="002D6164"/>
    <w:rsid w:val="002D6ED8"/>
    <w:rsid w:val="002E2A9D"/>
    <w:rsid w:val="002E34F5"/>
    <w:rsid w:val="002F24A7"/>
    <w:rsid w:val="00304690"/>
    <w:rsid w:val="003401E3"/>
    <w:rsid w:val="00345A6B"/>
    <w:rsid w:val="00361556"/>
    <w:rsid w:val="003706FD"/>
    <w:rsid w:val="00371324"/>
    <w:rsid w:val="0038782C"/>
    <w:rsid w:val="00391D6E"/>
    <w:rsid w:val="00397282"/>
    <w:rsid w:val="003B28ED"/>
    <w:rsid w:val="003B58DE"/>
    <w:rsid w:val="003C557D"/>
    <w:rsid w:val="003C7497"/>
    <w:rsid w:val="003D57FF"/>
    <w:rsid w:val="003D72FC"/>
    <w:rsid w:val="003E033E"/>
    <w:rsid w:val="003E1467"/>
    <w:rsid w:val="003E1503"/>
    <w:rsid w:val="003F2537"/>
    <w:rsid w:val="003F6122"/>
    <w:rsid w:val="003F6701"/>
    <w:rsid w:val="003F79E7"/>
    <w:rsid w:val="00416C53"/>
    <w:rsid w:val="00420E90"/>
    <w:rsid w:val="00422E0C"/>
    <w:rsid w:val="0042785A"/>
    <w:rsid w:val="004313C6"/>
    <w:rsid w:val="00445F16"/>
    <w:rsid w:val="00450A2B"/>
    <w:rsid w:val="00455711"/>
    <w:rsid w:val="00457DDB"/>
    <w:rsid w:val="00461313"/>
    <w:rsid w:val="0046171A"/>
    <w:rsid w:val="00470F42"/>
    <w:rsid w:val="0048265E"/>
    <w:rsid w:val="00482991"/>
    <w:rsid w:val="00483CBE"/>
    <w:rsid w:val="00484B6E"/>
    <w:rsid w:val="004912DB"/>
    <w:rsid w:val="00492338"/>
    <w:rsid w:val="0049372F"/>
    <w:rsid w:val="00496680"/>
    <w:rsid w:val="004969F8"/>
    <w:rsid w:val="004A2D25"/>
    <w:rsid w:val="004A4125"/>
    <w:rsid w:val="004B150E"/>
    <w:rsid w:val="004B26FA"/>
    <w:rsid w:val="004C11E1"/>
    <w:rsid w:val="004C233C"/>
    <w:rsid w:val="004C59AF"/>
    <w:rsid w:val="004D4715"/>
    <w:rsid w:val="004D752A"/>
    <w:rsid w:val="004E171D"/>
    <w:rsid w:val="004E475E"/>
    <w:rsid w:val="004F35CF"/>
    <w:rsid w:val="004F5C73"/>
    <w:rsid w:val="00500FA5"/>
    <w:rsid w:val="00502A19"/>
    <w:rsid w:val="00506F09"/>
    <w:rsid w:val="0051096D"/>
    <w:rsid w:val="0052337D"/>
    <w:rsid w:val="00523D47"/>
    <w:rsid w:val="005257C4"/>
    <w:rsid w:val="005420AC"/>
    <w:rsid w:val="005455A3"/>
    <w:rsid w:val="005474D8"/>
    <w:rsid w:val="00550CFB"/>
    <w:rsid w:val="005531CB"/>
    <w:rsid w:val="00556761"/>
    <w:rsid w:val="00562CAA"/>
    <w:rsid w:val="00565B47"/>
    <w:rsid w:val="0056604C"/>
    <w:rsid w:val="00576CB2"/>
    <w:rsid w:val="00584CC3"/>
    <w:rsid w:val="00585433"/>
    <w:rsid w:val="0058725D"/>
    <w:rsid w:val="0058782B"/>
    <w:rsid w:val="005904C3"/>
    <w:rsid w:val="005936CC"/>
    <w:rsid w:val="005B0562"/>
    <w:rsid w:val="005B157A"/>
    <w:rsid w:val="005B583C"/>
    <w:rsid w:val="005B6E3B"/>
    <w:rsid w:val="005C0969"/>
    <w:rsid w:val="005C2D6E"/>
    <w:rsid w:val="005C5089"/>
    <w:rsid w:val="005C514E"/>
    <w:rsid w:val="005C560D"/>
    <w:rsid w:val="005D023B"/>
    <w:rsid w:val="005D4629"/>
    <w:rsid w:val="005D4D8F"/>
    <w:rsid w:val="005D5E48"/>
    <w:rsid w:val="005D6DF0"/>
    <w:rsid w:val="005E051B"/>
    <w:rsid w:val="005E797F"/>
    <w:rsid w:val="00601197"/>
    <w:rsid w:val="006078DA"/>
    <w:rsid w:val="006103B5"/>
    <w:rsid w:val="00614DE2"/>
    <w:rsid w:val="00615A93"/>
    <w:rsid w:val="006279AD"/>
    <w:rsid w:val="00630022"/>
    <w:rsid w:val="006307E3"/>
    <w:rsid w:val="00631F06"/>
    <w:rsid w:val="006358EC"/>
    <w:rsid w:val="0064011D"/>
    <w:rsid w:val="00643E1F"/>
    <w:rsid w:val="00645047"/>
    <w:rsid w:val="006508AF"/>
    <w:rsid w:val="006516E4"/>
    <w:rsid w:val="00652201"/>
    <w:rsid w:val="00654390"/>
    <w:rsid w:val="00663AA7"/>
    <w:rsid w:val="006667F5"/>
    <w:rsid w:val="00677D9C"/>
    <w:rsid w:val="00680DFC"/>
    <w:rsid w:val="00683FCF"/>
    <w:rsid w:val="00684390"/>
    <w:rsid w:val="00686BA7"/>
    <w:rsid w:val="00692024"/>
    <w:rsid w:val="00692B77"/>
    <w:rsid w:val="00694243"/>
    <w:rsid w:val="006956D4"/>
    <w:rsid w:val="006A07AF"/>
    <w:rsid w:val="006A1696"/>
    <w:rsid w:val="006A75FA"/>
    <w:rsid w:val="006B2814"/>
    <w:rsid w:val="006C04C4"/>
    <w:rsid w:val="006C40E5"/>
    <w:rsid w:val="006C421D"/>
    <w:rsid w:val="006C6208"/>
    <w:rsid w:val="006C6CA2"/>
    <w:rsid w:val="006D330D"/>
    <w:rsid w:val="006D732E"/>
    <w:rsid w:val="006E0E83"/>
    <w:rsid w:val="006E3201"/>
    <w:rsid w:val="006F0DD7"/>
    <w:rsid w:val="006F1FF8"/>
    <w:rsid w:val="00712278"/>
    <w:rsid w:val="00712FA3"/>
    <w:rsid w:val="00715175"/>
    <w:rsid w:val="007174B4"/>
    <w:rsid w:val="00720434"/>
    <w:rsid w:val="0072162F"/>
    <w:rsid w:val="00727584"/>
    <w:rsid w:val="00731AD2"/>
    <w:rsid w:val="00740726"/>
    <w:rsid w:val="007422D2"/>
    <w:rsid w:val="007471BD"/>
    <w:rsid w:val="00753136"/>
    <w:rsid w:val="007556A2"/>
    <w:rsid w:val="00764111"/>
    <w:rsid w:val="00766987"/>
    <w:rsid w:val="007735CD"/>
    <w:rsid w:val="007904A8"/>
    <w:rsid w:val="00793262"/>
    <w:rsid w:val="0079457F"/>
    <w:rsid w:val="00795060"/>
    <w:rsid w:val="00796796"/>
    <w:rsid w:val="007A030E"/>
    <w:rsid w:val="007C426D"/>
    <w:rsid w:val="007C451B"/>
    <w:rsid w:val="007D18B9"/>
    <w:rsid w:val="007D546F"/>
    <w:rsid w:val="007E0FF6"/>
    <w:rsid w:val="007E6934"/>
    <w:rsid w:val="007E6F09"/>
    <w:rsid w:val="007F6DFE"/>
    <w:rsid w:val="00807063"/>
    <w:rsid w:val="00811154"/>
    <w:rsid w:val="00833016"/>
    <w:rsid w:val="00836BD1"/>
    <w:rsid w:val="00844130"/>
    <w:rsid w:val="008472BB"/>
    <w:rsid w:val="0085327A"/>
    <w:rsid w:val="00857B94"/>
    <w:rsid w:val="00860426"/>
    <w:rsid w:val="00864F5B"/>
    <w:rsid w:val="008658E3"/>
    <w:rsid w:val="00865BD3"/>
    <w:rsid w:val="0086714B"/>
    <w:rsid w:val="00875984"/>
    <w:rsid w:val="00884654"/>
    <w:rsid w:val="00885194"/>
    <w:rsid w:val="00891B0D"/>
    <w:rsid w:val="008948F4"/>
    <w:rsid w:val="008972A1"/>
    <w:rsid w:val="008C6D75"/>
    <w:rsid w:val="008E0F25"/>
    <w:rsid w:val="008E19A4"/>
    <w:rsid w:val="0091384C"/>
    <w:rsid w:val="009157A6"/>
    <w:rsid w:val="00915EA7"/>
    <w:rsid w:val="0092242B"/>
    <w:rsid w:val="0092526C"/>
    <w:rsid w:val="0093350C"/>
    <w:rsid w:val="00944747"/>
    <w:rsid w:val="00953819"/>
    <w:rsid w:val="00964993"/>
    <w:rsid w:val="009701A3"/>
    <w:rsid w:val="009703D9"/>
    <w:rsid w:val="0097510F"/>
    <w:rsid w:val="00983F3B"/>
    <w:rsid w:val="00986E4D"/>
    <w:rsid w:val="009901F3"/>
    <w:rsid w:val="009904CD"/>
    <w:rsid w:val="00995B2F"/>
    <w:rsid w:val="009A6191"/>
    <w:rsid w:val="009A728F"/>
    <w:rsid w:val="009B5C2C"/>
    <w:rsid w:val="009C61C5"/>
    <w:rsid w:val="009D3CA3"/>
    <w:rsid w:val="009D466F"/>
    <w:rsid w:val="009D79AC"/>
    <w:rsid w:val="009F0BF9"/>
    <w:rsid w:val="009F2522"/>
    <w:rsid w:val="00A0018A"/>
    <w:rsid w:val="00A171DA"/>
    <w:rsid w:val="00A221CE"/>
    <w:rsid w:val="00A233D8"/>
    <w:rsid w:val="00A262FC"/>
    <w:rsid w:val="00A4122B"/>
    <w:rsid w:val="00A56830"/>
    <w:rsid w:val="00A6347C"/>
    <w:rsid w:val="00A674D1"/>
    <w:rsid w:val="00A702B5"/>
    <w:rsid w:val="00A71A72"/>
    <w:rsid w:val="00A741EE"/>
    <w:rsid w:val="00A84869"/>
    <w:rsid w:val="00A91449"/>
    <w:rsid w:val="00A933E7"/>
    <w:rsid w:val="00AA1750"/>
    <w:rsid w:val="00AB58B5"/>
    <w:rsid w:val="00AC256A"/>
    <w:rsid w:val="00AC3BC3"/>
    <w:rsid w:val="00AC6692"/>
    <w:rsid w:val="00AC6705"/>
    <w:rsid w:val="00AD10F2"/>
    <w:rsid w:val="00AD4F4B"/>
    <w:rsid w:val="00AD5069"/>
    <w:rsid w:val="00AD6BF0"/>
    <w:rsid w:val="00AE0115"/>
    <w:rsid w:val="00AE2309"/>
    <w:rsid w:val="00AE5407"/>
    <w:rsid w:val="00AF01E3"/>
    <w:rsid w:val="00AF32A1"/>
    <w:rsid w:val="00AF41F8"/>
    <w:rsid w:val="00AF482C"/>
    <w:rsid w:val="00AF6B42"/>
    <w:rsid w:val="00B01314"/>
    <w:rsid w:val="00B11E81"/>
    <w:rsid w:val="00B126BA"/>
    <w:rsid w:val="00B12CB1"/>
    <w:rsid w:val="00B20CF8"/>
    <w:rsid w:val="00B25869"/>
    <w:rsid w:val="00B25A5A"/>
    <w:rsid w:val="00B26D58"/>
    <w:rsid w:val="00B418C2"/>
    <w:rsid w:val="00B41C60"/>
    <w:rsid w:val="00B442F7"/>
    <w:rsid w:val="00B47E6F"/>
    <w:rsid w:val="00B51C97"/>
    <w:rsid w:val="00B57CA5"/>
    <w:rsid w:val="00B57EA1"/>
    <w:rsid w:val="00B60915"/>
    <w:rsid w:val="00B60B19"/>
    <w:rsid w:val="00B63F87"/>
    <w:rsid w:val="00B70D46"/>
    <w:rsid w:val="00B718E1"/>
    <w:rsid w:val="00B728EC"/>
    <w:rsid w:val="00B7490C"/>
    <w:rsid w:val="00B8111A"/>
    <w:rsid w:val="00B83D75"/>
    <w:rsid w:val="00B8625B"/>
    <w:rsid w:val="00B9079C"/>
    <w:rsid w:val="00B926C6"/>
    <w:rsid w:val="00BA2E14"/>
    <w:rsid w:val="00BA33F1"/>
    <w:rsid w:val="00BB1018"/>
    <w:rsid w:val="00BB5183"/>
    <w:rsid w:val="00BB550C"/>
    <w:rsid w:val="00BB7D75"/>
    <w:rsid w:val="00BC1437"/>
    <w:rsid w:val="00BC2B52"/>
    <w:rsid w:val="00BC3938"/>
    <w:rsid w:val="00BC3C23"/>
    <w:rsid w:val="00BD248C"/>
    <w:rsid w:val="00BD67E4"/>
    <w:rsid w:val="00BE16E8"/>
    <w:rsid w:val="00BE2257"/>
    <w:rsid w:val="00BE6D8E"/>
    <w:rsid w:val="00C00606"/>
    <w:rsid w:val="00C07F2A"/>
    <w:rsid w:val="00C1202C"/>
    <w:rsid w:val="00C26033"/>
    <w:rsid w:val="00C274C0"/>
    <w:rsid w:val="00C325E9"/>
    <w:rsid w:val="00C344BB"/>
    <w:rsid w:val="00C37A8E"/>
    <w:rsid w:val="00C4463D"/>
    <w:rsid w:val="00C6790B"/>
    <w:rsid w:val="00C718E3"/>
    <w:rsid w:val="00C7209C"/>
    <w:rsid w:val="00C778F7"/>
    <w:rsid w:val="00C84673"/>
    <w:rsid w:val="00C91143"/>
    <w:rsid w:val="00CA3DC8"/>
    <w:rsid w:val="00CA422B"/>
    <w:rsid w:val="00CA63FD"/>
    <w:rsid w:val="00CB64FE"/>
    <w:rsid w:val="00CC5AFC"/>
    <w:rsid w:val="00CD5C8B"/>
    <w:rsid w:val="00CE41B6"/>
    <w:rsid w:val="00D00F44"/>
    <w:rsid w:val="00D17E3A"/>
    <w:rsid w:val="00D230A7"/>
    <w:rsid w:val="00D3068C"/>
    <w:rsid w:val="00D3373A"/>
    <w:rsid w:val="00D33B94"/>
    <w:rsid w:val="00D40399"/>
    <w:rsid w:val="00D4168C"/>
    <w:rsid w:val="00D416DB"/>
    <w:rsid w:val="00D430AC"/>
    <w:rsid w:val="00D527C2"/>
    <w:rsid w:val="00D54112"/>
    <w:rsid w:val="00D622B2"/>
    <w:rsid w:val="00D66E2F"/>
    <w:rsid w:val="00D715B2"/>
    <w:rsid w:val="00D71CF8"/>
    <w:rsid w:val="00D72790"/>
    <w:rsid w:val="00D8505A"/>
    <w:rsid w:val="00D86F86"/>
    <w:rsid w:val="00D9138C"/>
    <w:rsid w:val="00D92A93"/>
    <w:rsid w:val="00D94719"/>
    <w:rsid w:val="00DA7A33"/>
    <w:rsid w:val="00DB3E23"/>
    <w:rsid w:val="00DB4D78"/>
    <w:rsid w:val="00DB6A86"/>
    <w:rsid w:val="00DB6BC3"/>
    <w:rsid w:val="00DB72FC"/>
    <w:rsid w:val="00DB7977"/>
    <w:rsid w:val="00DC076F"/>
    <w:rsid w:val="00DC388B"/>
    <w:rsid w:val="00DC56B2"/>
    <w:rsid w:val="00DC788D"/>
    <w:rsid w:val="00DD7F21"/>
    <w:rsid w:val="00DE304C"/>
    <w:rsid w:val="00DE64B5"/>
    <w:rsid w:val="00E00AB8"/>
    <w:rsid w:val="00E01602"/>
    <w:rsid w:val="00E0419F"/>
    <w:rsid w:val="00E04CAB"/>
    <w:rsid w:val="00E103FB"/>
    <w:rsid w:val="00E10E3B"/>
    <w:rsid w:val="00E134A5"/>
    <w:rsid w:val="00E156A3"/>
    <w:rsid w:val="00E203E1"/>
    <w:rsid w:val="00E2660C"/>
    <w:rsid w:val="00E35776"/>
    <w:rsid w:val="00E3670C"/>
    <w:rsid w:val="00E4043B"/>
    <w:rsid w:val="00E42410"/>
    <w:rsid w:val="00E50ED1"/>
    <w:rsid w:val="00E5718F"/>
    <w:rsid w:val="00E57D17"/>
    <w:rsid w:val="00E62511"/>
    <w:rsid w:val="00E63DF1"/>
    <w:rsid w:val="00E64405"/>
    <w:rsid w:val="00E72424"/>
    <w:rsid w:val="00E816BF"/>
    <w:rsid w:val="00E9007C"/>
    <w:rsid w:val="00E901FA"/>
    <w:rsid w:val="00E975F1"/>
    <w:rsid w:val="00EA1872"/>
    <w:rsid w:val="00EA1B69"/>
    <w:rsid w:val="00EA3B6E"/>
    <w:rsid w:val="00EA7006"/>
    <w:rsid w:val="00EB1F29"/>
    <w:rsid w:val="00EB1FF2"/>
    <w:rsid w:val="00EB6277"/>
    <w:rsid w:val="00EB770D"/>
    <w:rsid w:val="00EC3D38"/>
    <w:rsid w:val="00EC4BB1"/>
    <w:rsid w:val="00EC528F"/>
    <w:rsid w:val="00ED055A"/>
    <w:rsid w:val="00ED0658"/>
    <w:rsid w:val="00ED61D7"/>
    <w:rsid w:val="00EE3CD0"/>
    <w:rsid w:val="00F0117D"/>
    <w:rsid w:val="00F06EF2"/>
    <w:rsid w:val="00F21720"/>
    <w:rsid w:val="00F307A6"/>
    <w:rsid w:val="00F400BF"/>
    <w:rsid w:val="00F45DA2"/>
    <w:rsid w:val="00F46B07"/>
    <w:rsid w:val="00F519AB"/>
    <w:rsid w:val="00F534C3"/>
    <w:rsid w:val="00F54550"/>
    <w:rsid w:val="00F55AF4"/>
    <w:rsid w:val="00F72C03"/>
    <w:rsid w:val="00F762CF"/>
    <w:rsid w:val="00F7661A"/>
    <w:rsid w:val="00F77B2F"/>
    <w:rsid w:val="00F8339D"/>
    <w:rsid w:val="00F83E5E"/>
    <w:rsid w:val="00F93A83"/>
    <w:rsid w:val="00FB7A48"/>
    <w:rsid w:val="00FC22C3"/>
    <w:rsid w:val="00FD0243"/>
    <w:rsid w:val="00FE07EE"/>
    <w:rsid w:val="00FE2C6F"/>
    <w:rsid w:val="00FE554E"/>
    <w:rsid w:val="00FE73E9"/>
    <w:rsid w:val="00FF25DE"/>
    <w:rsid w:val="0C5045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655E39"/>
  <w15:docId w15:val="{F4657D8D-0525-405F-B8B2-4687F1F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pPr>
      <w:ind w:firstLineChars="200" w:firstLine="420"/>
    </w:pPr>
  </w:style>
  <w:style w:type="character" w:customStyle="1" w:styleId="a8">
    <w:name w:val="页眉 字符"/>
    <w:link w:val="a7"/>
    <w:uiPriority w:val="99"/>
    <w:locked/>
    <w:rPr>
      <w:rFonts w:ascii="Times New Roman" w:eastAsia="宋体" w:hAnsi="Times New Roman" w:cs="Times New Roman"/>
      <w:sz w:val="18"/>
      <w:szCs w:val="18"/>
    </w:rPr>
  </w:style>
  <w:style w:type="character" w:customStyle="1" w:styleId="a6">
    <w:name w:val="页脚 字符"/>
    <w:link w:val="a5"/>
    <w:uiPriority w:val="99"/>
    <w:qFormat/>
    <w:locked/>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hAnsi="Times New Roman"/>
      <w:kern w:val="2"/>
      <w:sz w:val="18"/>
      <w:szCs w:val="18"/>
    </w:rPr>
  </w:style>
  <w:style w:type="paragraph" w:styleId="a9">
    <w:name w:val="List Paragraph"/>
    <w:basedOn w:val="a"/>
    <w:uiPriority w:val="99"/>
    <w:unhideWhenUsed/>
    <w:rsid w:val="00B41C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46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63C2B7-85D0-4734-BBAE-84D154F4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128</Words>
  <Characters>733</Characters>
  <Application>Microsoft Office Word</Application>
  <DocSecurity>0</DocSecurity>
  <Lines>6</Lines>
  <Paragraphs>1</Paragraphs>
  <ScaleCrop>false</ScaleCrop>
  <Company>Sky123.Org</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廖俊杰</dc:creator>
  <cp:lastModifiedBy>zeng lm</cp:lastModifiedBy>
  <cp:revision>4</cp:revision>
  <dcterms:created xsi:type="dcterms:W3CDTF">2020-11-19T06:32:00Z</dcterms:created>
  <dcterms:modified xsi:type="dcterms:W3CDTF">2020-11-19T09:01:00Z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