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07F" w:rsidRDefault="0040307F">
      <w:r>
        <w:rPr>
          <w:rFonts w:hint="eastAsia"/>
        </w:rPr>
        <w:t>证券代码：</w:t>
      </w:r>
      <w:r>
        <w:rPr>
          <w:rFonts w:hint="eastAsia"/>
        </w:rPr>
        <w:t xml:space="preserve">002623                                              </w:t>
      </w:r>
      <w:r>
        <w:rPr>
          <w:rFonts w:hint="eastAsia"/>
        </w:rPr>
        <w:t>证券简称：亚玛顿</w:t>
      </w:r>
    </w:p>
    <w:p w:rsidR="0040307F" w:rsidRDefault="0040307F"/>
    <w:p w:rsidR="0040307F" w:rsidRDefault="0040307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常州亚玛顿股份有限公司投资者关系活动记录表</w:t>
      </w:r>
    </w:p>
    <w:p w:rsidR="0040307F" w:rsidRDefault="0040307F">
      <w:pPr>
        <w:jc w:val="center"/>
        <w:rPr>
          <w:sz w:val="24"/>
        </w:rPr>
      </w:pPr>
      <w:r>
        <w:rPr>
          <w:rFonts w:hint="eastAsia"/>
          <w:b/>
          <w:bCs/>
          <w:sz w:val="28"/>
        </w:rPr>
        <w:t xml:space="preserve">                          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编号：</w:t>
      </w:r>
      <w:r w:rsidR="00996942">
        <w:rPr>
          <w:rFonts w:hint="eastAsia"/>
          <w:sz w:val="24"/>
        </w:rPr>
        <w:t>2020-0</w:t>
      </w:r>
      <w:r w:rsidR="00DF26C0">
        <w:rPr>
          <w:rFonts w:hint="eastAsia"/>
          <w:sz w:val="24"/>
        </w:rPr>
        <w:t>1</w:t>
      </w:r>
      <w:r w:rsidR="008922F5">
        <w:rPr>
          <w:rFonts w:hint="eastAsia"/>
          <w:sz w:val="24"/>
        </w:rPr>
        <w:t>3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6799"/>
      </w:tblGrid>
      <w:tr w:rsidR="0040307F" w:rsidTr="00953357">
        <w:trPr>
          <w:trHeight w:val="2394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投资者关系活动类别</w:t>
            </w:r>
          </w:p>
        </w:tc>
        <w:tc>
          <w:tcPr>
            <w:tcW w:w="6799" w:type="dxa"/>
          </w:tcPr>
          <w:p w:rsidR="0040307F" w:rsidRDefault="00174123" w:rsidP="00B300D8">
            <w:pPr>
              <w:spacing w:line="360" w:lineRule="auto"/>
              <w:ind w:firstLineChars="150" w:firstLine="360"/>
              <w:jc w:val="left"/>
              <w:rPr>
                <w:sz w:val="24"/>
              </w:rPr>
            </w:pPr>
            <w:r w:rsidRPr="00B300D8">
              <w:rPr>
                <w:sz w:val="24"/>
              </w:rPr>
              <w:t>√</w:t>
            </w:r>
            <w:r>
              <w:rPr>
                <w:rFonts w:hint="eastAsia"/>
                <w:sz w:val="24"/>
              </w:rPr>
              <w:t xml:space="preserve"> </w:t>
            </w:r>
            <w:r w:rsidR="0040307F">
              <w:rPr>
                <w:rFonts w:hint="eastAsia"/>
                <w:sz w:val="24"/>
              </w:rPr>
              <w:t>特定对象调研</w:t>
            </w:r>
            <w:r w:rsidR="006E2E97">
              <w:rPr>
                <w:rFonts w:hint="eastAsia"/>
                <w:sz w:val="24"/>
              </w:rPr>
              <w:t xml:space="preserve">      </w:t>
            </w:r>
            <w:r w:rsidR="0040307F">
              <w:rPr>
                <w:sz w:val="24"/>
              </w:rPr>
              <w:t></w:t>
            </w:r>
            <w:r w:rsidR="0040307F">
              <w:rPr>
                <w:rFonts w:hint="eastAsia"/>
                <w:sz w:val="24"/>
              </w:rPr>
              <w:t xml:space="preserve"> </w:t>
            </w:r>
            <w:r w:rsidR="0040307F">
              <w:rPr>
                <w:rFonts w:hint="eastAsia"/>
                <w:sz w:val="24"/>
              </w:rPr>
              <w:t>分析师会议</w:t>
            </w:r>
          </w:p>
          <w:p w:rsidR="0040307F" w:rsidRDefault="0040307F">
            <w:pPr>
              <w:tabs>
                <w:tab w:val="center" w:pos="3147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</w:t>
            </w:r>
            <w:r>
              <w:rPr>
                <w:rFonts w:hint="eastAsia"/>
                <w:sz w:val="24"/>
              </w:rPr>
              <w:t xml:space="preserve"> </w:t>
            </w:r>
            <w:r w:rsidR="0017412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媒体采访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业绩说明会</w:t>
            </w:r>
            <w:r>
              <w:rPr>
                <w:rFonts w:hint="eastAsia"/>
                <w:sz w:val="24"/>
              </w:rPr>
              <w:tab/>
              <w:t xml:space="preserve"> </w:t>
            </w:r>
          </w:p>
          <w:p w:rsidR="0040307F" w:rsidRDefault="0040307F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</w:t>
            </w:r>
            <w:r w:rsidR="0017412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新闻发布会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路演活动</w:t>
            </w:r>
          </w:p>
          <w:p w:rsidR="0040307F" w:rsidRDefault="005C2E20" w:rsidP="008922F5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40307F">
              <w:rPr>
                <w:rFonts w:hint="eastAsia"/>
                <w:sz w:val="24"/>
              </w:rPr>
              <w:t>现场参观</w:t>
            </w:r>
          </w:p>
          <w:p w:rsidR="0040307F" w:rsidRDefault="0040307F" w:rsidP="00174123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</w:t>
            </w:r>
            <w:r w:rsidR="00174123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其他</w:t>
            </w:r>
            <w:r w:rsidR="00B300D8" w:rsidRPr="00174123">
              <w:rPr>
                <w:rFonts w:hint="eastAsia"/>
                <w:sz w:val="24"/>
              </w:rPr>
              <w:t>：</w:t>
            </w:r>
            <w:r w:rsidR="00174123">
              <w:rPr>
                <w:rFonts w:hint="eastAsia"/>
                <w:sz w:val="24"/>
              </w:rPr>
              <w:t xml:space="preserve"> 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参与单位名称及人员姓名</w:t>
            </w:r>
          </w:p>
        </w:tc>
        <w:tc>
          <w:tcPr>
            <w:tcW w:w="6799" w:type="dxa"/>
            <w:vAlign w:val="center"/>
          </w:tcPr>
          <w:p w:rsidR="00984EE3" w:rsidRDefault="008922F5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国泰君安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胥本涛、邱雨、蒋炯</w:t>
            </w:r>
          </w:p>
          <w:p w:rsidR="008922F5" w:rsidRPr="008922F5" w:rsidRDefault="008922F5" w:rsidP="006004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平安资管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孙峥、童飞、徐智翔、陶阳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6799" w:type="dxa"/>
            <w:vAlign w:val="center"/>
          </w:tcPr>
          <w:p w:rsidR="0040307F" w:rsidRDefault="00186F21" w:rsidP="008922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40307F">
              <w:rPr>
                <w:rFonts w:hint="eastAsia"/>
                <w:sz w:val="24"/>
              </w:rPr>
              <w:t>年</w:t>
            </w:r>
            <w:r w:rsidR="00882600">
              <w:rPr>
                <w:rFonts w:hint="eastAsia"/>
                <w:sz w:val="24"/>
              </w:rPr>
              <w:t>1</w:t>
            </w:r>
            <w:r w:rsidR="00DF26C0">
              <w:rPr>
                <w:rFonts w:hint="eastAsia"/>
                <w:sz w:val="24"/>
              </w:rPr>
              <w:t>1</w:t>
            </w:r>
            <w:r w:rsidR="0040307F">
              <w:rPr>
                <w:rFonts w:hint="eastAsia"/>
                <w:sz w:val="24"/>
              </w:rPr>
              <w:t>月</w:t>
            </w:r>
            <w:r w:rsidR="00DF26C0">
              <w:rPr>
                <w:rFonts w:hint="eastAsia"/>
                <w:sz w:val="24"/>
              </w:rPr>
              <w:t>1</w:t>
            </w:r>
            <w:r w:rsidR="008922F5">
              <w:rPr>
                <w:rFonts w:hint="eastAsia"/>
                <w:sz w:val="24"/>
              </w:rPr>
              <w:t>9</w:t>
            </w:r>
            <w:r w:rsidR="0040307F">
              <w:rPr>
                <w:rFonts w:hint="eastAsia"/>
                <w:sz w:val="24"/>
              </w:rPr>
              <w:t>日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  <w:tc>
          <w:tcPr>
            <w:tcW w:w="6799" w:type="dxa"/>
            <w:vAlign w:val="center"/>
          </w:tcPr>
          <w:p w:rsidR="0040307F" w:rsidRDefault="00174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公司会议室</w:t>
            </w:r>
          </w:p>
        </w:tc>
      </w:tr>
      <w:tr w:rsidR="0040307F" w:rsidTr="00735C13">
        <w:trPr>
          <w:trHeight w:val="979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上市公司接待人姓名</w:t>
            </w:r>
          </w:p>
        </w:tc>
        <w:tc>
          <w:tcPr>
            <w:tcW w:w="6799" w:type="dxa"/>
            <w:vAlign w:val="center"/>
          </w:tcPr>
          <w:p w:rsidR="0040307F" w:rsidRDefault="00E027C7" w:rsidP="00186F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董事会秘书刘芹</w:t>
            </w:r>
            <w:r w:rsidR="00953357">
              <w:rPr>
                <w:rFonts w:hint="eastAsia"/>
                <w:sz w:val="24"/>
              </w:rPr>
              <w:t>、证券助理薛斌渊</w:t>
            </w:r>
          </w:p>
        </w:tc>
      </w:tr>
      <w:tr w:rsidR="00735C13" w:rsidTr="00220D0C">
        <w:trPr>
          <w:trHeight w:val="2967"/>
        </w:trPr>
        <w:tc>
          <w:tcPr>
            <w:tcW w:w="2041" w:type="dxa"/>
            <w:vAlign w:val="center"/>
          </w:tcPr>
          <w:p w:rsidR="00735C13" w:rsidRDefault="00735C13" w:rsidP="00A67F32"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投资者关系活动主要内容介绍</w:t>
            </w:r>
          </w:p>
        </w:tc>
        <w:tc>
          <w:tcPr>
            <w:tcW w:w="6799" w:type="dxa"/>
          </w:tcPr>
          <w:p w:rsidR="00735C13" w:rsidRPr="0068399B" w:rsidRDefault="00735C13" w:rsidP="00186F21">
            <w:pPr>
              <w:spacing w:line="360" w:lineRule="auto"/>
              <w:rPr>
                <w:rFonts w:ascii="宋体" w:hAnsi="宋体"/>
                <w:sz w:val="24"/>
              </w:rPr>
            </w:pPr>
            <w:r w:rsidRPr="0068399B">
              <w:rPr>
                <w:rFonts w:ascii="宋体" w:hAnsi="宋体" w:hint="eastAsia"/>
                <w:sz w:val="24"/>
              </w:rPr>
              <w:t>一、</w:t>
            </w:r>
            <w:r w:rsidR="00C3262F" w:rsidRPr="0068399B">
              <w:rPr>
                <w:rFonts w:ascii="宋体" w:hAnsi="宋体" w:hint="eastAsia"/>
                <w:sz w:val="24"/>
              </w:rPr>
              <w:t>董事</w:t>
            </w:r>
            <w:r w:rsidR="00291E11">
              <w:rPr>
                <w:rFonts w:ascii="宋体" w:hAnsi="宋体" w:hint="eastAsia"/>
                <w:sz w:val="24"/>
              </w:rPr>
              <w:t>会秘书</w:t>
            </w:r>
            <w:r w:rsidR="00563D42">
              <w:rPr>
                <w:rFonts w:ascii="宋体" w:hAnsi="宋体" w:hint="eastAsia"/>
                <w:sz w:val="24"/>
              </w:rPr>
              <w:t>作公司介绍</w:t>
            </w:r>
          </w:p>
          <w:p w:rsidR="00735C13" w:rsidRDefault="00735C13" w:rsidP="00293900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68399B">
              <w:rPr>
                <w:rFonts w:ascii="宋体" w:hAnsi="宋体" w:hint="eastAsia"/>
                <w:sz w:val="24"/>
              </w:rPr>
              <w:t>二、采取问答方式，由</w:t>
            </w:r>
            <w:r w:rsidR="00ED2A68">
              <w:rPr>
                <w:rFonts w:ascii="宋体" w:hAnsi="宋体" w:hint="eastAsia"/>
                <w:sz w:val="24"/>
              </w:rPr>
              <w:t>董事会秘书</w:t>
            </w:r>
            <w:r w:rsidRPr="0068399B">
              <w:rPr>
                <w:rFonts w:ascii="宋体" w:hAnsi="宋体" w:hint="eastAsia"/>
                <w:sz w:val="24"/>
              </w:rPr>
              <w:t>负责回答：</w:t>
            </w:r>
          </w:p>
          <w:p w:rsidR="0091064A" w:rsidRDefault="00563D42" w:rsidP="00563D4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Pr="0068399B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目前光伏玻璃行业</w:t>
            </w:r>
            <w:r w:rsidR="0091064A">
              <w:rPr>
                <w:rFonts w:ascii="宋体" w:hAnsi="宋体" w:hint="eastAsia"/>
                <w:sz w:val="24"/>
              </w:rPr>
              <w:t>的景气度非常高,公司如何看待？对公司订单有什么影响吗？</w:t>
            </w:r>
            <w:r w:rsidR="005E1D88">
              <w:rPr>
                <w:rFonts w:ascii="宋体" w:hAnsi="宋体" w:hint="eastAsia"/>
                <w:sz w:val="24"/>
              </w:rPr>
              <w:t>公司的客户主要</w:t>
            </w:r>
            <w:r w:rsidR="00C3404F">
              <w:rPr>
                <w:rFonts w:ascii="宋体" w:hAnsi="宋体" w:hint="eastAsia"/>
                <w:sz w:val="24"/>
              </w:rPr>
              <w:t>有</w:t>
            </w:r>
            <w:r w:rsidR="005E1D88">
              <w:rPr>
                <w:rFonts w:ascii="宋体" w:hAnsi="宋体" w:hint="eastAsia"/>
                <w:sz w:val="24"/>
              </w:rPr>
              <w:t>哪些？</w:t>
            </w:r>
          </w:p>
          <w:p w:rsidR="00563D42" w:rsidRDefault="00563D42" w:rsidP="00563D4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答：随着双面双玻组件渗透率不断提升，由于光伏玻璃扩产速度远不及组件</w:t>
            </w:r>
            <w:r w:rsidR="0091064A">
              <w:rPr>
                <w:rFonts w:ascii="宋体" w:hAnsi="宋体" w:hint="eastAsia"/>
                <w:sz w:val="24"/>
              </w:rPr>
              <w:t>且光伏玻璃窑炉建设周期长等原因，</w:t>
            </w:r>
            <w:r>
              <w:rPr>
                <w:rFonts w:ascii="宋体" w:hAnsi="宋体" w:hint="eastAsia"/>
                <w:sz w:val="24"/>
              </w:rPr>
              <w:t>目前光伏玻璃已成为产业链最大的供应短板，价格大幅上涨的同时且供不应求。结合当前经济发展环境及政策趋势，能源安全、清洁化转型将是“十四五”我国重要的能源战略，可再生能源也将在“十四五”迎来更大的发展。此外，工信部对平板</w:t>
            </w:r>
            <w:r w:rsidRPr="00A2633F">
              <w:rPr>
                <w:rFonts w:ascii="宋体" w:hAnsi="宋体"/>
                <w:sz w:val="24"/>
              </w:rPr>
              <w:t>玻璃</w:t>
            </w:r>
            <w:r>
              <w:rPr>
                <w:rFonts w:ascii="宋体" w:hAnsi="宋体" w:hint="eastAsia"/>
                <w:sz w:val="24"/>
              </w:rPr>
              <w:t>（包括光伏玻璃在内）</w:t>
            </w:r>
            <w:r w:rsidRPr="00A2633F">
              <w:rPr>
                <w:rFonts w:ascii="宋体" w:hAnsi="宋体"/>
                <w:sz w:val="24"/>
              </w:rPr>
              <w:t>窑炉</w:t>
            </w:r>
            <w:r>
              <w:rPr>
                <w:rFonts w:ascii="宋体" w:hAnsi="宋体" w:hint="eastAsia"/>
                <w:sz w:val="24"/>
              </w:rPr>
              <w:t>新建</w:t>
            </w:r>
            <w:r w:rsidRPr="00A2633F">
              <w:rPr>
                <w:rFonts w:ascii="宋体" w:hAnsi="宋体"/>
                <w:sz w:val="24"/>
              </w:rPr>
              <w:t>指标实行严格有序控制</w:t>
            </w:r>
            <w:r>
              <w:rPr>
                <w:rFonts w:ascii="宋体" w:hAnsi="宋体" w:hint="eastAsia"/>
                <w:sz w:val="24"/>
              </w:rPr>
              <w:t>在一定程度上也将光伏玻璃推上高点。根据相关研究机构预计，光伏玻璃供</w:t>
            </w:r>
            <w:r>
              <w:rPr>
                <w:rFonts w:ascii="宋体" w:hAnsi="宋体" w:hint="eastAsia"/>
                <w:sz w:val="24"/>
              </w:rPr>
              <w:lastRenderedPageBreak/>
              <w:t>需紧张的形势难以快速打破。</w:t>
            </w:r>
            <w:r w:rsidR="00D7606C">
              <w:rPr>
                <w:rFonts w:ascii="宋体" w:hAnsi="宋体" w:hint="eastAsia"/>
                <w:sz w:val="24"/>
              </w:rPr>
              <w:t>在此背景下，公司目前订单量充足。</w:t>
            </w:r>
            <w:r w:rsidR="005E1D88">
              <w:rPr>
                <w:rFonts w:ascii="宋体" w:hAnsi="宋体" w:hint="eastAsia"/>
                <w:sz w:val="24"/>
              </w:rPr>
              <w:t>公司的客户主要为国内主流前五大组件厂商。</w:t>
            </w:r>
          </w:p>
          <w:p w:rsidR="00D7606C" w:rsidRDefault="00D7606C" w:rsidP="00336DA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336DAD" w:rsidRPr="0068399B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凤阳窑炉给公司供应什么规格的原片？如何定价？</w:t>
            </w:r>
            <w:r w:rsidR="00522FBC">
              <w:rPr>
                <w:rFonts w:ascii="宋体" w:hAnsi="宋体" w:hint="eastAsia"/>
                <w:sz w:val="24"/>
              </w:rPr>
              <w:t>目前能全部满足公司原片需求吗？</w:t>
            </w:r>
          </w:p>
          <w:p w:rsidR="00D7606C" w:rsidRPr="00522FBC" w:rsidRDefault="00522FBC" w:rsidP="00336DA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A27966">
              <w:rPr>
                <w:rFonts w:ascii="宋体" w:hAnsi="宋体" w:hint="eastAsia"/>
                <w:sz w:val="24"/>
              </w:rPr>
              <w:t>目前凤阳第一座窑炉</w:t>
            </w:r>
            <w:r>
              <w:rPr>
                <w:rFonts w:ascii="宋体" w:hAnsi="宋体" w:hint="eastAsia"/>
                <w:sz w:val="24"/>
              </w:rPr>
              <w:t>是650吨/日熔量的产能</w:t>
            </w:r>
            <w:r w:rsidR="005E1D88">
              <w:rPr>
                <w:rFonts w:ascii="宋体" w:hAnsi="宋体" w:hint="eastAsia"/>
                <w:sz w:val="24"/>
              </w:rPr>
              <w:t>，该窑炉的体量及配置主要是为</w:t>
            </w:r>
            <w:r w:rsidR="005E1D88" w:rsidRPr="008675BF">
              <w:rPr>
                <w:rFonts w:ascii="宋体" w:hAnsi="宋体" w:hint="eastAsia"/>
                <w:sz w:val="24"/>
              </w:rPr>
              <w:t>≤2.0mm</w:t>
            </w:r>
            <w:r w:rsidR="005E1D88">
              <w:rPr>
                <w:rFonts w:ascii="宋体" w:hAnsi="宋体" w:hint="eastAsia"/>
                <w:sz w:val="24"/>
              </w:rPr>
              <w:t>超薄光伏玻璃以及电子玻璃考虑的。凤阳现在供应给公司的原片主要是2.0mm规格的玻璃，双方交易因为属于关联交易，因此是</w:t>
            </w:r>
            <w:r w:rsidR="00C3404F">
              <w:rPr>
                <w:rFonts w:ascii="宋体" w:hAnsi="宋体" w:hint="eastAsia"/>
                <w:sz w:val="24"/>
              </w:rPr>
              <w:t>按照</w:t>
            </w:r>
            <w:r w:rsidR="005E1D88">
              <w:rPr>
                <w:rFonts w:ascii="宋体" w:hAnsi="宋体" w:hint="eastAsia"/>
                <w:sz w:val="24"/>
              </w:rPr>
              <w:t>公允价格来进行定价的，目前凤阳的原片100%供应给公司，能满足公司80%左右的深加工产能。</w:t>
            </w:r>
          </w:p>
          <w:p w:rsidR="00D7606C" w:rsidRDefault="005E1D88" w:rsidP="00336DA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3、凤阳二期两座窑炉的建设进度以及投产时间表?</w:t>
            </w:r>
          </w:p>
          <w:p w:rsidR="005E1D88" w:rsidRPr="005E1D88" w:rsidRDefault="007149BB" w:rsidP="005E1D8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5E1D88">
              <w:rPr>
                <w:rFonts w:ascii="宋体" w:hAnsi="宋体" w:hint="eastAsia"/>
                <w:sz w:val="24"/>
              </w:rPr>
              <w:t>二期两座窑炉正在紧锣密鼓的进行土建，设备基本已经订购完成，</w:t>
            </w:r>
            <w:r w:rsidR="005E1D88" w:rsidRPr="005E1D88">
              <w:rPr>
                <w:rFonts w:ascii="宋体" w:hAnsi="宋体" w:hint="eastAsia"/>
                <w:sz w:val="24"/>
              </w:rPr>
              <w:t>预计将于明年年中投产。</w:t>
            </w:r>
          </w:p>
          <w:p w:rsidR="006164D5" w:rsidRDefault="005E1D88" w:rsidP="00336DA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6164D5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凤阳三座窑炉建成以后的产能以及公司深加工产能是多少？</w:t>
            </w:r>
            <w:r w:rsidR="00220D0C">
              <w:rPr>
                <w:rFonts w:ascii="宋体" w:hAnsi="宋体" w:hint="eastAsia"/>
                <w:sz w:val="24"/>
              </w:rPr>
              <w:t>两者投产时间如何？</w:t>
            </w:r>
          </w:p>
          <w:p w:rsidR="005E1D88" w:rsidRDefault="00A27966" w:rsidP="00336DAD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="005E1D88">
              <w:rPr>
                <w:rFonts w:ascii="宋体" w:hAnsi="宋体" w:hint="eastAsia"/>
                <w:sz w:val="24"/>
              </w:rPr>
              <w:t>凤阳三座窑炉建成后的产能预计是1.2亿-1.5亿平方米，公司深加工扩产和技改后，新旧产能合计大约为1.5亿平方米。</w:t>
            </w:r>
            <w:r w:rsidR="00220D0C">
              <w:rPr>
                <w:rFonts w:ascii="宋体" w:hAnsi="宋体" w:hint="eastAsia"/>
                <w:sz w:val="24"/>
              </w:rPr>
              <w:t>两个产能基本是同步达成。</w:t>
            </w:r>
          </w:p>
          <w:p w:rsidR="005E0A03" w:rsidRPr="005C2E20" w:rsidRDefault="00220D0C" w:rsidP="005E0A0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5E0A03" w:rsidRPr="005C2E20">
              <w:rPr>
                <w:rFonts w:ascii="宋体" w:hAnsi="宋体" w:hint="eastAsia"/>
                <w:sz w:val="24"/>
              </w:rPr>
              <w:t>、</w:t>
            </w:r>
            <w:r w:rsidR="00DF26C0" w:rsidRPr="005C2E20">
              <w:rPr>
                <w:rFonts w:ascii="宋体" w:hAnsi="宋体" w:hint="eastAsia"/>
                <w:sz w:val="24"/>
              </w:rPr>
              <w:t>凤阳</w:t>
            </w:r>
            <w:r w:rsidR="00291E11">
              <w:rPr>
                <w:rFonts w:ascii="宋体" w:hAnsi="宋体" w:hint="eastAsia"/>
                <w:sz w:val="24"/>
              </w:rPr>
              <w:t>窑炉</w:t>
            </w:r>
            <w:r w:rsidR="005E0A03" w:rsidRPr="005C2E20">
              <w:rPr>
                <w:rFonts w:ascii="宋体" w:hAnsi="宋体" w:hint="eastAsia"/>
                <w:sz w:val="24"/>
              </w:rPr>
              <w:t>未来是否会装入上市公司？</w:t>
            </w:r>
          </w:p>
          <w:p w:rsidR="005E0A03" w:rsidRDefault="005E0A03" w:rsidP="005E0A03">
            <w:pPr>
              <w:spacing w:line="360" w:lineRule="auto"/>
              <w:rPr>
                <w:rFonts w:ascii="宋体" w:hAnsi="宋体"/>
                <w:sz w:val="24"/>
              </w:rPr>
            </w:pPr>
            <w:r w:rsidRPr="005C2E20">
              <w:rPr>
                <w:rFonts w:ascii="宋体" w:hAnsi="宋体" w:hint="eastAsia"/>
                <w:sz w:val="24"/>
              </w:rPr>
              <w:t>答：</w:t>
            </w:r>
            <w:r w:rsidR="00220D0C">
              <w:rPr>
                <w:rFonts w:ascii="宋体" w:hAnsi="宋体" w:hint="eastAsia"/>
                <w:sz w:val="24"/>
              </w:rPr>
              <w:t>大股东投资建设窑炉的初衷就是解决上市公司的原材料瓶颈，因此待</w:t>
            </w:r>
            <w:r w:rsidR="00B07FB1" w:rsidRPr="005C2E20">
              <w:rPr>
                <w:rFonts w:ascii="宋体" w:hAnsi="宋体" w:hint="eastAsia"/>
                <w:sz w:val="24"/>
              </w:rPr>
              <w:t>明年</w:t>
            </w:r>
            <w:r w:rsidRPr="005C2E20">
              <w:rPr>
                <w:rFonts w:ascii="宋体" w:hAnsi="宋体" w:hint="eastAsia"/>
                <w:sz w:val="24"/>
              </w:rPr>
              <w:t>凤阳三座窑炉建成后，公司考虑相关资产的并购计划。</w:t>
            </w:r>
          </w:p>
          <w:p w:rsidR="00220D0C" w:rsidRDefault="00220D0C" w:rsidP="00A27966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5C2E20">
              <w:rPr>
                <w:rFonts w:ascii="宋体" w:hAnsi="宋体" w:hint="eastAsia"/>
                <w:sz w:val="24"/>
              </w:rPr>
              <w:t>、</w:t>
            </w:r>
            <w:r w:rsidR="00A27966">
              <w:rPr>
                <w:rFonts w:ascii="宋体" w:hAnsi="宋体" w:hint="eastAsia"/>
                <w:sz w:val="24"/>
              </w:rPr>
              <w:t>公司</w:t>
            </w:r>
            <w:r>
              <w:rPr>
                <w:rFonts w:ascii="宋体" w:hAnsi="宋体" w:hint="eastAsia"/>
                <w:sz w:val="24"/>
              </w:rPr>
              <w:t>电子玻璃产品主要有哪些？目前该业务推进的进展以及核心技术？</w:t>
            </w:r>
          </w:p>
          <w:p w:rsidR="00220D0C" w:rsidRPr="00220D0C" w:rsidRDefault="00220D0C" w:rsidP="00A27966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</w:t>
            </w:r>
            <w:r w:rsidRPr="00220D0C">
              <w:rPr>
                <w:rFonts w:ascii="宋体" w:hAnsi="宋体" w:hint="eastAsia"/>
                <w:sz w:val="24"/>
              </w:rPr>
              <w:t>公司早期就依托现有薄玻璃物理钢化技术、精密深加工技术以及镀膜技术在电子玻璃及显示器件领域进行布局，目前已经与国内知名显示器厂商建立了合作关系，并且已经在批量供货。公司电子产品主要为超薄大尺寸显示屏玻璃、大尺寸电视机玻璃前后盖板、超大尺寸触控玻璃、导光板玻璃、玻璃扩散</w:t>
            </w:r>
            <w:r w:rsidRPr="00220D0C">
              <w:rPr>
                <w:rFonts w:ascii="宋体" w:hAnsi="宋体" w:hint="eastAsia"/>
                <w:sz w:val="24"/>
              </w:rPr>
              <w:lastRenderedPageBreak/>
              <w:t>板、全贴合产品等。公司的客户主要为国内外知名的电视机厂商。公司已经具备包括切割、打孔、磨边、镀膜以及丝网印刷等全套深加工流程，能够更好地满足客户定制化产品的需求。未来将是公司新的利润增长点。</w:t>
            </w:r>
          </w:p>
          <w:p w:rsidR="00C747A1" w:rsidRPr="002974BB" w:rsidRDefault="00220D0C" w:rsidP="00C747A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C747A1">
              <w:rPr>
                <w:rFonts w:ascii="宋体" w:hAnsi="宋体" w:hint="eastAsia"/>
                <w:sz w:val="24"/>
              </w:rPr>
              <w:t>、</w:t>
            </w:r>
            <w:r w:rsidR="00C747A1" w:rsidRPr="002974BB">
              <w:rPr>
                <w:rFonts w:ascii="宋体" w:hAnsi="宋体" w:hint="eastAsia"/>
                <w:sz w:val="24"/>
              </w:rPr>
              <w:t>公司未来3</w:t>
            </w:r>
            <w:r>
              <w:rPr>
                <w:rFonts w:ascii="宋体" w:hAnsi="宋体" w:hint="eastAsia"/>
                <w:sz w:val="24"/>
              </w:rPr>
              <w:t>-5</w:t>
            </w:r>
            <w:r w:rsidR="00C747A1" w:rsidRPr="002974BB">
              <w:rPr>
                <w:rFonts w:ascii="宋体" w:hAnsi="宋体" w:hint="eastAsia"/>
                <w:sz w:val="24"/>
              </w:rPr>
              <w:t>年</w:t>
            </w:r>
            <w:r w:rsidR="00C747A1">
              <w:rPr>
                <w:rFonts w:ascii="宋体" w:hAnsi="宋体" w:hint="eastAsia"/>
                <w:sz w:val="24"/>
              </w:rPr>
              <w:t>业务</w:t>
            </w:r>
            <w:r w:rsidR="00C747A1" w:rsidRPr="002974BB">
              <w:rPr>
                <w:rFonts w:ascii="宋体" w:hAnsi="宋体" w:hint="eastAsia"/>
                <w:sz w:val="24"/>
              </w:rPr>
              <w:t>发展规划？</w:t>
            </w:r>
          </w:p>
          <w:p w:rsidR="00C747A1" w:rsidRPr="00A93802" w:rsidRDefault="00C747A1" w:rsidP="00220D0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答：聚焦</w:t>
            </w:r>
            <w:r w:rsidRPr="002974BB">
              <w:rPr>
                <w:rFonts w:ascii="宋体" w:hAnsi="宋体" w:hint="eastAsia"/>
                <w:sz w:val="24"/>
              </w:rPr>
              <w:t>玻璃主业，包括</w:t>
            </w:r>
            <w:r w:rsidRPr="003239E4">
              <w:rPr>
                <w:rFonts w:ascii="宋体" w:hAnsi="宋体"/>
                <w:sz w:val="24"/>
              </w:rPr>
              <w:t>≤2.0mm</w:t>
            </w:r>
            <w:r>
              <w:rPr>
                <w:rFonts w:ascii="宋体" w:hAnsi="宋体" w:hint="eastAsia"/>
                <w:sz w:val="24"/>
              </w:rPr>
              <w:t>超薄</w:t>
            </w:r>
            <w:r w:rsidRPr="002974BB">
              <w:rPr>
                <w:rFonts w:ascii="宋体" w:hAnsi="宋体" w:hint="eastAsia"/>
                <w:sz w:val="24"/>
              </w:rPr>
              <w:t>光伏镀膜玻璃、太阳能瓦片玻璃（BIPV相关）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2974BB">
              <w:rPr>
                <w:rFonts w:ascii="宋体" w:hAnsi="宋体" w:hint="eastAsia"/>
                <w:sz w:val="24"/>
              </w:rPr>
              <w:t>电子玻璃及显示器件</w:t>
            </w:r>
            <w:r>
              <w:rPr>
                <w:rFonts w:ascii="宋体" w:hAnsi="宋体" w:hint="eastAsia"/>
                <w:sz w:val="24"/>
              </w:rPr>
              <w:t>类产品</w:t>
            </w:r>
            <w:r w:rsidR="00220D0C">
              <w:rPr>
                <w:rFonts w:ascii="宋体" w:hAnsi="宋体" w:hint="eastAsia"/>
                <w:sz w:val="24"/>
              </w:rPr>
              <w:t>以及玻璃其他领域的应用。</w:t>
            </w:r>
          </w:p>
        </w:tc>
      </w:tr>
      <w:tr w:rsidR="0040307F" w:rsidTr="00735C13">
        <w:trPr>
          <w:trHeight w:val="1007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附件清单（如有）</w:t>
            </w:r>
          </w:p>
        </w:tc>
        <w:tc>
          <w:tcPr>
            <w:tcW w:w="6799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40307F" w:rsidTr="00735C13">
        <w:trPr>
          <w:trHeight w:val="1021"/>
        </w:trPr>
        <w:tc>
          <w:tcPr>
            <w:tcW w:w="2041" w:type="dxa"/>
            <w:vAlign w:val="center"/>
          </w:tcPr>
          <w:p w:rsidR="0040307F" w:rsidRDefault="004030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6799" w:type="dxa"/>
            <w:vAlign w:val="center"/>
          </w:tcPr>
          <w:p w:rsidR="0040307F" w:rsidRDefault="0040307F" w:rsidP="00F15B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387A5C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 w:rsidR="000A4022">
              <w:rPr>
                <w:rFonts w:hint="eastAsia"/>
                <w:sz w:val="24"/>
              </w:rPr>
              <w:t>1</w:t>
            </w:r>
            <w:r w:rsidR="00DF26C0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  <w:r w:rsidR="00DF26C0">
              <w:rPr>
                <w:rFonts w:hint="eastAsia"/>
                <w:sz w:val="24"/>
              </w:rPr>
              <w:t>1</w:t>
            </w:r>
            <w:r w:rsidR="00F15B21"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0307F" w:rsidRDefault="0040307F">
      <w:pPr>
        <w:spacing w:line="360" w:lineRule="auto"/>
        <w:ind w:firstLineChars="175" w:firstLine="420"/>
        <w:rPr>
          <w:sz w:val="24"/>
        </w:rPr>
      </w:pPr>
    </w:p>
    <w:p w:rsidR="0040307F" w:rsidRDefault="0040307F"/>
    <w:sectPr w:rsidR="0040307F" w:rsidSect="00346B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9A9" w:rsidRDefault="000C69A9" w:rsidP="007643BB">
      <w:r>
        <w:separator/>
      </w:r>
    </w:p>
  </w:endnote>
  <w:endnote w:type="continuationSeparator" w:id="1">
    <w:p w:rsidR="000C69A9" w:rsidRDefault="000C69A9" w:rsidP="0076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9A9" w:rsidRDefault="000C69A9" w:rsidP="007643BB">
      <w:r>
        <w:separator/>
      </w:r>
    </w:p>
  </w:footnote>
  <w:footnote w:type="continuationSeparator" w:id="1">
    <w:p w:rsidR="000C69A9" w:rsidRDefault="000C69A9" w:rsidP="0076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14D1AF9"/>
    <w:multiLevelType w:val="hybridMultilevel"/>
    <w:tmpl w:val="0F2C550A"/>
    <w:lvl w:ilvl="0" w:tplc="E230F56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4E14DE"/>
    <w:multiLevelType w:val="hybridMultilevel"/>
    <w:tmpl w:val="F4DC6044"/>
    <w:lvl w:ilvl="0" w:tplc="1F126F2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DA7112"/>
    <w:multiLevelType w:val="hybridMultilevel"/>
    <w:tmpl w:val="428EC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30625F"/>
    <w:multiLevelType w:val="hybridMultilevel"/>
    <w:tmpl w:val="1CFE987E"/>
    <w:lvl w:ilvl="0" w:tplc="354AE85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35753C"/>
    <w:multiLevelType w:val="hybridMultilevel"/>
    <w:tmpl w:val="BED816E8"/>
    <w:lvl w:ilvl="0" w:tplc="126E5F9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15ACD"/>
    <w:multiLevelType w:val="hybridMultilevel"/>
    <w:tmpl w:val="61824188"/>
    <w:lvl w:ilvl="0" w:tplc="F7701E0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635FED"/>
    <w:multiLevelType w:val="hybridMultilevel"/>
    <w:tmpl w:val="61BCF8AE"/>
    <w:lvl w:ilvl="0" w:tplc="91A612E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C0851"/>
    <w:multiLevelType w:val="hybridMultilevel"/>
    <w:tmpl w:val="9F6ECEBA"/>
    <w:lvl w:ilvl="0" w:tplc="EF0C6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F84980"/>
    <w:multiLevelType w:val="hybridMultilevel"/>
    <w:tmpl w:val="D2F0ED88"/>
    <w:lvl w:ilvl="0" w:tplc="26F011B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A9F"/>
    <w:rsid w:val="00011CE3"/>
    <w:rsid w:val="00015D91"/>
    <w:rsid w:val="00045003"/>
    <w:rsid w:val="00052001"/>
    <w:rsid w:val="0005432F"/>
    <w:rsid w:val="000818F1"/>
    <w:rsid w:val="000A4022"/>
    <w:rsid w:val="000B182C"/>
    <w:rsid w:val="000C1AD3"/>
    <w:rsid w:val="000C69A9"/>
    <w:rsid w:val="000D280E"/>
    <w:rsid w:val="000F31D2"/>
    <w:rsid w:val="000F55CE"/>
    <w:rsid w:val="00114EE1"/>
    <w:rsid w:val="00120CE0"/>
    <w:rsid w:val="00122C83"/>
    <w:rsid w:val="00130147"/>
    <w:rsid w:val="001539B3"/>
    <w:rsid w:val="00172A27"/>
    <w:rsid w:val="00172AA2"/>
    <w:rsid w:val="00174123"/>
    <w:rsid w:val="0017580F"/>
    <w:rsid w:val="00185CF2"/>
    <w:rsid w:val="00186F21"/>
    <w:rsid w:val="00187B01"/>
    <w:rsid w:val="001A005B"/>
    <w:rsid w:val="001A42B3"/>
    <w:rsid w:val="001A7E15"/>
    <w:rsid w:val="001C67E8"/>
    <w:rsid w:val="001D096E"/>
    <w:rsid w:val="001D2B23"/>
    <w:rsid w:val="001D6E90"/>
    <w:rsid w:val="001F254F"/>
    <w:rsid w:val="00220D0C"/>
    <w:rsid w:val="002217C0"/>
    <w:rsid w:val="0023333A"/>
    <w:rsid w:val="00246932"/>
    <w:rsid w:val="00254987"/>
    <w:rsid w:val="0027620E"/>
    <w:rsid w:val="00281EFE"/>
    <w:rsid w:val="00291E11"/>
    <w:rsid w:val="00293900"/>
    <w:rsid w:val="002A11DE"/>
    <w:rsid w:val="002A14C2"/>
    <w:rsid w:val="002A7D7D"/>
    <w:rsid w:val="002C4E04"/>
    <w:rsid w:val="002C583D"/>
    <w:rsid w:val="002D3BC9"/>
    <w:rsid w:val="002E4A3B"/>
    <w:rsid w:val="002F13AC"/>
    <w:rsid w:val="002F4696"/>
    <w:rsid w:val="00306805"/>
    <w:rsid w:val="003174A9"/>
    <w:rsid w:val="00331F2F"/>
    <w:rsid w:val="00333672"/>
    <w:rsid w:val="00333DDF"/>
    <w:rsid w:val="0033526B"/>
    <w:rsid w:val="00336DAD"/>
    <w:rsid w:val="00341396"/>
    <w:rsid w:val="00343AAC"/>
    <w:rsid w:val="00346B14"/>
    <w:rsid w:val="00355056"/>
    <w:rsid w:val="003716E5"/>
    <w:rsid w:val="00387A5C"/>
    <w:rsid w:val="003A71EE"/>
    <w:rsid w:val="003B1B55"/>
    <w:rsid w:val="003B2F56"/>
    <w:rsid w:val="003B44A4"/>
    <w:rsid w:val="003C4C52"/>
    <w:rsid w:val="003C7528"/>
    <w:rsid w:val="003D2FE0"/>
    <w:rsid w:val="003E2EFB"/>
    <w:rsid w:val="003F462E"/>
    <w:rsid w:val="0040307F"/>
    <w:rsid w:val="00404455"/>
    <w:rsid w:val="00424DA7"/>
    <w:rsid w:val="00446C6E"/>
    <w:rsid w:val="0045365C"/>
    <w:rsid w:val="004563A7"/>
    <w:rsid w:val="004607BF"/>
    <w:rsid w:val="00466024"/>
    <w:rsid w:val="00471CB2"/>
    <w:rsid w:val="004908C0"/>
    <w:rsid w:val="00496287"/>
    <w:rsid w:val="004A49CF"/>
    <w:rsid w:val="004B0CC5"/>
    <w:rsid w:val="004B39B3"/>
    <w:rsid w:val="004B5CD8"/>
    <w:rsid w:val="004D29FC"/>
    <w:rsid w:val="004E4A05"/>
    <w:rsid w:val="004F4D15"/>
    <w:rsid w:val="00504D4D"/>
    <w:rsid w:val="00522FBC"/>
    <w:rsid w:val="00541401"/>
    <w:rsid w:val="0054660D"/>
    <w:rsid w:val="00552031"/>
    <w:rsid w:val="00563D42"/>
    <w:rsid w:val="00565D02"/>
    <w:rsid w:val="00566376"/>
    <w:rsid w:val="00576332"/>
    <w:rsid w:val="0058154B"/>
    <w:rsid w:val="00594F7C"/>
    <w:rsid w:val="005B4336"/>
    <w:rsid w:val="005C2E20"/>
    <w:rsid w:val="005C608E"/>
    <w:rsid w:val="005D7323"/>
    <w:rsid w:val="005E0A03"/>
    <w:rsid w:val="005E1D88"/>
    <w:rsid w:val="005E3140"/>
    <w:rsid w:val="005F4C3F"/>
    <w:rsid w:val="005F6DDC"/>
    <w:rsid w:val="0060041C"/>
    <w:rsid w:val="0060627A"/>
    <w:rsid w:val="006067E5"/>
    <w:rsid w:val="006125BC"/>
    <w:rsid w:val="006164D5"/>
    <w:rsid w:val="0063674F"/>
    <w:rsid w:val="00636EBB"/>
    <w:rsid w:val="006526EA"/>
    <w:rsid w:val="00653306"/>
    <w:rsid w:val="00654DB2"/>
    <w:rsid w:val="0068399B"/>
    <w:rsid w:val="00687C61"/>
    <w:rsid w:val="00691057"/>
    <w:rsid w:val="00692396"/>
    <w:rsid w:val="00693BB0"/>
    <w:rsid w:val="006B1295"/>
    <w:rsid w:val="006E2E97"/>
    <w:rsid w:val="007149BB"/>
    <w:rsid w:val="00720EB7"/>
    <w:rsid w:val="00726218"/>
    <w:rsid w:val="00735C13"/>
    <w:rsid w:val="00746CB7"/>
    <w:rsid w:val="00747418"/>
    <w:rsid w:val="00755EB0"/>
    <w:rsid w:val="00762DE6"/>
    <w:rsid w:val="007643BB"/>
    <w:rsid w:val="007659F7"/>
    <w:rsid w:val="00777ABC"/>
    <w:rsid w:val="007A15BF"/>
    <w:rsid w:val="007A584D"/>
    <w:rsid w:val="007D4A57"/>
    <w:rsid w:val="00803E37"/>
    <w:rsid w:val="00805E15"/>
    <w:rsid w:val="008107E4"/>
    <w:rsid w:val="00831135"/>
    <w:rsid w:val="00832C41"/>
    <w:rsid w:val="00834138"/>
    <w:rsid w:val="008626F9"/>
    <w:rsid w:val="00863AC3"/>
    <w:rsid w:val="008675BF"/>
    <w:rsid w:val="008746D8"/>
    <w:rsid w:val="008747EC"/>
    <w:rsid w:val="008806BF"/>
    <w:rsid w:val="00882600"/>
    <w:rsid w:val="0088337B"/>
    <w:rsid w:val="008909BD"/>
    <w:rsid w:val="008922F5"/>
    <w:rsid w:val="008B0FF6"/>
    <w:rsid w:val="008B6516"/>
    <w:rsid w:val="008C71A9"/>
    <w:rsid w:val="008E7BA2"/>
    <w:rsid w:val="008F5B73"/>
    <w:rsid w:val="00902778"/>
    <w:rsid w:val="0091064A"/>
    <w:rsid w:val="00925946"/>
    <w:rsid w:val="00931730"/>
    <w:rsid w:val="0093544D"/>
    <w:rsid w:val="00945A4D"/>
    <w:rsid w:val="009475D2"/>
    <w:rsid w:val="00947AB7"/>
    <w:rsid w:val="00952C16"/>
    <w:rsid w:val="00953357"/>
    <w:rsid w:val="0095515B"/>
    <w:rsid w:val="00962ABE"/>
    <w:rsid w:val="00984EE3"/>
    <w:rsid w:val="00986D14"/>
    <w:rsid w:val="00996942"/>
    <w:rsid w:val="009A5E18"/>
    <w:rsid w:val="009B08FE"/>
    <w:rsid w:val="009C28AB"/>
    <w:rsid w:val="009D1327"/>
    <w:rsid w:val="009E012B"/>
    <w:rsid w:val="009E05B5"/>
    <w:rsid w:val="00A0088B"/>
    <w:rsid w:val="00A020CF"/>
    <w:rsid w:val="00A22047"/>
    <w:rsid w:val="00A24802"/>
    <w:rsid w:val="00A2633F"/>
    <w:rsid w:val="00A27966"/>
    <w:rsid w:val="00A432BA"/>
    <w:rsid w:val="00A50C94"/>
    <w:rsid w:val="00A637CC"/>
    <w:rsid w:val="00A67F32"/>
    <w:rsid w:val="00A815A0"/>
    <w:rsid w:val="00A935E0"/>
    <w:rsid w:val="00A93802"/>
    <w:rsid w:val="00AA08D9"/>
    <w:rsid w:val="00AB01DE"/>
    <w:rsid w:val="00AD203A"/>
    <w:rsid w:val="00AD35B5"/>
    <w:rsid w:val="00AE5BDC"/>
    <w:rsid w:val="00AE68FA"/>
    <w:rsid w:val="00AF1DF3"/>
    <w:rsid w:val="00AF1E98"/>
    <w:rsid w:val="00AF2371"/>
    <w:rsid w:val="00B07B4A"/>
    <w:rsid w:val="00B07FB1"/>
    <w:rsid w:val="00B300D8"/>
    <w:rsid w:val="00B30BB3"/>
    <w:rsid w:val="00B30EC3"/>
    <w:rsid w:val="00B372EF"/>
    <w:rsid w:val="00B40EEB"/>
    <w:rsid w:val="00B636E9"/>
    <w:rsid w:val="00B77AE9"/>
    <w:rsid w:val="00B816D7"/>
    <w:rsid w:val="00B833F2"/>
    <w:rsid w:val="00BB1898"/>
    <w:rsid w:val="00BB5E62"/>
    <w:rsid w:val="00BC680B"/>
    <w:rsid w:val="00BC7E06"/>
    <w:rsid w:val="00BD3107"/>
    <w:rsid w:val="00BE737B"/>
    <w:rsid w:val="00BF3F3B"/>
    <w:rsid w:val="00C0426A"/>
    <w:rsid w:val="00C07FF4"/>
    <w:rsid w:val="00C12DAD"/>
    <w:rsid w:val="00C14AF6"/>
    <w:rsid w:val="00C15034"/>
    <w:rsid w:val="00C16124"/>
    <w:rsid w:val="00C3262F"/>
    <w:rsid w:val="00C3404F"/>
    <w:rsid w:val="00C37BC8"/>
    <w:rsid w:val="00C41E74"/>
    <w:rsid w:val="00C43242"/>
    <w:rsid w:val="00C574D0"/>
    <w:rsid w:val="00C721BE"/>
    <w:rsid w:val="00C7415A"/>
    <w:rsid w:val="00C747A1"/>
    <w:rsid w:val="00C7606C"/>
    <w:rsid w:val="00C81E84"/>
    <w:rsid w:val="00CB236E"/>
    <w:rsid w:val="00CD31B3"/>
    <w:rsid w:val="00D15725"/>
    <w:rsid w:val="00D20AB2"/>
    <w:rsid w:val="00D3557F"/>
    <w:rsid w:val="00D52123"/>
    <w:rsid w:val="00D72730"/>
    <w:rsid w:val="00D73579"/>
    <w:rsid w:val="00D759FD"/>
    <w:rsid w:val="00D7606C"/>
    <w:rsid w:val="00D90AF4"/>
    <w:rsid w:val="00D94199"/>
    <w:rsid w:val="00DB2827"/>
    <w:rsid w:val="00DC0364"/>
    <w:rsid w:val="00DE061F"/>
    <w:rsid w:val="00DE7E92"/>
    <w:rsid w:val="00DF26C0"/>
    <w:rsid w:val="00E027C7"/>
    <w:rsid w:val="00E0513F"/>
    <w:rsid w:val="00E1344B"/>
    <w:rsid w:val="00E13A84"/>
    <w:rsid w:val="00E841BC"/>
    <w:rsid w:val="00E91560"/>
    <w:rsid w:val="00E94F90"/>
    <w:rsid w:val="00EB0475"/>
    <w:rsid w:val="00EB35E6"/>
    <w:rsid w:val="00EB3B32"/>
    <w:rsid w:val="00EC3F7E"/>
    <w:rsid w:val="00EC5F74"/>
    <w:rsid w:val="00ED2A68"/>
    <w:rsid w:val="00EE0BE6"/>
    <w:rsid w:val="00F10E25"/>
    <w:rsid w:val="00F15B21"/>
    <w:rsid w:val="00F413E2"/>
    <w:rsid w:val="00F426A2"/>
    <w:rsid w:val="00F544A3"/>
    <w:rsid w:val="00F559FA"/>
    <w:rsid w:val="00F72975"/>
    <w:rsid w:val="00F76442"/>
    <w:rsid w:val="00F80054"/>
    <w:rsid w:val="00F9689C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B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B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346B14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229</Words>
  <Characters>1306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China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证券代码：002623                                              证券简称：亚玛顿</dc:title>
  <dc:creator>hang</dc:creator>
  <cp:lastModifiedBy>User</cp:lastModifiedBy>
  <cp:revision>19</cp:revision>
  <dcterms:created xsi:type="dcterms:W3CDTF">2020-10-26T08:49:00Z</dcterms:created>
  <dcterms:modified xsi:type="dcterms:W3CDTF">2020-11-20T09:09:00Z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