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F132B" w14:textId="77777777" w:rsidR="008F180C" w:rsidRDefault="003F11D9">
      <w:pPr>
        <w:spacing w:beforeLines="50" w:before="156" w:afterLines="50" w:after="156" w:line="400" w:lineRule="exact"/>
        <w:jc w:val="center"/>
        <w:rPr>
          <w:rFonts w:ascii="宋体" w:hAnsi="宋体"/>
          <w:bCs/>
          <w:iCs/>
          <w:sz w:val="24"/>
        </w:rPr>
      </w:pPr>
      <w:r>
        <w:rPr>
          <w:rFonts w:ascii="宋体" w:hAnsi="宋体" w:hint="eastAsia"/>
          <w:bCs/>
          <w:iCs/>
          <w:sz w:val="24"/>
        </w:rPr>
        <w:t>证券代码：</w:t>
      </w:r>
      <w:r>
        <w:rPr>
          <w:rFonts w:ascii="宋体" w:hAnsi="宋体"/>
          <w:bCs/>
          <w:iCs/>
          <w:sz w:val="24"/>
        </w:rPr>
        <w:t>002</w:t>
      </w:r>
      <w:r>
        <w:rPr>
          <w:rFonts w:ascii="宋体" w:hAnsi="宋体" w:hint="eastAsia"/>
          <w:bCs/>
          <w:iCs/>
          <w:sz w:val="24"/>
        </w:rPr>
        <w:t>163</w:t>
      </w:r>
      <w:r>
        <w:rPr>
          <w:rFonts w:ascii="宋体" w:hAnsi="宋体"/>
          <w:bCs/>
          <w:iCs/>
          <w:sz w:val="24"/>
        </w:rPr>
        <w:t xml:space="preserve">         </w:t>
      </w:r>
      <w:r>
        <w:rPr>
          <w:rFonts w:ascii="宋体" w:hAnsi="宋体" w:hint="eastAsia"/>
          <w:bCs/>
          <w:iCs/>
          <w:sz w:val="24"/>
        </w:rPr>
        <w:t xml:space="preserve">          </w:t>
      </w:r>
      <w:r>
        <w:rPr>
          <w:rFonts w:ascii="宋体" w:hAnsi="宋体"/>
          <w:bCs/>
          <w:iCs/>
          <w:sz w:val="24"/>
        </w:rPr>
        <w:t xml:space="preserve">             </w:t>
      </w:r>
      <w:r>
        <w:rPr>
          <w:rFonts w:ascii="宋体" w:hAnsi="宋体" w:hint="eastAsia"/>
          <w:bCs/>
          <w:iCs/>
          <w:sz w:val="24"/>
        </w:rPr>
        <w:t>证券简称：</w:t>
      </w:r>
      <w:r w:rsidR="005D041F">
        <w:rPr>
          <w:rFonts w:ascii="宋体" w:hAnsi="宋体" w:hint="eastAsia"/>
          <w:bCs/>
          <w:iCs/>
          <w:sz w:val="24"/>
        </w:rPr>
        <w:t>海南发展</w:t>
      </w:r>
    </w:p>
    <w:p w14:paraId="548F04AE" w14:textId="77777777" w:rsidR="008F180C" w:rsidRDefault="008F180C">
      <w:pPr>
        <w:spacing w:beforeLines="50" w:before="156" w:afterLines="50" w:after="156" w:line="400" w:lineRule="exact"/>
        <w:jc w:val="center"/>
        <w:rPr>
          <w:rFonts w:ascii="宋体" w:hAnsi="宋体"/>
          <w:b/>
          <w:bCs/>
          <w:iCs/>
          <w:sz w:val="32"/>
          <w:szCs w:val="32"/>
        </w:rPr>
      </w:pPr>
    </w:p>
    <w:p w14:paraId="0DB35990" w14:textId="77777777" w:rsidR="008F180C" w:rsidRDefault="005D041F">
      <w:pPr>
        <w:spacing w:beforeLines="50" w:before="156" w:afterLines="50" w:after="156" w:line="400" w:lineRule="exact"/>
        <w:jc w:val="center"/>
        <w:rPr>
          <w:rFonts w:ascii="宋体" w:hAnsi="宋体"/>
          <w:b/>
          <w:bCs/>
          <w:iCs/>
          <w:sz w:val="32"/>
          <w:szCs w:val="32"/>
        </w:rPr>
      </w:pPr>
      <w:r>
        <w:rPr>
          <w:rFonts w:ascii="宋体" w:hAnsi="宋体" w:hint="eastAsia"/>
          <w:b/>
          <w:bCs/>
          <w:iCs/>
          <w:sz w:val="32"/>
          <w:szCs w:val="32"/>
        </w:rPr>
        <w:t>海控南海发展股份有限公司</w:t>
      </w:r>
      <w:r w:rsidR="003F11D9">
        <w:rPr>
          <w:rFonts w:ascii="宋体" w:hAnsi="宋体" w:hint="eastAsia"/>
          <w:b/>
          <w:bCs/>
          <w:iCs/>
          <w:sz w:val="32"/>
          <w:szCs w:val="32"/>
        </w:rPr>
        <w:t>投资者关系活动记录表</w:t>
      </w:r>
    </w:p>
    <w:p w14:paraId="347F99CB" w14:textId="66085CDF" w:rsidR="008F180C" w:rsidRDefault="003F11D9">
      <w:pPr>
        <w:spacing w:line="400" w:lineRule="exact"/>
        <w:rPr>
          <w:rFonts w:ascii="宋体" w:hAnsi="宋体"/>
          <w:bCs/>
          <w:iCs/>
          <w:sz w:val="24"/>
          <w:szCs w:val="24"/>
        </w:rPr>
      </w:pPr>
      <w:r>
        <w:rPr>
          <w:rFonts w:ascii="宋体" w:hAnsi="宋体" w:hint="eastAsia"/>
          <w:bCs/>
          <w:iCs/>
          <w:sz w:val="24"/>
          <w:szCs w:val="24"/>
        </w:rPr>
        <w:t xml:space="preserve">                                                      编号：</w:t>
      </w:r>
      <w:r>
        <w:rPr>
          <w:rFonts w:ascii="宋体" w:hAnsi="宋体"/>
          <w:bCs/>
          <w:iCs/>
          <w:sz w:val="24"/>
          <w:szCs w:val="24"/>
        </w:rPr>
        <w:t>20</w:t>
      </w:r>
      <w:r w:rsidR="005D041F">
        <w:rPr>
          <w:rFonts w:ascii="宋体" w:hAnsi="宋体"/>
          <w:bCs/>
          <w:iCs/>
          <w:sz w:val="24"/>
          <w:szCs w:val="24"/>
        </w:rPr>
        <w:t>20</w:t>
      </w:r>
      <w:r>
        <w:rPr>
          <w:rFonts w:ascii="宋体" w:hAnsi="宋体" w:hint="eastAsia"/>
          <w:bCs/>
          <w:iCs/>
          <w:sz w:val="24"/>
          <w:szCs w:val="24"/>
        </w:rPr>
        <w:t>-</w:t>
      </w:r>
      <w:r w:rsidR="00971C33">
        <w:rPr>
          <w:rFonts w:ascii="宋体" w:hAnsi="宋体"/>
          <w:bCs/>
          <w:iCs/>
          <w:sz w:val="24"/>
          <w:szCs w:val="24"/>
        </w:rPr>
        <w:t>12</w:t>
      </w:r>
      <w:r>
        <w:rPr>
          <w:rFonts w:ascii="宋体" w:hAnsi="宋体" w:hint="eastAsia"/>
          <w:bCs/>
          <w:iCs/>
          <w:sz w:val="24"/>
          <w:szCs w:val="24"/>
        </w:rPr>
        <w:t>-</w:t>
      </w:r>
      <w:r w:rsidR="00971C33">
        <w:rPr>
          <w:rFonts w:ascii="宋体" w:hAnsi="宋体"/>
          <w:bCs/>
          <w:iCs/>
          <w:sz w:val="24"/>
          <w:szCs w:val="24"/>
        </w:rPr>
        <w:t>05</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6826"/>
      </w:tblGrid>
      <w:tr w:rsidR="008F180C" w14:paraId="484CE78D" w14:textId="77777777" w:rsidTr="008B2D60">
        <w:tc>
          <w:tcPr>
            <w:tcW w:w="1696" w:type="dxa"/>
          </w:tcPr>
          <w:p w14:paraId="1E3BC83B" w14:textId="77777777" w:rsidR="008F180C" w:rsidRDefault="003F11D9">
            <w:pPr>
              <w:spacing w:line="480" w:lineRule="atLeast"/>
              <w:rPr>
                <w:rFonts w:ascii="宋体" w:hAnsi="宋体"/>
                <w:b/>
                <w:bCs/>
                <w:iCs/>
                <w:kern w:val="0"/>
                <w:sz w:val="24"/>
                <w:szCs w:val="24"/>
              </w:rPr>
            </w:pPr>
            <w:r>
              <w:rPr>
                <w:rFonts w:ascii="宋体" w:hAnsi="宋体" w:hint="eastAsia"/>
                <w:b/>
                <w:bCs/>
                <w:iCs/>
                <w:kern w:val="0"/>
                <w:sz w:val="24"/>
                <w:szCs w:val="24"/>
              </w:rPr>
              <w:t>投资者关系活动类别</w:t>
            </w:r>
          </w:p>
          <w:p w14:paraId="767D3DD9" w14:textId="77777777" w:rsidR="008F180C" w:rsidRDefault="008F180C">
            <w:pPr>
              <w:spacing w:line="480" w:lineRule="atLeast"/>
              <w:rPr>
                <w:rFonts w:ascii="宋体" w:hAnsi="宋体"/>
                <w:b/>
                <w:bCs/>
                <w:iCs/>
                <w:kern w:val="0"/>
                <w:sz w:val="24"/>
                <w:szCs w:val="24"/>
              </w:rPr>
            </w:pPr>
          </w:p>
        </w:tc>
        <w:tc>
          <w:tcPr>
            <w:tcW w:w="6826" w:type="dxa"/>
          </w:tcPr>
          <w:p w14:paraId="3DBA936F" w14:textId="77777777" w:rsidR="008F180C" w:rsidRDefault="003F11D9">
            <w:pPr>
              <w:spacing w:line="480" w:lineRule="atLeast"/>
              <w:rPr>
                <w:rFonts w:ascii="宋体" w:hAnsi="宋体"/>
                <w:bCs/>
                <w:iCs/>
                <w:kern w:val="0"/>
                <w:sz w:val="24"/>
                <w:szCs w:val="24"/>
              </w:rPr>
            </w:pPr>
            <w:r>
              <w:rPr>
                <w:rFonts w:ascii="宋体" w:hAnsi="宋体" w:hint="eastAsia"/>
                <w:bCs/>
                <w:iCs/>
                <w:sz w:val="24"/>
                <w:szCs w:val="24"/>
              </w:rPr>
              <w:t>√</w:t>
            </w:r>
            <w:r>
              <w:rPr>
                <w:rFonts w:ascii="宋体" w:hAnsi="宋体" w:hint="eastAsia"/>
                <w:kern w:val="0"/>
                <w:sz w:val="24"/>
                <w:szCs w:val="24"/>
              </w:rPr>
              <w:t xml:space="preserve">特定对象调研        </w:t>
            </w:r>
            <w:r>
              <w:rPr>
                <w:rFonts w:ascii="宋体" w:hAnsi="宋体" w:hint="eastAsia"/>
                <w:bCs/>
                <w:iCs/>
                <w:kern w:val="0"/>
                <w:sz w:val="24"/>
                <w:szCs w:val="24"/>
              </w:rPr>
              <w:t>□</w:t>
            </w:r>
            <w:r>
              <w:rPr>
                <w:rFonts w:ascii="宋体" w:hAnsi="宋体" w:hint="eastAsia"/>
                <w:kern w:val="0"/>
                <w:sz w:val="24"/>
                <w:szCs w:val="24"/>
              </w:rPr>
              <w:t>分析师会议</w:t>
            </w:r>
          </w:p>
          <w:p w14:paraId="39B6EEDA" w14:textId="77777777" w:rsidR="008F180C" w:rsidRDefault="003F11D9">
            <w:pPr>
              <w:spacing w:line="480" w:lineRule="atLeast"/>
              <w:rPr>
                <w:rFonts w:ascii="宋体" w:hAnsi="宋体"/>
                <w:bCs/>
                <w:iCs/>
                <w:kern w:val="0"/>
                <w:sz w:val="24"/>
                <w:szCs w:val="24"/>
              </w:rPr>
            </w:pPr>
            <w:r>
              <w:rPr>
                <w:rFonts w:ascii="宋体" w:hAnsi="宋体" w:hint="eastAsia"/>
                <w:bCs/>
                <w:iCs/>
                <w:kern w:val="0"/>
                <w:sz w:val="24"/>
                <w:szCs w:val="24"/>
              </w:rPr>
              <w:t>□</w:t>
            </w:r>
            <w:r>
              <w:rPr>
                <w:rFonts w:ascii="宋体" w:hAnsi="宋体" w:hint="eastAsia"/>
                <w:kern w:val="0"/>
                <w:sz w:val="24"/>
                <w:szCs w:val="24"/>
              </w:rPr>
              <w:t xml:space="preserve">媒体采访            </w:t>
            </w:r>
            <w:r>
              <w:rPr>
                <w:rFonts w:ascii="宋体" w:hAnsi="宋体" w:hint="eastAsia"/>
                <w:bCs/>
                <w:iCs/>
                <w:kern w:val="0"/>
                <w:sz w:val="24"/>
                <w:szCs w:val="24"/>
              </w:rPr>
              <w:t>□</w:t>
            </w:r>
            <w:r>
              <w:rPr>
                <w:rFonts w:ascii="宋体" w:hAnsi="宋体" w:hint="eastAsia"/>
                <w:kern w:val="0"/>
                <w:sz w:val="24"/>
                <w:szCs w:val="24"/>
              </w:rPr>
              <w:t>业绩说明会</w:t>
            </w:r>
          </w:p>
          <w:p w14:paraId="39F5FFC1" w14:textId="77777777" w:rsidR="008F180C" w:rsidRDefault="003F11D9">
            <w:pPr>
              <w:spacing w:line="480" w:lineRule="atLeast"/>
              <w:rPr>
                <w:rFonts w:ascii="宋体" w:hAnsi="宋体"/>
                <w:bCs/>
                <w:iCs/>
                <w:kern w:val="0"/>
                <w:sz w:val="24"/>
                <w:szCs w:val="24"/>
              </w:rPr>
            </w:pPr>
            <w:r>
              <w:rPr>
                <w:rFonts w:ascii="宋体" w:hAnsi="宋体" w:hint="eastAsia"/>
                <w:bCs/>
                <w:iCs/>
                <w:kern w:val="0"/>
                <w:sz w:val="24"/>
                <w:szCs w:val="24"/>
              </w:rPr>
              <w:t>□</w:t>
            </w:r>
            <w:r>
              <w:rPr>
                <w:rFonts w:ascii="宋体" w:hAnsi="宋体" w:hint="eastAsia"/>
                <w:kern w:val="0"/>
                <w:sz w:val="24"/>
                <w:szCs w:val="24"/>
              </w:rPr>
              <w:t xml:space="preserve">新闻发布会          </w:t>
            </w:r>
            <w:r>
              <w:rPr>
                <w:rFonts w:ascii="宋体" w:hAnsi="宋体" w:hint="eastAsia"/>
                <w:bCs/>
                <w:iCs/>
                <w:kern w:val="0"/>
                <w:sz w:val="24"/>
                <w:szCs w:val="24"/>
              </w:rPr>
              <w:t>□</w:t>
            </w:r>
            <w:r>
              <w:rPr>
                <w:rFonts w:ascii="宋体" w:hAnsi="宋体" w:hint="eastAsia"/>
                <w:kern w:val="0"/>
                <w:sz w:val="24"/>
                <w:szCs w:val="24"/>
              </w:rPr>
              <w:t>路演活动</w:t>
            </w:r>
          </w:p>
          <w:p w14:paraId="2D6171CC" w14:textId="77777777" w:rsidR="008F180C" w:rsidRDefault="003F11D9">
            <w:pPr>
              <w:tabs>
                <w:tab w:val="left" w:pos="3045"/>
                <w:tab w:val="center" w:pos="3199"/>
              </w:tabs>
              <w:spacing w:line="480" w:lineRule="atLeast"/>
              <w:rPr>
                <w:rFonts w:ascii="宋体" w:hAnsi="宋体"/>
                <w:bCs/>
                <w:iCs/>
                <w:kern w:val="0"/>
                <w:sz w:val="24"/>
                <w:szCs w:val="24"/>
              </w:rPr>
            </w:pPr>
            <w:r>
              <w:rPr>
                <w:rFonts w:ascii="宋体" w:hAnsi="宋体" w:hint="eastAsia"/>
                <w:bCs/>
                <w:iCs/>
                <w:kern w:val="0"/>
                <w:sz w:val="24"/>
                <w:szCs w:val="24"/>
              </w:rPr>
              <w:t>□</w:t>
            </w:r>
            <w:r>
              <w:rPr>
                <w:rFonts w:ascii="宋体" w:hAnsi="宋体" w:hint="eastAsia"/>
                <w:kern w:val="0"/>
                <w:sz w:val="24"/>
                <w:szCs w:val="24"/>
              </w:rPr>
              <w:t>现场参观</w:t>
            </w:r>
            <w:r>
              <w:rPr>
                <w:rFonts w:ascii="宋体" w:hAnsi="宋体"/>
                <w:bCs/>
                <w:iCs/>
                <w:kern w:val="0"/>
                <w:sz w:val="24"/>
                <w:szCs w:val="24"/>
              </w:rPr>
              <w:tab/>
            </w:r>
          </w:p>
          <w:p w14:paraId="0E575B0E" w14:textId="77777777" w:rsidR="008F180C" w:rsidRDefault="003F11D9">
            <w:pPr>
              <w:tabs>
                <w:tab w:val="center" w:pos="3199"/>
              </w:tabs>
              <w:spacing w:line="480" w:lineRule="atLeast"/>
              <w:rPr>
                <w:rFonts w:ascii="宋体" w:hAnsi="宋体"/>
                <w:bCs/>
                <w:iCs/>
                <w:kern w:val="0"/>
                <w:sz w:val="24"/>
                <w:szCs w:val="24"/>
              </w:rPr>
            </w:pPr>
            <w:r>
              <w:rPr>
                <w:rFonts w:ascii="宋体" w:hAnsi="宋体" w:hint="eastAsia"/>
                <w:bCs/>
                <w:iCs/>
                <w:kern w:val="0"/>
                <w:sz w:val="24"/>
                <w:szCs w:val="24"/>
              </w:rPr>
              <w:t>□</w:t>
            </w:r>
            <w:r>
              <w:rPr>
                <w:rFonts w:ascii="宋体" w:hAnsi="宋体" w:hint="eastAsia"/>
                <w:kern w:val="0"/>
                <w:sz w:val="24"/>
                <w:szCs w:val="24"/>
              </w:rPr>
              <w:t>其他 （</w:t>
            </w:r>
            <w:r>
              <w:rPr>
                <w:rFonts w:ascii="宋体" w:hAnsi="宋体" w:hint="eastAsia"/>
                <w:kern w:val="0"/>
                <w:sz w:val="24"/>
                <w:szCs w:val="24"/>
                <w:u w:val="single"/>
              </w:rPr>
              <w:t>请文字说明其他活动内容）</w:t>
            </w:r>
          </w:p>
        </w:tc>
      </w:tr>
      <w:tr w:rsidR="008F180C" w14:paraId="129825DC" w14:textId="77777777" w:rsidTr="008B2D60">
        <w:trPr>
          <w:trHeight w:val="594"/>
        </w:trPr>
        <w:tc>
          <w:tcPr>
            <w:tcW w:w="1696" w:type="dxa"/>
          </w:tcPr>
          <w:p w14:paraId="495BE04B" w14:textId="77777777" w:rsidR="008F180C" w:rsidRDefault="003F11D9">
            <w:pPr>
              <w:spacing w:line="480" w:lineRule="atLeast"/>
              <w:rPr>
                <w:rFonts w:ascii="宋体" w:hAnsi="宋体"/>
                <w:b/>
                <w:bCs/>
                <w:iCs/>
                <w:kern w:val="0"/>
                <w:sz w:val="24"/>
                <w:szCs w:val="24"/>
              </w:rPr>
            </w:pPr>
            <w:r>
              <w:rPr>
                <w:rFonts w:ascii="宋体" w:hAnsi="宋体" w:hint="eastAsia"/>
                <w:b/>
                <w:bCs/>
                <w:iCs/>
                <w:kern w:val="0"/>
                <w:sz w:val="24"/>
                <w:szCs w:val="24"/>
              </w:rPr>
              <w:t>参与单位名称及人员姓名</w:t>
            </w:r>
          </w:p>
        </w:tc>
        <w:tc>
          <w:tcPr>
            <w:tcW w:w="6826" w:type="dxa"/>
          </w:tcPr>
          <w:p w14:paraId="1191DD74" w14:textId="78C28D26" w:rsidR="00971C33" w:rsidRPr="00971C33" w:rsidRDefault="00971C33" w:rsidP="00971C33">
            <w:pPr>
              <w:rPr>
                <w:rFonts w:ascii="宋体" w:hAnsi="宋体"/>
                <w:kern w:val="0"/>
                <w:sz w:val="24"/>
                <w:szCs w:val="24"/>
              </w:rPr>
            </w:pPr>
            <w:r w:rsidRPr="00971C33">
              <w:rPr>
                <w:rFonts w:ascii="宋体" w:hAnsi="宋体" w:hint="eastAsia"/>
                <w:kern w:val="0"/>
                <w:sz w:val="24"/>
                <w:szCs w:val="24"/>
              </w:rPr>
              <w:t>国泰君安证券</w:t>
            </w:r>
            <w:r>
              <w:rPr>
                <w:rFonts w:ascii="宋体" w:hAnsi="宋体"/>
                <w:kern w:val="0"/>
                <w:sz w:val="24"/>
                <w:szCs w:val="24"/>
              </w:rPr>
              <w:t>:</w:t>
            </w:r>
            <w:r w:rsidRPr="00971C33">
              <w:rPr>
                <w:rFonts w:ascii="宋体" w:hAnsi="宋体" w:hint="eastAsia"/>
                <w:kern w:val="0"/>
                <w:sz w:val="24"/>
                <w:szCs w:val="24"/>
              </w:rPr>
              <w:t>刘广宇</w:t>
            </w:r>
            <w:r>
              <w:rPr>
                <w:rFonts w:ascii="宋体" w:hAnsi="宋体" w:hint="eastAsia"/>
                <w:kern w:val="0"/>
                <w:sz w:val="24"/>
                <w:szCs w:val="24"/>
              </w:rPr>
              <w:t>、</w:t>
            </w:r>
            <w:r w:rsidRPr="00971C33">
              <w:rPr>
                <w:rFonts w:ascii="宋体" w:hAnsi="宋体" w:hint="eastAsia"/>
                <w:kern w:val="0"/>
                <w:sz w:val="24"/>
                <w:szCs w:val="24"/>
              </w:rPr>
              <w:t>刘越男</w:t>
            </w:r>
          </w:p>
          <w:p w14:paraId="23E973AC" w14:textId="0ECCA98A" w:rsidR="00971C33" w:rsidRPr="00971C33" w:rsidRDefault="00971C33" w:rsidP="00971C33">
            <w:pPr>
              <w:rPr>
                <w:rFonts w:ascii="宋体" w:hAnsi="宋体"/>
                <w:kern w:val="0"/>
                <w:sz w:val="24"/>
                <w:szCs w:val="24"/>
              </w:rPr>
            </w:pPr>
            <w:r w:rsidRPr="00971C33">
              <w:rPr>
                <w:rFonts w:ascii="宋体" w:hAnsi="宋体" w:hint="eastAsia"/>
                <w:kern w:val="0"/>
                <w:sz w:val="24"/>
                <w:szCs w:val="24"/>
              </w:rPr>
              <w:t>华商基金</w:t>
            </w:r>
            <w:r>
              <w:rPr>
                <w:rFonts w:ascii="宋体" w:hAnsi="宋体"/>
                <w:kern w:val="0"/>
                <w:sz w:val="24"/>
                <w:szCs w:val="24"/>
              </w:rPr>
              <w:t>:</w:t>
            </w:r>
            <w:r w:rsidRPr="00971C33">
              <w:rPr>
                <w:rFonts w:ascii="宋体" w:hAnsi="宋体" w:hint="eastAsia"/>
                <w:kern w:val="0"/>
                <w:sz w:val="24"/>
                <w:szCs w:val="24"/>
              </w:rPr>
              <w:t>曹瑞</w:t>
            </w:r>
          </w:p>
          <w:p w14:paraId="4E0760BB" w14:textId="513EF307" w:rsidR="00971C33" w:rsidRPr="00971C33" w:rsidRDefault="00971C33" w:rsidP="00971C33">
            <w:pPr>
              <w:rPr>
                <w:rFonts w:ascii="宋体" w:hAnsi="宋体"/>
                <w:kern w:val="0"/>
                <w:sz w:val="24"/>
                <w:szCs w:val="24"/>
              </w:rPr>
            </w:pPr>
            <w:r w:rsidRPr="00971C33">
              <w:rPr>
                <w:rFonts w:ascii="宋体" w:hAnsi="宋体" w:hint="eastAsia"/>
                <w:kern w:val="0"/>
                <w:sz w:val="24"/>
                <w:szCs w:val="24"/>
              </w:rPr>
              <w:t>华夏财富创新投</w:t>
            </w:r>
            <w:r>
              <w:rPr>
                <w:rFonts w:ascii="宋体" w:hAnsi="宋体"/>
                <w:kern w:val="0"/>
                <w:sz w:val="24"/>
                <w:szCs w:val="24"/>
              </w:rPr>
              <w:t>:</w:t>
            </w:r>
            <w:r w:rsidRPr="00971C33">
              <w:rPr>
                <w:rFonts w:ascii="宋体" w:hAnsi="宋体" w:hint="eastAsia"/>
                <w:kern w:val="0"/>
                <w:sz w:val="24"/>
                <w:szCs w:val="24"/>
              </w:rPr>
              <w:t>程海泳</w:t>
            </w:r>
          </w:p>
          <w:p w14:paraId="0C16B835" w14:textId="22CFAE86" w:rsidR="00971C33" w:rsidRPr="00971C33" w:rsidRDefault="00971C33" w:rsidP="00971C33">
            <w:pPr>
              <w:rPr>
                <w:rFonts w:ascii="宋体" w:hAnsi="宋体"/>
                <w:kern w:val="0"/>
                <w:sz w:val="24"/>
                <w:szCs w:val="24"/>
              </w:rPr>
            </w:pPr>
            <w:r w:rsidRPr="00971C33">
              <w:rPr>
                <w:rFonts w:ascii="宋体" w:hAnsi="宋体" w:hint="eastAsia"/>
                <w:kern w:val="0"/>
                <w:sz w:val="24"/>
                <w:szCs w:val="24"/>
              </w:rPr>
              <w:t>宝盈基金</w:t>
            </w:r>
            <w:r>
              <w:rPr>
                <w:rFonts w:ascii="宋体" w:hAnsi="宋体"/>
                <w:kern w:val="0"/>
                <w:sz w:val="24"/>
                <w:szCs w:val="24"/>
              </w:rPr>
              <w:t>:</w:t>
            </w:r>
            <w:r w:rsidRPr="00971C33">
              <w:rPr>
                <w:rFonts w:ascii="宋体" w:hAnsi="宋体" w:hint="eastAsia"/>
                <w:kern w:val="0"/>
                <w:sz w:val="24"/>
                <w:szCs w:val="24"/>
              </w:rPr>
              <w:t>吉翔</w:t>
            </w:r>
          </w:p>
          <w:p w14:paraId="5EA58DA9" w14:textId="4185F734" w:rsidR="00971C33" w:rsidRPr="00971C33" w:rsidRDefault="00971C33" w:rsidP="00971C33">
            <w:pPr>
              <w:rPr>
                <w:rFonts w:ascii="宋体" w:hAnsi="宋体"/>
                <w:kern w:val="0"/>
                <w:sz w:val="24"/>
                <w:szCs w:val="24"/>
              </w:rPr>
            </w:pPr>
            <w:r w:rsidRPr="00971C33">
              <w:rPr>
                <w:rFonts w:ascii="宋体" w:hAnsi="宋体" w:hint="eastAsia"/>
                <w:kern w:val="0"/>
                <w:sz w:val="24"/>
                <w:szCs w:val="24"/>
              </w:rPr>
              <w:t>盈峰资本</w:t>
            </w:r>
            <w:r>
              <w:rPr>
                <w:rFonts w:ascii="宋体" w:hAnsi="宋体"/>
                <w:kern w:val="0"/>
                <w:sz w:val="24"/>
                <w:szCs w:val="24"/>
              </w:rPr>
              <w:t>:</w:t>
            </w:r>
            <w:r w:rsidRPr="00971C33">
              <w:rPr>
                <w:rFonts w:ascii="宋体" w:hAnsi="宋体" w:hint="eastAsia"/>
                <w:kern w:val="0"/>
                <w:sz w:val="24"/>
                <w:szCs w:val="24"/>
              </w:rPr>
              <w:t>盘世雄</w:t>
            </w:r>
          </w:p>
          <w:p w14:paraId="10388662" w14:textId="25CC3F2B" w:rsidR="00971C33" w:rsidRPr="00971C33" w:rsidRDefault="00971C33" w:rsidP="00971C33">
            <w:pPr>
              <w:rPr>
                <w:rFonts w:ascii="宋体" w:hAnsi="宋体"/>
                <w:kern w:val="0"/>
                <w:sz w:val="24"/>
                <w:szCs w:val="24"/>
              </w:rPr>
            </w:pPr>
            <w:r w:rsidRPr="00971C33">
              <w:rPr>
                <w:rFonts w:ascii="宋体" w:hAnsi="宋体" w:hint="eastAsia"/>
                <w:kern w:val="0"/>
                <w:sz w:val="24"/>
                <w:szCs w:val="24"/>
              </w:rPr>
              <w:t>上海</w:t>
            </w:r>
            <w:r w:rsidRPr="00971C33">
              <w:rPr>
                <w:rFonts w:ascii="宋体" w:hAnsi="宋体"/>
                <w:kern w:val="0"/>
                <w:sz w:val="24"/>
                <w:szCs w:val="24"/>
              </w:rPr>
              <w:t>煜德投资</w:t>
            </w:r>
            <w:r>
              <w:rPr>
                <w:rFonts w:ascii="宋体" w:hAnsi="宋体" w:hint="eastAsia"/>
                <w:kern w:val="0"/>
                <w:sz w:val="24"/>
                <w:szCs w:val="24"/>
              </w:rPr>
              <w:t>:</w:t>
            </w:r>
            <w:r w:rsidRPr="00971C33">
              <w:rPr>
                <w:rFonts w:ascii="宋体" w:hAnsi="宋体" w:hint="eastAsia"/>
                <w:kern w:val="0"/>
                <w:sz w:val="24"/>
                <w:szCs w:val="24"/>
              </w:rPr>
              <w:t>程跃</w:t>
            </w:r>
          </w:p>
          <w:p w14:paraId="64B86F71" w14:textId="1719DD24" w:rsidR="008F180C" w:rsidRPr="00971C33" w:rsidRDefault="00971C33" w:rsidP="00971C33">
            <w:pPr>
              <w:rPr>
                <w:rFonts w:ascii="宋体" w:hAnsi="宋体"/>
                <w:kern w:val="0"/>
                <w:sz w:val="24"/>
                <w:szCs w:val="24"/>
              </w:rPr>
            </w:pPr>
            <w:r w:rsidRPr="00971C33">
              <w:rPr>
                <w:rFonts w:ascii="宋体" w:hAnsi="宋体" w:hint="eastAsia"/>
                <w:kern w:val="0"/>
                <w:sz w:val="24"/>
                <w:szCs w:val="24"/>
              </w:rPr>
              <w:t>广州利衍投资</w:t>
            </w:r>
            <w:r>
              <w:rPr>
                <w:rFonts w:ascii="宋体" w:hAnsi="宋体" w:hint="eastAsia"/>
                <w:kern w:val="0"/>
                <w:sz w:val="24"/>
                <w:szCs w:val="24"/>
              </w:rPr>
              <w:t>：</w:t>
            </w:r>
            <w:r w:rsidRPr="00971C33">
              <w:rPr>
                <w:rFonts w:ascii="宋体" w:hAnsi="宋体" w:hint="eastAsia"/>
                <w:kern w:val="0"/>
                <w:sz w:val="24"/>
                <w:szCs w:val="24"/>
              </w:rPr>
              <w:t>张利华</w:t>
            </w:r>
          </w:p>
        </w:tc>
      </w:tr>
      <w:tr w:rsidR="008F180C" w14:paraId="6C81922B" w14:textId="77777777" w:rsidTr="008B2D60">
        <w:tc>
          <w:tcPr>
            <w:tcW w:w="1696" w:type="dxa"/>
          </w:tcPr>
          <w:p w14:paraId="71F11A4C" w14:textId="77777777" w:rsidR="008F180C" w:rsidRDefault="003F11D9">
            <w:pPr>
              <w:spacing w:line="480" w:lineRule="atLeast"/>
              <w:rPr>
                <w:rFonts w:ascii="宋体" w:hAnsi="宋体"/>
                <w:b/>
                <w:bCs/>
                <w:iCs/>
                <w:kern w:val="0"/>
                <w:sz w:val="24"/>
                <w:szCs w:val="24"/>
              </w:rPr>
            </w:pPr>
            <w:r>
              <w:rPr>
                <w:rFonts w:ascii="宋体" w:hAnsi="宋体" w:hint="eastAsia"/>
                <w:b/>
                <w:bCs/>
                <w:iCs/>
                <w:kern w:val="0"/>
                <w:sz w:val="24"/>
                <w:szCs w:val="24"/>
              </w:rPr>
              <w:t>时间</w:t>
            </w:r>
          </w:p>
        </w:tc>
        <w:tc>
          <w:tcPr>
            <w:tcW w:w="6826" w:type="dxa"/>
          </w:tcPr>
          <w:p w14:paraId="498ACA59" w14:textId="206FA31E" w:rsidR="008F180C" w:rsidRPr="009D4F54" w:rsidRDefault="003F11D9" w:rsidP="000E5A42">
            <w:pPr>
              <w:spacing w:line="480" w:lineRule="atLeast"/>
              <w:rPr>
                <w:rFonts w:ascii="宋体" w:hAnsi="宋体"/>
                <w:kern w:val="0"/>
                <w:sz w:val="24"/>
                <w:szCs w:val="24"/>
              </w:rPr>
            </w:pPr>
            <w:r w:rsidRPr="009D4F54">
              <w:rPr>
                <w:rFonts w:ascii="宋体" w:hAnsi="宋体"/>
                <w:kern w:val="0"/>
                <w:sz w:val="24"/>
                <w:szCs w:val="24"/>
              </w:rPr>
              <w:t>20</w:t>
            </w:r>
            <w:r w:rsidR="000E5A42" w:rsidRPr="009D4F54">
              <w:rPr>
                <w:rFonts w:ascii="宋体" w:hAnsi="宋体"/>
                <w:kern w:val="0"/>
                <w:sz w:val="24"/>
                <w:szCs w:val="24"/>
              </w:rPr>
              <w:t>20</w:t>
            </w:r>
            <w:r w:rsidRPr="009D4F54">
              <w:rPr>
                <w:rFonts w:ascii="宋体" w:hAnsi="宋体" w:hint="eastAsia"/>
                <w:kern w:val="0"/>
                <w:sz w:val="24"/>
                <w:szCs w:val="24"/>
              </w:rPr>
              <w:t>年</w:t>
            </w:r>
            <w:r w:rsidR="00971C33" w:rsidRPr="009D4F54">
              <w:rPr>
                <w:rFonts w:ascii="宋体" w:hAnsi="宋体"/>
                <w:kern w:val="0"/>
                <w:sz w:val="24"/>
                <w:szCs w:val="24"/>
              </w:rPr>
              <w:t>12</w:t>
            </w:r>
            <w:r w:rsidRPr="009D4F54">
              <w:rPr>
                <w:rFonts w:ascii="宋体" w:hAnsi="宋体" w:hint="eastAsia"/>
                <w:kern w:val="0"/>
                <w:sz w:val="24"/>
                <w:szCs w:val="24"/>
              </w:rPr>
              <w:t>月</w:t>
            </w:r>
            <w:r w:rsidR="000E5A42" w:rsidRPr="009D4F54">
              <w:rPr>
                <w:rFonts w:ascii="宋体" w:hAnsi="宋体"/>
                <w:kern w:val="0"/>
                <w:sz w:val="24"/>
                <w:szCs w:val="24"/>
              </w:rPr>
              <w:t>5</w:t>
            </w:r>
            <w:r w:rsidRPr="009D4F54">
              <w:rPr>
                <w:rFonts w:ascii="宋体" w:hAnsi="宋体" w:hint="eastAsia"/>
                <w:kern w:val="0"/>
                <w:sz w:val="24"/>
                <w:szCs w:val="24"/>
              </w:rPr>
              <w:t xml:space="preserve">日 </w:t>
            </w:r>
            <w:r w:rsidR="009D4F54" w:rsidRPr="009D4F54">
              <w:rPr>
                <w:rFonts w:ascii="宋体" w:hAnsi="宋体"/>
                <w:kern w:val="0"/>
                <w:sz w:val="24"/>
                <w:szCs w:val="24"/>
              </w:rPr>
              <w:t>10</w:t>
            </w:r>
            <w:r w:rsidR="009D4F54" w:rsidRPr="009D4F54">
              <w:rPr>
                <w:rFonts w:ascii="宋体" w:hAnsi="宋体" w:hint="eastAsia"/>
                <w:kern w:val="0"/>
                <w:sz w:val="24"/>
                <w:szCs w:val="24"/>
              </w:rPr>
              <w:t>:</w:t>
            </w:r>
            <w:r w:rsidR="009D4F54" w:rsidRPr="009D4F54">
              <w:rPr>
                <w:rFonts w:ascii="宋体" w:hAnsi="宋体"/>
                <w:kern w:val="0"/>
                <w:sz w:val="24"/>
                <w:szCs w:val="24"/>
              </w:rPr>
              <w:t>00</w:t>
            </w:r>
          </w:p>
        </w:tc>
      </w:tr>
      <w:tr w:rsidR="008F180C" w14:paraId="39313634" w14:textId="77777777" w:rsidTr="008B2D60">
        <w:tc>
          <w:tcPr>
            <w:tcW w:w="1696" w:type="dxa"/>
          </w:tcPr>
          <w:p w14:paraId="41D173A8" w14:textId="77777777" w:rsidR="008F180C" w:rsidRDefault="003F11D9">
            <w:pPr>
              <w:spacing w:line="480" w:lineRule="atLeast"/>
              <w:rPr>
                <w:rFonts w:ascii="宋体" w:hAnsi="宋体"/>
                <w:b/>
                <w:bCs/>
                <w:iCs/>
                <w:kern w:val="0"/>
                <w:sz w:val="24"/>
                <w:szCs w:val="24"/>
              </w:rPr>
            </w:pPr>
            <w:r>
              <w:rPr>
                <w:rFonts w:ascii="宋体" w:hAnsi="宋体" w:hint="eastAsia"/>
                <w:b/>
                <w:bCs/>
                <w:iCs/>
                <w:kern w:val="0"/>
                <w:sz w:val="24"/>
                <w:szCs w:val="24"/>
              </w:rPr>
              <w:t>地点</w:t>
            </w:r>
          </w:p>
        </w:tc>
        <w:tc>
          <w:tcPr>
            <w:tcW w:w="6826" w:type="dxa"/>
          </w:tcPr>
          <w:p w14:paraId="1B4ECD93" w14:textId="6C7EEA87" w:rsidR="008F180C" w:rsidRPr="009D4F54" w:rsidRDefault="00E510A5" w:rsidP="003A5376">
            <w:pPr>
              <w:spacing w:line="480" w:lineRule="atLeast"/>
              <w:rPr>
                <w:rFonts w:ascii="宋体" w:hAnsi="宋体"/>
                <w:kern w:val="0"/>
                <w:sz w:val="24"/>
                <w:szCs w:val="24"/>
              </w:rPr>
            </w:pPr>
            <w:r w:rsidRPr="009D4F54">
              <w:rPr>
                <w:rFonts w:ascii="宋体" w:hAnsi="宋体" w:hint="eastAsia"/>
                <w:kern w:val="0"/>
                <w:sz w:val="24"/>
                <w:szCs w:val="24"/>
              </w:rPr>
              <w:t>海口全球贸易之窗</w:t>
            </w:r>
            <w:r w:rsidR="003F11D9" w:rsidRPr="009D4F54">
              <w:rPr>
                <w:rFonts w:ascii="宋体" w:hAnsi="宋体" w:hint="eastAsia"/>
                <w:kern w:val="0"/>
                <w:sz w:val="24"/>
                <w:szCs w:val="24"/>
              </w:rPr>
              <w:t>会议室</w:t>
            </w:r>
          </w:p>
        </w:tc>
      </w:tr>
      <w:tr w:rsidR="008F180C" w14:paraId="195BBD48" w14:textId="77777777" w:rsidTr="008B2D60">
        <w:tc>
          <w:tcPr>
            <w:tcW w:w="1696" w:type="dxa"/>
          </w:tcPr>
          <w:p w14:paraId="2FF92C67" w14:textId="77777777" w:rsidR="008F180C" w:rsidRDefault="003F11D9">
            <w:pPr>
              <w:spacing w:line="480" w:lineRule="atLeast"/>
              <w:rPr>
                <w:rFonts w:ascii="宋体" w:hAnsi="宋体"/>
                <w:b/>
                <w:bCs/>
                <w:iCs/>
                <w:kern w:val="0"/>
                <w:sz w:val="24"/>
                <w:szCs w:val="24"/>
              </w:rPr>
            </w:pPr>
            <w:r>
              <w:rPr>
                <w:rFonts w:ascii="宋体" w:hAnsi="宋体" w:hint="eastAsia"/>
                <w:b/>
                <w:bCs/>
                <w:iCs/>
                <w:kern w:val="0"/>
                <w:sz w:val="24"/>
                <w:szCs w:val="24"/>
              </w:rPr>
              <w:t>公司接待人员姓名</w:t>
            </w:r>
          </w:p>
        </w:tc>
        <w:tc>
          <w:tcPr>
            <w:tcW w:w="6826" w:type="dxa"/>
          </w:tcPr>
          <w:p w14:paraId="05293826" w14:textId="7A01487C" w:rsidR="008F180C" w:rsidRDefault="00971C33">
            <w:pPr>
              <w:spacing w:line="480" w:lineRule="atLeast"/>
              <w:rPr>
                <w:rFonts w:ascii="宋体" w:hAnsi="宋体"/>
                <w:bCs/>
                <w:iCs/>
                <w:kern w:val="0"/>
                <w:sz w:val="24"/>
                <w:szCs w:val="24"/>
              </w:rPr>
            </w:pPr>
            <w:r w:rsidRPr="00971C33">
              <w:rPr>
                <w:rFonts w:ascii="宋体" w:hAnsi="宋体" w:hint="eastAsia"/>
                <w:kern w:val="0"/>
                <w:sz w:val="24"/>
                <w:szCs w:val="24"/>
              </w:rPr>
              <w:t>副总经理 刘宝、副总经理</w:t>
            </w:r>
            <w:r>
              <w:rPr>
                <w:rFonts w:ascii="宋体" w:hAnsi="宋体" w:hint="eastAsia"/>
                <w:kern w:val="0"/>
                <w:sz w:val="24"/>
                <w:szCs w:val="24"/>
              </w:rPr>
              <w:t>兼</w:t>
            </w:r>
            <w:r w:rsidRPr="00971C33">
              <w:rPr>
                <w:rFonts w:ascii="宋体" w:hAnsi="宋体" w:hint="eastAsia"/>
                <w:kern w:val="0"/>
                <w:sz w:val="24"/>
                <w:szCs w:val="24"/>
              </w:rPr>
              <w:t>董秘 周军</w:t>
            </w:r>
          </w:p>
        </w:tc>
      </w:tr>
      <w:tr w:rsidR="008F180C" w14:paraId="44BCDE2D" w14:textId="77777777" w:rsidTr="008B2D60">
        <w:trPr>
          <w:trHeight w:val="1125"/>
        </w:trPr>
        <w:tc>
          <w:tcPr>
            <w:tcW w:w="1696" w:type="dxa"/>
            <w:vAlign w:val="center"/>
          </w:tcPr>
          <w:p w14:paraId="6F7944D3" w14:textId="77777777" w:rsidR="008F180C" w:rsidRDefault="003F11D9">
            <w:pPr>
              <w:spacing w:line="480" w:lineRule="atLeast"/>
              <w:rPr>
                <w:rFonts w:ascii="宋体" w:hAnsi="宋体"/>
                <w:b/>
                <w:bCs/>
                <w:iCs/>
                <w:kern w:val="0"/>
                <w:sz w:val="24"/>
                <w:szCs w:val="24"/>
              </w:rPr>
            </w:pPr>
            <w:r>
              <w:rPr>
                <w:rFonts w:ascii="宋体" w:hAnsi="宋体" w:hint="eastAsia"/>
                <w:b/>
                <w:bCs/>
                <w:iCs/>
                <w:kern w:val="0"/>
                <w:sz w:val="24"/>
                <w:szCs w:val="24"/>
              </w:rPr>
              <w:t>投资者关系活动主要内容介绍</w:t>
            </w:r>
          </w:p>
          <w:p w14:paraId="1A525268" w14:textId="77777777" w:rsidR="008F180C" w:rsidRDefault="008F180C">
            <w:pPr>
              <w:spacing w:line="480" w:lineRule="atLeast"/>
              <w:rPr>
                <w:rFonts w:ascii="宋体" w:hAnsi="宋体"/>
                <w:b/>
                <w:bCs/>
                <w:iCs/>
                <w:kern w:val="0"/>
                <w:sz w:val="24"/>
                <w:szCs w:val="24"/>
              </w:rPr>
            </w:pPr>
          </w:p>
        </w:tc>
        <w:tc>
          <w:tcPr>
            <w:tcW w:w="6826" w:type="dxa"/>
          </w:tcPr>
          <w:p w14:paraId="31366A56" w14:textId="3AEEA3DC" w:rsidR="00971C33" w:rsidRPr="00971C33" w:rsidRDefault="00971C33" w:rsidP="00971C33">
            <w:pPr>
              <w:rPr>
                <w:rFonts w:ascii="宋体" w:hAnsi="宋体"/>
                <w:b/>
                <w:bCs/>
                <w:sz w:val="24"/>
                <w:szCs w:val="24"/>
              </w:rPr>
            </w:pPr>
            <w:r w:rsidRPr="00971C33">
              <w:rPr>
                <w:rFonts w:ascii="宋体" w:hAnsi="宋体" w:hint="eastAsia"/>
                <w:b/>
                <w:bCs/>
                <w:sz w:val="24"/>
                <w:szCs w:val="24"/>
              </w:rPr>
              <w:t>一</w:t>
            </w:r>
            <w:r w:rsidRPr="00971C33">
              <w:rPr>
                <w:rFonts w:ascii="宋体" w:hAnsi="宋体"/>
                <w:b/>
                <w:bCs/>
                <w:sz w:val="24"/>
                <w:szCs w:val="24"/>
              </w:rPr>
              <w:t>、介绍目前公司主要业务的发展情况</w:t>
            </w:r>
          </w:p>
          <w:p w14:paraId="0F9A3651" w14:textId="3DF7358B" w:rsidR="00971C33" w:rsidRPr="00D81E74" w:rsidRDefault="00971C33" w:rsidP="00971C33">
            <w:pPr>
              <w:ind w:firstLineChars="200" w:firstLine="480"/>
              <w:rPr>
                <w:rFonts w:ascii="宋体" w:hAnsi="宋体"/>
                <w:sz w:val="24"/>
                <w:szCs w:val="24"/>
              </w:rPr>
            </w:pPr>
            <w:r w:rsidRPr="00D81E74">
              <w:rPr>
                <w:rFonts w:ascii="宋体" w:hAnsi="宋体" w:hint="eastAsia"/>
                <w:sz w:val="24"/>
                <w:szCs w:val="24"/>
              </w:rPr>
              <w:t>公司目前重点发展幕墙与内装工程、光伏玻璃、特种玻璃深加工三大产业。公司总部位于深圳，在安徽蚌</w:t>
            </w:r>
            <w:r w:rsidRPr="00D81E74">
              <w:rPr>
                <w:rFonts w:ascii="宋体" w:hAnsi="宋体"/>
                <w:sz w:val="24"/>
                <w:szCs w:val="24"/>
              </w:rPr>
              <w:t>埠、海南文昌、广东惠州、深圳、珠海、上海、北京等地建立了生产基地。</w:t>
            </w:r>
            <w:r w:rsidRPr="00D81E74">
              <w:rPr>
                <w:rFonts w:ascii="宋体" w:hAnsi="宋体" w:hint="eastAsia"/>
                <w:sz w:val="24"/>
                <w:szCs w:val="24"/>
              </w:rPr>
              <w:t>幕墙与内装工程主要包括幕墙工程、装饰装修等，业务范围覆盖全国乃至港澳、东南亚、欧美、中东、西亚等国家及地区，专注于高端幕墙工程的设计、生产、施工、维护服务等，重点在政府公建、高层建筑、购物中心等项目进一步深耕。在强化幕墙产业品牌的同时，三鑫科技</w:t>
            </w:r>
            <w:r w:rsidRPr="00D81E74">
              <w:rPr>
                <w:rFonts w:ascii="宋体" w:hAnsi="宋体"/>
                <w:sz w:val="24"/>
                <w:szCs w:val="24"/>
              </w:rPr>
              <w:t>逐步利用幕墙业务现有客户、项目资源，延伸开发内装市场，内装业务开始逐步加强</w:t>
            </w:r>
            <w:r w:rsidRPr="00D81E74">
              <w:rPr>
                <w:rFonts w:ascii="宋体" w:hAnsi="宋体" w:hint="eastAsia"/>
                <w:sz w:val="24"/>
                <w:szCs w:val="24"/>
              </w:rPr>
              <w:t>。公司光伏玻璃产品已由</w:t>
            </w:r>
            <w:r w:rsidRPr="00D81E74">
              <w:rPr>
                <w:rFonts w:ascii="宋体" w:hAnsi="宋体"/>
                <w:sz w:val="24"/>
                <w:szCs w:val="24"/>
              </w:rPr>
              <w:t>AR光伏玻璃向双玻组件、双层镀膜等高品质、高透玻璃产品延伸，持续推进智能制造与生产线自动化改造。</w:t>
            </w:r>
            <w:r w:rsidRPr="00D81E74">
              <w:rPr>
                <w:rFonts w:ascii="宋体" w:hAnsi="宋体" w:hint="eastAsia"/>
                <w:sz w:val="24"/>
                <w:szCs w:val="24"/>
              </w:rPr>
              <w:t>公司不断提高玻璃深加工业务技术优势，充分发挥品牌和技术优势，扩大市场规模。</w:t>
            </w:r>
          </w:p>
          <w:p w14:paraId="2A22896F" w14:textId="77777777" w:rsidR="00971C33" w:rsidRPr="00D81E74" w:rsidRDefault="00971C33" w:rsidP="00971C33">
            <w:pPr>
              <w:rPr>
                <w:rFonts w:ascii="宋体" w:hAnsi="宋体"/>
                <w:sz w:val="24"/>
                <w:szCs w:val="24"/>
              </w:rPr>
            </w:pPr>
          </w:p>
          <w:p w14:paraId="09FF3028" w14:textId="3D67385E" w:rsidR="00971C33" w:rsidRPr="00971C33" w:rsidRDefault="00971C33" w:rsidP="00971C33">
            <w:pPr>
              <w:rPr>
                <w:rFonts w:ascii="宋体" w:hAnsi="宋体"/>
                <w:b/>
                <w:bCs/>
                <w:sz w:val="24"/>
                <w:szCs w:val="24"/>
              </w:rPr>
            </w:pPr>
            <w:r w:rsidRPr="00971C33">
              <w:rPr>
                <w:rFonts w:ascii="宋体" w:hAnsi="宋体" w:hint="eastAsia"/>
                <w:b/>
                <w:bCs/>
                <w:sz w:val="24"/>
                <w:szCs w:val="24"/>
              </w:rPr>
              <w:t>二</w:t>
            </w:r>
            <w:r w:rsidRPr="00971C33">
              <w:rPr>
                <w:rFonts w:ascii="宋体" w:hAnsi="宋体"/>
                <w:b/>
                <w:bCs/>
                <w:sz w:val="24"/>
                <w:szCs w:val="24"/>
              </w:rPr>
              <w:t>、收购海南国善实业有限责任公司股权，开展商业综合体建设和运营是出于什么考虑</w:t>
            </w:r>
            <w:r w:rsidRPr="00971C33">
              <w:rPr>
                <w:rFonts w:ascii="宋体" w:hAnsi="宋体" w:hint="eastAsia"/>
                <w:b/>
                <w:bCs/>
                <w:sz w:val="24"/>
                <w:szCs w:val="24"/>
              </w:rPr>
              <w:t>？</w:t>
            </w:r>
          </w:p>
          <w:p w14:paraId="584ECF17" w14:textId="77777777" w:rsidR="00971C33" w:rsidRDefault="00971C33" w:rsidP="00971C33">
            <w:pPr>
              <w:ind w:firstLineChars="200" w:firstLine="480"/>
              <w:rPr>
                <w:rFonts w:ascii="宋体" w:hAnsi="宋体"/>
                <w:sz w:val="24"/>
                <w:szCs w:val="24"/>
              </w:rPr>
            </w:pPr>
            <w:r w:rsidRPr="00D81E74">
              <w:rPr>
                <w:rFonts w:ascii="宋体" w:hAnsi="宋体"/>
                <w:sz w:val="24"/>
                <w:szCs w:val="24"/>
              </w:rPr>
              <w:lastRenderedPageBreak/>
              <w:t>1、共享海南自贸港和粤港澳大湾区重大战略机遇</w:t>
            </w:r>
            <w:r w:rsidRPr="00D81E74">
              <w:rPr>
                <w:rFonts w:ascii="宋体" w:hAnsi="宋体" w:hint="eastAsia"/>
                <w:sz w:val="24"/>
                <w:szCs w:val="24"/>
              </w:rPr>
              <w:t>海南自由贸易港建设与粤港澳大湾区建设是推动新时代我国区域经济发展和高水平对外开放的新举措，实施本次非公开发行有利于海南发展享受海南自贸港及粤港澳大湾区联动发展的战略机遇，通过本次非公开发行募投项目的实施，海南发展能够充分利用控股股东在海南省的资源优势，投身海南自贸港建设并实现对免税消费、商业地产等业务领域的先发布局。海南控股在海南省内主导或参与众多大型建筑施工项目，对海南发展所从事的玻璃幕墙业务需求旺盛，拥有较好的客户资源优势，通过本次非公开发行，上市公司能够进一步拉紧与控股股东的股权纽带，提升上市公司现有的玻璃幕墙业务与海南控股的区域综合开发业务的协同效应。</w:t>
            </w:r>
          </w:p>
          <w:p w14:paraId="46916F3A" w14:textId="388BA2B5" w:rsidR="00971C33" w:rsidRDefault="00971C33" w:rsidP="00971C33">
            <w:pPr>
              <w:ind w:firstLineChars="200" w:firstLine="480"/>
              <w:rPr>
                <w:rFonts w:ascii="宋体" w:hAnsi="宋体"/>
                <w:sz w:val="24"/>
                <w:szCs w:val="24"/>
              </w:rPr>
            </w:pPr>
            <w:r w:rsidRPr="00D81E74">
              <w:rPr>
                <w:rFonts w:ascii="宋体" w:hAnsi="宋体"/>
                <w:sz w:val="24"/>
                <w:szCs w:val="24"/>
              </w:rPr>
              <w:t>2、拓展商业、办公综合体的建设和运营领域，打造海口市高标准免税消费</w:t>
            </w:r>
            <w:r w:rsidRPr="00D81E74">
              <w:rPr>
                <w:rFonts w:ascii="宋体" w:hAnsi="宋体" w:hint="eastAsia"/>
                <w:sz w:val="24"/>
                <w:szCs w:val="24"/>
              </w:rPr>
              <w:t>购物中心和高质量总部经济展示窗口为了促进自贸港建设，海南省推出多项贸易投资自由便利措施、生产要素跨境流动措施（尤其是跨境金融、人才引进）、现代产业体系规划、特殊税收制度等多方面的政策措施。一方面，随着海南离岛旅客免税购物新规落地，离岛免税消费金额连创新高，位于城市核心区域以免税为特色的商业地产项目将因其稀缺性拥有良好的开发运营前景。另一方面，自贸港通过税收优惠、人才引进政策吸引了来自世界各地的跨国企业、金融机构、大型总部集团入驻，总部经济快速催生高端写字楼营商需求。本次非公开发行募集资金将用于收购国善实业</w:t>
            </w:r>
            <w:r w:rsidRPr="00D81E74">
              <w:rPr>
                <w:rFonts w:ascii="宋体" w:hAnsi="宋体"/>
                <w:sz w:val="24"/>
                <w:szCs w:val="24"/>
              </w:rPr>
              <w:t>100%股权及投资建设海口</w:t>
            </w:r>
            <w:r w:rsidRPr="00D81E74">
              <w:rPr>
                <w:rFonts w:ascii="宋体" w:hAnsi="宋体" w:hint="eastAsia"/>
                <w:sz w:val="24"/>
                <w:szCs w:val="24"/>
              </w:rPr>
              <w:t>市大英山新城市中心区</w:t>
            </w:r>
            <w:r w:rsidRPr="00D81E74">
              <w:rPr>
                <w:rFonts w:ascii="宋体" w:hAnsi="宋体"/>
                <w:sz w:val="24"/>
                <w:szCs w:val="24"/>
              </w:rPr>
              <w:t>D01地块办公商业综合体项目，打造海口市高标准免税</w:t>
            </w:r>
            <w:r w:rsidRPr="00D81E74">
              <w:rPr>
                <w:rFonts w:ascii="宋体" w:hAnsi="宋体" w:hint="eastAsia"/>
                <w:sz w:val="24"/>
                <w:szCs w:val="24"/>
              </w:rPr>
              <w:t>消费购物中心和高质量总部经济展示窗口，项目的实施将推动上市公司在原有产业基础上逐步向商业、办公综合体的建设和运营领域拓展。</w:t>
            </w:r>
          </w:p>
          <w:p w14:paraId="674BC4F0" w14:textId="48AB96B3" w:rsidR="008F6FE5" w:rsidRPr="00D81E74" w:rsidRDefault="008F6FE5" w:rsidP="00971C33">
            <w:pPr>
              <w:ind w:firstLineChars="200" w:firstLine="480"/>
              <w:rPr>
                <w:rFonts w:ascii="宋体" w:hAnsi="宋体"/>
                <w:sz w:val="24"/>
                <w:szCs w:val="24"/>
              </w:rPr>
            </w:pPr>
            <w:r w:rsidRPr="008F6FE5">
              <w:rPr>
                <w:rFonts w:ascii="宋体" w:hAnsi="宋体"/>
                <w:sz w:val="24"/>
                <w:szCs w:val="24"/>
              </w:rPr>
              <w:t>收购国善股权是公司非公开发行的募投项目，目前正在积极推进本次非公开发行各项资料的准备，上报证监会受理后公司会及时公告。</w:t>
            </w:r>
          </w:p>
          <w:p w14:paraId="5464CD20" w14:textId="77777777" w:rsidR="00971C33" w:rsidRPr="00D81E74" w:rsidRDefault="00971C33" w:rsidP="00971C33">
            <w:pPr>
              <w:rPr>
                <w:rFonts w:ascii="宋体" w:hAnsi="宋体"/>
                <w:sz w:val="24"/>
                <w:szCs w:val="24"/>
              </w:rPr>
            </w:pPr>
          </w:p>
          <w:p w14:paraId="3A1E2249" w14:textId="77777777" w:rsidR="00971C33" w:rsidRPr="00971C33" w:rsidRDefault="00971C33" w:rsidP="00971C33">
            <w:pPr>
              <w:rPr>
                <w:rFonts w:ascii="宋体" w:hAnsi="宋体"/>
                <w:b/>
                <w:bCs/>
                <w:sz w:val="24"/>
                <w:szCs w:val="24"/>
              </w:rPr>
            </w:pPr>
            <w:r w:rsidRPr="00971C33">
              <w:rPr>
                <w:rFonts w:ascii="宋体" w:hAnsi="宋体" w:hint="eastAsia"/>
                <w:b/>
                <w:bCs/>
                <w:sz w:val="24"/>
                <w:szCs w:val="24"/>
              </w:rPr>
              <w:t>三</w:t>
            </w:r>
            <w:r w:rsidRPr="00971C33">
              <w:rPr>
                <w:rFonts w:ascii="宋体" w:hAnsi="宋体"/>
                <w:b/>
                <w:bCs/>
                <w:sz w:val="24"/>
                <w:szCs w:val="24"/>
              </w:rPr>
              <w:t>、公司未来的发展方向和计划？</w:t>
            </w:r>
          </w:p>
          <w:p w14:paraId="3116264F" w14:textId="77777777" w:rsidR="00971C33" w:rsidRPr="00D81E74" w:rsidRDefault="00971C33" w:rsidP="00971C33">
            <w:pPr>
              <w:ind w:firstLineChars="200" w:firstLine="480"/>
              <w:rPr>
                <w:rFonts w:ascii="宋体" w:hAnsi="宋体"/>
                <w:sz w:val="24"/>
                <w:szCs w:val="24"/>
              </w:rPr>
            </w:pPr>
            <w:r w:rsidRPr="00D81E74">
              <w:rPr>
                <w:rFonts w:ascii="宋体" w:hAnsi="宋体" w:hint="eastAsia"/>
                <w:sz w:val="24"/>
                <w:szCs w:val="24"/>
              </w:rPr>
              <w:t>1、以提高发展质量为核心，提升公司在幕墙工程、光伏玻璃及深加工领域的核心竞争力，幕墙工程、光伏玻璃及深加工是公司主要业务领域。</w:t>
            </w:r>
          </w:p>
          <w:p w14:paraId="39C86BBB" w14:textId="77777777" w:rsidR="00971C33" w:rsidRPr="00D81E74" w:rsidRDefault="00971C33" w:rsidP="00971C33">
            <w:pPr>
              <w:ind w:firstLineChars="200" w:firstLine="480"/>
              <w:rPr>
                <w:rFonts w:ascii="宋体" w:hAnsi="宋体"/>
                <w:sz w:val="24"/>
                <w:szCs w:val="24"/>
              </w:rPr>
            </w:pPr>
            <w:r w:rsidRPr="00D81E74">
              <w:rPr>
                <w:rFonts w:ascii="宋体" w:hAnsi="宋体" w:hint="eastAsia"/>
                <w:sz w:val="24"/>
                <w:szCs w:val="24"/>
              </w:rPr>
              <w:t>2、积极推进公司新业务的发展，争取海南自贸港建设的各种有利资源以及政策支持，抓住发展机遇，促进公司在商业地产运营方面的拓展。</w:t>
            </w:r>
          </w:p>
          <w:p w14:paraId="58D9C644" w14:textId="77777777" w:rsidR="00971C33" w:rsidRPr="00D81E74" w:rsidRDefault="00971C33" w:rsidP="00971C33">
            <w:pPr>
              <w:rPr>
                <w:rFonts w:ascii="宋体" w:hAnsi="宋体"/>
                <w:sz w:val="24"/>
                <w:szCs w:val="24"/>
              </w:rPr>
            </w:pPr>
          </w:p>
          <w:p w14:paraId="3597F6AB" w14:textId="77777777" w:rsidR="00971C33" w:rsidRPr="00971C33" w:rsidRDefault="00971C33" w:rsidP="00971C33">
            <w:pPr>
              <w:rPr>
                <w:rFonts w:ascii="宋体" w:hAnsi="宋体"/>
                <w:b/>
                <w:bCs/>
                <w:sz w:val="24"/>
                <w:szCs w:val="24"/>
              </w:rPr>
            </w:pPr>
            <w:r w:rsidRPr="00971C33">
              <w:rPr>
                <w:rFonts w:ascii="宋体" w:hAnsi="宋体" w:hint="eastAsia"/>
                <w:b/>
                <w:bCs/>
                <w:sz w:val="24"/>
                <w:szCs w:val="24"/>
              </w:rPr>
              <w:t>四</w:t>
            </w:r>
            <w:r w:rsidRPr="00971C33">
              <w:rPr>
                <w:rFonts w:ascii="宋体" w:hAnsi="宋体"/>
                <w:b/>
                <w:bCs/>
                <w:sz w:val="24"/>
                <w:szCs w:val="24"/>
              </w:rPr>
              <w:t>、海南自贸区新政策对公司的影响？</w:t>
            </w:r>
          </w:p>
          <w:p w14:paraId="21DEE167" w14:textId="77777777" w:rsidR="00971C33" w:rsidRPr="00D81E74" w:rsidRDefault="00971C33" w:rsidP="00971C33">
            <w:pPr>
              <w:ind w:firstLineChars="200" w:firstLine="480"/>
              <w:rPr>
                <w:rFonts w:ascii="宋体" w:hAnsi="宋体"/>
                <w:sz w:val="24"/>
                <w:szCs w:val="24"/>
              </w:rPr>
            </w:pPr>
            <w:r w:rsidRPr="00D81E74">
              <w:rPr>
                <w:rFonts w:ascii="宋体" w:hAnsi="宋体" w:hint="eastAsia"/>
                <w:sz w:val="24"/>
                <w:szCs w:val="24"/>
              </w:rPr>
              <w:t>1、具体业务发展，海南自贸港建设的快速推进，对公司幕墙工程等建筑装饰类业务带来良好的发展机遇，公司也专门设立部门、分支机构深耕海南地区业务，取得了良好的进展。</w:t>
            </w:r>
          </w:p>
          <w:p w14:paraId="2161EC8F" w14:textId="01FB7C4F" w:rsidR="008F180C" w:rsidRPr="00971C33" w:rsidRDefault="00971C33" w:rsidP="00971C33">
            <w:pPr>
              <w:ind w:firstLineChars="200" w:firstLine="480"/>
              <w:rPr>
                <w:rFonts w:ascii="宋体" w:hAnsi="宋体"/>
                <w:sz w:val="24"/>
                <w:szCs w:val="24"/>
              </w:rPr>
            </w:pPr>
            <w:r w:rsidRPr="00D81E74">
              <w:rPr>
                <w:rFonts w:ascii="宋体" w:hAnsi="宋体" w:hint="eastAsia"/>
                <w:sz w:val="24"/>
                <w:szCs w:val="24"/>
              </w:rPr>
              <w:t>2、大的发展趋势与布局来看，海南自贸港的各种新政策，</w:t>
            </w:r>
            <w:r w:rsidRPr="00D81E74">
              <w:rPr>
                <w:rFonts w:ascii="宋体" w:hAnsi="宋体" w:hint="eastAsia"/>
                <w:sz w:val="24"/>
                <w:szCs w:val="24"/>
              </w:rPr>
              <w:lastRenderedPageBreak/>
              <w:t>六个大的自由便利和现代产业体系等对公司业务发展带来新的发展机会，公司要专门研究这些政策，充分用好政策。</w:t>
            </w:r>
            <w:r w:rsidR="009D4F54" w:rsidRPr="009D4F54">
              <w:rPr>
                <w:rFonts w:ascii="宋体" w:hAnsi="宋体" w:hint="eastAsia"/>
                <w:sz w:val="24"/>
                <w:szCs w:val="24"/>
              </w:rPr>
              <w:t>本次非公发行募投项目是公司积极抓住海南自贸港建设发展机遇的具体运作，也是公司积极利用控股股东在海南省的资源优势，尝试在海南自贸港布局业务资源争取先发优势的重要举措，更好的适应自贸港建设对于现代服务业发展的需要。</w:t>
            </w:r>
          </w:p>
        </w:tc>
      </w:tr>
      <w:tr w:rsidR="008F180C" w14:paraId="78ACD8C1" w14:textId="77777777" w:rsidTr="008B2D60">
        <w:tc>
          <w:tcPr>
            <w:tcW w:w="1696" w:type="dxa"/>
            <w:vAlign w:val="center"/>
          </w:tcPr>
          <w:p w14:paraId="1CA42EFB" w14:textId="77777777" w:rsidR="008F180C" w:rsidRDefault="003F11D9">
            <w:pPr>
              <w:spacing w:line="480" w:lineRule="atLeast"/>
              <w:rPr>
                <w:rFonts w:ascii="宋体" w:hAnsi="宋体"/>
                <w:b/>
                <w:bCs/>
                <w:iCs/>
                <w:kern w:val="0"/>
                <w:sz w:val="24"/>
                <w:szCs w:val="24"/>
              </w:rPr>
            </w:pPr>
            <w:r>
              <w:rPr>
                <w:rFonts w:ascii="宋体" w:hAnsi="宋体" w:hint="eastAsia"/>
                <w:b/>
                <w:bCs/>
                <w:iCs/>
                <w:kern w:val="0"/>
                <w:sz w:val="24"/>
                <w:szCs w:val="24"/>
              </w:rPr>
              <w:lastRenderedPageBreak/>
              <w:t>附件清单（如有）</w:t>
            </w:r>
          </w:p>
        </w:tc>
        <w:tc>
          <w:tcPr>
            <w:tcW w:w="6826" w:type="dxa"/>
          </w:tcPr>
          <w:p w14:paraId="61AB035C" w14:textId="77777777" w:rsidR="008F180C" w:rsidRDefault="003F11D9">
            <w:pPr>
              <w:spacing w:line="480" w:lineRule="atLeast"/>
              <w:rPr>
                <w:rFonts w:ascii="宋体" w:hAnsi="宋体"/>
                <w:bCs/>
                <w:iCs/>
                <w:kern w:val="0"/>
                <w:sz w:val="24"/>
                <w:szCs w:val="24"/>
              </w:rPr>
            </w:pPr>
            <w:r>
              <w:rPr>
                <w:rFonts w:ascii="宋体" w:hAnsi="宋体" w:hint="eastAsia"/>
                <w:bCs/>
                <w:iCs/>
                <w:kern w:val="0"/>
                <w:sz w:val="24"/>
                <w:szCs w:val="24"/>
              </w:rPr>
              <w:t>无</w:t>
            </w:r>
          </w:p>
        </w:tc>
      </w:tr>
      <w:tr w:rsidR="008F180C" w14:paraId="0AA0994F" w14:textId="77777777" w:rsidTr="008B2D60">
        <w:tc>
          <w:tcPr>
            <w:tcW w:w="1696" w:type="dxa"/>
            <w:vAlign w:val="center"/>
          </w:tcPr>
          <w:p w14:paraId="1A045961" w14:textId="77777777" w:rsidR="008F180C" w:rsidRDefault="003F11D9">
            <w:pPr>
              <w:spacing w:line="480" w:lineRule="atLeast"/>
              <w:rPr>
                <w:rFonts w:ascii="宋体" w:hAnsi="宋体"/>
                <w:b/>
                <w:bCs/>
                <w:iCs/>
                <w:kern w:val="0"/>
                <w:sz w:val="24"/>
                <w:szCs w:val="24"/>
              </w:rPr>
            </w:pPr>
            <w:r>
              <w:rPr>
                <w:rFonts w:ascii="宋体" w:hAnsi="宋体" w:hint="eastAsia"/>
                <w:b/>
                <w:bCs/>
                <w:iCs/>
                <w:kern w:val="0"/>
                <w:sz w:val="24"/>
                <w:szCs w:val="24"/>
              </w:rPr>
              <w:t>日期</w:t>
            </w:r>
          </w:p>
        </w:tc>
        <w:tc>
          <w:tcPr>
            <w:tcW w:w="6826" w:type="dxa"/>
          </w:tcPr>
          <w:p w14:paraId="33E59C0E" w14:textId="6E5D4CE7" w:rsidR="008F180C" w:rsidRDefault="003F11D9" w:rsidP="003C03F9">
            <w:pPr>
              <w:spacing w:line="480" w:lineRule="atLeast"/>
              <w:rPr>
                <w:rFonts w:ascii="宋体" w:hAnsi="宋体"/>
                <w:bCs/>
                <w:iCs/>
                <w:kern w:val="0"/>
                <w:sz w:val="24"/>
                <w:szCs w:val="24"/>
              </w:rPr>
            </w:pPr>
            <w:r>
              <w:rPr>
                <w:rFonts w:ascii="宋体" w:hAnsi="宋体"/>
                <w:bCs/>
                <w:iCs/>
                <w:kern w:val="0"/>
                <w:sz w:val="24"/>
                <w:szCs w:val="24"/>
              </w:rPr>
              <w:t>20</w:t>
            </w:r>
            <w:r w:rsidR="003C03F9">
              <w:rPr>
                <w:rFonts w:ascii="宋体" w:hAnsi="宋体"/>
                <w:bCs/>
                <w:iCs/>
                <w:kern w:val="0"/>
                <w:sz w:val="24"/>
                <w:szCs w:val="24"/>
              </w:rPr>
              <w:t>20</w:t>
            </w:r>
            <w:r>
              <w:rPr>
                <w:rFonts w:ascii="宋体" w:hAnsi="宋体" w:hint="eastAsia"/>
                <w:bCs/>
                <w:iCs/>
                <w:kern w:val="0"/>
                <w:sz w:val="24"/>
                <w:szCs w:val="24"/>
              </w:rPr>
              <w:t>年</w:t>
            </w:r>
            <w:r w:rsidR="00971C33">
              <w:rPr>
                <w:rFonts w:ascii="宋体" w:hAnsi="宋体"/>
                <w:bCs/>
                <w:iCs/>
                <w:kern w:val="0"/>
                <w:sz w:val="24"/>
                <w:szCs w:val="24"/>
              </w:rPr>
              <w:t>12</w:t>
            </w:r>
            <w:r w:rsidR="00B968D1">
              <w:rPr>
                <w:rFonts w:ascii="宋体" w:hAnsi="宋体"/>
                <w:bCs/>
                <w:iCs/>
                <w:kern w:val="0"/>
                <w:sz w:val="24"/>
                <w:szCs w:val="24"/>
              </w:rPr>
              <w:t>月</w:t>
            </w:r>
            <w:r w:rsidR="00B968D1">
              <w:rPr>
                <w:rFonts w:ascii="宋体" w:hAnsi="宋体" w:hint="eastAsia"/>
                <w:bCs/>
                <w:iCs/>
                <w:kern w:val="0"/>
                <w:sz w:val="24"/>
                <w:szCs w:val="24"/>
              </w:rPr>
              <w:t>5</w:t>
            </w:r>
            <w:r w:rsidR="00B968D1">
              <w:rPr>
                <w:rFonts w:ascii="宋体" w:hAnsi="宋体"/>
                <w:bCs/>
                <w:iCs/>
                <w:kern w:val="0"/>
                <w:sz w:val="24"/>
                <w:szCs w:val="24"/>
              </w:rPr>
              <w:t>日</w:t>
            </w:r>
          </w:p>
        </w:tc>
      </w:tr>
    </w:tbl>
    <w:p w14:paraId="4E262578" w14:textId="77777777" w:rsidR="008F180C" w:rsidRDefault="008F180C"/>
    <w:p w14:paraId="28784828" w14:textId="77777777" w:rsidR="008F180C" w:rsidRDefault="008F180C"/>
    <w:sectPr w:rsidR="008F180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D8866" w14:textId="77777777" w:rsidR="006B3964" w:rsidRDefault="006B3964">
      <w:r>
        <w:separator/>
      </w:r>
    </w:p>
  </w:endnote>
  <w:endnote w:type="continuationSeparator" w:id="0">
    <w:p w14:paraId="4E27D80F" w14:textId="77777777" w:rsidR="006B3964" w:rsidRDefault="006B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1DFAF" w14:textId="7FF86B46" w:rsidR="008F180C" w:rsidRDefault="003F11D9">
    <w:pPr>
      <w:pStyle w:val="a7"/>
      <w:jc w:val="center"/>
    </w:pPr>
    <w:r>
      <w:rPr>
        <w:lang w:val="zh-CN"/>
      </w:rPr>
      <w:t xml:space="preserve"> </w:t>
    </w:r>
    <w:r>
      <w:rPr>
        <w:b/>
        <w:sz w:val="24"/>
        <w:szCs w:val="24"/>
      </w:rPr>
      <w:fldChar w:fldCharType="begin"/>
    </w:r>
    <w:r>
      <w:rPr>
        <w:b/>
      </w:rPr>
      <w:instrText>PAGE</w:instrText>
    </w:r>
    <w:r>
      <w:rPr>
        <w:b/>
        <w:sz w:val="24"/>
        <w:szCs w:val="24"/>
      </w:rPr>
      <w:fldChar w:fldCharType="separate"/>
    </w:r>
    <w:r w:rsidR="00C3051B">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C3051B">
      <w:rPr>
        <w:b/>
        <w:noProof/>
      </w:rPr>
      <w:t>2</w:t>
    </w:r>
    <w:r>
      <w:rPr>
        <w:b/>
        <w:sz w:val="24"/>
        <w:szCs w:val="24"/>
      </w:rPr>
      <w:fldChar w:fldCharType="end"/>
    </w:r>
  </w:p>
  <w:p w14:paraId="3F9EF48C" w14:textId="77777777" w:rsidR="008F180C" w:rsidRDefault="008F180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E854B" w14:textId="77777777" w:rsidR="006B3964" w:rsidRDefault="006B3964">
      <w:r>
        <w:separator/>
      </w:r>
    </w:p>
  </w:footnote>
  <w:footnote w:type="continuationSeparator" w:id="0">
    <w:p w14:paraId="4BC0C5A6" w14:textId="77777777" w:rsidR="006B3964" w:rsidRDefault="006B3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10395F"/>
    <w:multiLevelType w:val="multilevel"/>
    <w:tmpl w:val="5710395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673"/>
    <w:rsid w:val="000056E3"/>
    <w:rsid w:val="00023A83"/>
    <w:rsid w:val="00031ABC"/>
    <w:rsid w:val="00036BF5"/>
    <w:rsid w:val="000373CA"/>
    <w:rsid w:val="00051F66"/>
    <w:rsid w:val="00063F90"/>
    <w:rsid w:val="000737EB"/>
    <w:rsid w:val="00085762"/>
    <w:rsid w:val="0008774A"/>
    <w:rsid w:val="000B0D99"/>
    <w:rsid w:val="000E5A42"/>
    <w:rsid w:val="000F0A63"/>
    <w:rsid w:val="001029BF"/>
    <w:rsid w:val="001162CD"/>
    <w:rsid w:val="00131B84"/>
    <w:rsid w:val="00146093"/>
    <w:rsid w:val="00161E34"/>
    <w:rsid w:val="00171C3F"/>
    <w:rsid w:val="00187A80"/>
    <w:rsid w:val="001972BC"/>
    <w:rsid w:val="001B57BC"/>
    <w:rsid w:val="001B7030"/>
    <w:rsid w:val="001C026F"/>
    <w:rsid w:val="001C05BC"/>
    <w:rsid w:val="001E16F3"/>
    <w:rsid w:val="001F4035"/>
    <w:rsid w:val="001F674B"/>
    <w:rsid w:val="0020406A"/>
    <w:rsid w:val="00224624"/>
    <w:rsid w:val="00243E9A"/>
    <w:rsid w:val="0025115C"/>
    <w:rsid w:val="002709C7"/>
    <w:rsid w:val="002A0DEE"/>
    <w:rsid w:val="002B740C"/>
    <w:rsid w:val="002E4763"/>
    <w:rsid w:val="002F1B1F"/>
    <w:rsid w:val="00311E6B"/>
    <w:rsid w:val="003309CE"/>
    <w:rsid w:val="00342AE9"/>
    <w:rsid w:val="003466C6"/>
    <w:rsid w:val="003A5376"/>
    <w:rsid w:val="003C03F9"/>
    <w:rsid w:val="003E7F27"/>
    <w:rsid w:val="003F11D9"/>
    <w:rsid w:val="00427170"/>
    <w:rsid w:val="00427E16"/>
    <w:rsid w:val="0043001A"/>
    <w:rsid w:val="00437F7F"/>
    <w:rsid w:val="00477D95"/>
    <w:rsid w:val="004D4F56"/>
    <w:rsid w:val="00516417"/>
    <w:rsid w:val="00531751"/>
    <w:rsid w:val="00553125"/>
    <w:rsid w:val="00564B1A"/>
    <w:rsid w:val="005722C4"/>
    <w:rsid w:val="005B610E"/>
    <w:rsid w:val="005C1DB6"/>
    <w:rsid w:val="005C23C2"/>
    <w:rsid w:val="005C3625"/>
    <w:rsid w:val="005C54E7"/>
    <w:rsid w:val="005D041F"/>
    <w:rsid w:val="005E0C2D"/>
    <w:rsid w:val="005E3166"/>
    <w:rsid w:val="005F45C5"/>
    <w:rsid w:val="00631736"/>
    <w:rsid w:val="006B3964"/>
    <w:rsid w:val="006C75B7"/>
    <w:rsid w:val="006D0183"/>
    <w:rsid w:val="006D1687"/>
    <w:rsid w:val="006F5C0B"/>
    <w:rsid w:val="0073746B"/>
    <w:rsid w:val="007515D5"/>
    <w:rsid w:val="007560CE"/>
    <w:rsid w:val="007737C5"/>
    <w:rsid w:val="007B0FD5"/>
    <w:rsid w:val="007B1B16"/>
    <w:rsid w:val="007D0757"/>
    <w:rsid w:val="007E7499"/>
    <w:rsid w:val="00834E5B"/>
    <w:rsid w:val="008717BB"/>
    <w:rsid w:val="00890111"/>
    <w:rsid w:val="008B2D60"/>
    <w:rsid w:val="008F180C"/>
    <w:rsid w:val="008F6FE5"/>
    <w:rsid w:val="00902DA0"/>
    <w:rsid w:val="0093627E"/>
    <w:rsid w:val="009526C3"/>
    <w:rsid w:val="00971C33"/>
    <w:rsid w:val="00980AD2"/>
    <w:rsid w:val="009D4F54"/>
    <w:rsid w:val="009E7230"/>
    <w:rsid w:val="00A153AE"/>
    <w:rsid w:val="00A407D3"/>
    <w:rsid w:val="00A8304F"/>
    <w:rsid w:val="00A94E18"/>
    <w:rsid w:val="00AC56A0"/>
    <w:rsid w:val="00B06AC0"/>
    <w:rsid w:val="00B15287"/>
    <w:rsid w:val="00B30D96"/>
    <w:rsid w:val="00B3475D"/>
    <w:rsid w:val="00B47DE2"/>
    <w:rsid w:val="00B50D67"/>
    <w:rsid w:val="00B77A2B"/>
    <w:rsid w:val="00B808A4"/>
    <w:rsid w:val="00B968D1"/>
    <w:rsid w:val="00BB040D"/>
    <w:rsid w:val="00C117D4"/>
    <w:rsid w:val="00C207C3"/>
    <w:rsid w:val="00C3051B"/>
    <w:rsid w:val="00C510EF"/>
    <w:rsid w:val="00C532E6"/>
    <w:rsid w:val="00C577E7"/>
    <w:rsid w:val="00C94698"/>
    <w:rsid w:val="00CB1CD6"/>
    <w:rsid w:val="00D013EC"/>
    <w:rsid w:val="00D17E08"/>
    <w:rsid w:val="00D366FA"/>
    <w:rsid w:val="00D417CA"/>
    <w:rsid w:val="00D46DF3"/>
    <w:rsid w:val="00D757E7"/>
    <w:rsid w:val="00D873FE"/>
    <w:rsid w:val="00D879BB"/>
    <w:rsid w:val="00D87C5E"/>
    <w:rsid w:val="00DC4089"/>
    <w:rsid w:val="00DF1AC6"/>
    <w:rsid w:val="00DF4689"/>
    <w:rsid w:val="00DF6341"/>
    <w:rsid w:val="00DF64B6"/>
    <w:rsid w:val="00DF6AF0"/>
    <w:rsid w:val="00E27472"/>
    <w:rsid w:val="00E510A5"/>
    <w:rsid w:val="00E60735"/>
    <w:rsid w:val="00E74717"/>
    <w:rsid w:val="00E8006E"/>
    <w:rsid w:val="00E8340A"/>
    <w:rsid w:val="00E95F2C"/>
    <w:rsid w:val="00EE1AFF"/>
    <w:rsid w:val="00F02B00"/>
    <w:rsid w:val="00F10FB9"/>
    <w:rsid w:val="00F62AC5"/>
    <w:rsid w:val="00FA0673"/>
    <w:rsid w:val="067474C1"/>
    <w:rsid w:val="075538EA"/>
    <w:rsid w:val="08D17114"/>
    <w:rsid w:val="09EC7000"/>
    <w:rsid w:val="0EA01E70"/>
    <w:rsid w:val="0EEB1B72"/>
    <w:rsid w:val="1F632215"/>
    <w:rsid w:val="23EE07C2"/>
    <w:rsid w:val="3820040E"/>
    <w:rsid w:val="399B2F13"/>
    <w:rsid w:val="40DA5FF1"/>
    <w:rsid w:val="43EE0C57"/>
    <w:rsid w:val="47EC4844"/>
    <w:rsid w:val="4CFF4950"/>
    <w:rsid w:val="54730659"/>
    <w:rsid w:val="5A002016"/>
    <w:rsid w:val="69C25895"/>
    <w:rsid w:val="705468F6"/>
    <w:rsid w:val="7A366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DFE73"/>
  <w15:docId w15:val="{F91C8198-B7A7-45A9-8D04-382A3D90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character" w:customStyle="1" w:styleId="a4">
    <w:name w:val="批注文字 字符"/>
    <w:basedOn w:val="a0"/>
    <w:link w:val="a3"/>
    <w:uiPriority w:val="99"/>
    <w:qFormat/>
    <w:rPr>
      <w:rFonts w:ascii="Times New Roman" w:eastAsia="宋体" w:hAnsi="Times New Roman" w:cs="Times New Roman"/>
      <w:szCs w:val="20"/>
    </w:rPr>
  </w:style>
  <w:style w:type="character" w:customStyle="1" w:styleId="ac">
    <w:name w:val="批注主题 字符"/>
    <w:basedOn w:val="a4"/>
    <w:link w:val="ab"/>
    <w:uiPriority w:val="99"/>
    <w:semiHidden/>
    <w:qFormat/>
    <w:rPr>
      <w:rFonts w:ascii="Times New Roman" w:eastAsia="宋体" w:hAnsi="Times New Roman" w:cs="Times New Roman"/>
      <w:b/>
      <w:bCs/>
      <w:szCs w:val="20"/>
    </w:rPr>
  </w:style>
  <w:style w:type="paragraph" w:styleId="ae">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760F95-FE39-4994-ACC2-F4BA0F730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冯琳琳</cp:lastModifiedBy>
  <cp:revision>8</cp:revision>
  <cp:lastPrinted>2019-05-16T08:56:00Z</cp:lastPrinted>
  <dcterms:created xsi:type="dcterms:W3CDTF">2020-11-26T08:03:00Z</dcterms:created>
  <dcterms:modified xsi:type="dcterms:W3CDTF">2020-12-07T09:26:00Z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