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86989" w14:textId="61057A14" w:rsidR="005429DA" w:rsidRPr="004865EF" w:rsidRDefault="005429DA" w:rsidP="005429DA">
      <w:pPr>
        <w:autoSpaceDE w:val="0"/>
        <w:autoSpaceDN w:val="0"/>
        <w:adjustRightInd w:val="0"/>
        <w:jc w:val="left"/>
        <w:rPr>
          <w:rFonts w:ascii="Times New Roman" w:eastAsia="华文中宋" w:hAnsi="Times New Roman" w:cs="Times New Roman"/>
          <w:kern w:val="0"/>
          <w:sz w:val="32"/>
        </w:rPr>
      </w:pPr>
    </w:p>
    <w:p w14:paraId="64E5A3C1" w14:textId="793AB5CE" w:rsidR="005429DA" w:rsidRPr="004865EF" w:rsidRDefault="005429DA" w:rsidP="005429DA">
      <w:pPr>
        <w:autoSpaceDE w:val="0"/>
        <w:autoSpaceDN w:val="0"/>
        <w:adjustRightInd w:val="0"/>
        <w:jc w:val="center"/>
        <w:rPr>
          <w:rFonts w:ascii="Times New Roman" w:eastAsia="华文中宋" w:hAnsi="Times New Roman" w:cs="Times New Roman"/>
          <w:kern w:val="0"/>
          <w:sz w:val="32"/>
        </w:rPr>
      </w:pPr>
    </w:p>
    <w:p w14:paraId="423E9411" w14:textId="31E6B8F1" w:rsidR="005429DA" w:rsidRPr="004865EF" w:rsidRDefault="005429DA" w:rsidP="005429DA">
      <w:pPr>
        <w:autoSpaceDE w:val="0"/>
        <w:autoSpaceDN w:val="0"/>
        <w:adjustRightInd w:val="0"/>
        <w:spacing w:line="360" w:lineRule="auto"/>
        <w:jc w:val="center"/>
        <w:rPr>
          <w:rFonts w:ascii="Times New Roman" w:eastAsia="华文中宋" w:hAnsi="Times New Roman" w:cs="Times New Roman"/>
          <w:b/>
          <w:kern w:val="0"/>
          <w:sz w:val="40"/>
        </w:rPr>
      </w:pPr>
    </w:p>
    <w:p w14:paraId="5A18D9AB" w14:textId="5C5D959F" w:rsidR="005429DA" w:rsidRPr="004865EF" w:rsidRDefault="005429DA" w:rsidP="005429DA">
      <w:pPr>
        <w:autoSpaceDE w:val="0"/>
        <w:autoSpaceDN w:val="0"/>
        <w:adjustRightInd w:val="0"/>
        <w:spacing w:line="360" w:lineRule="auto"/>
        <w:jc w:val="center"/>
        <w:rPr>
          <w:rFonts w:ascii="Times New Roman" w:eastAsia="华文中宋" w:hAnsi="Times New Roman" w:cs="Times New Roman"/>
          <w:b/>
          <w:kern w:val="0"/>
          <w:sz w:val="40"/>
        </w:rPr>
      </w:pPr>
      <w:r w:rsidRPr="004865EF">
        <w:rPr>
          <w:rFonts w:ascii="宋体" w:eastAsia="宋体" w:hAnsi="宋体" w:cs="宋体"/>
          <w:noProof/>
          <w:kern w:val="0"/>
          <w:sz w:val="24"/>
        </w:rPr>
        <w:drawing>
          <wp:anchor distT="0" distB="0" distL="114300" distR="114300" simplePos="0" relativeHeight="251656704" behindDoc="0" locked="0" layoutInCell="1" allowOverlap="1" wp14:anchorId="381ACB03" wp14:editId="606BC8E8">
            <wp:simplePos x="0" y="0"/>
            <wp:positionH relativeFrom="column">
              <wp:posOffset>2035810</wp:posOffset>
            </wp:positionH>
            <wp:positionV relativeFrom="paragraph">
              <wp:posOffset>161290</wp:posOffset>
            </wp:positionV>
            <wp:extent cx="1361440" cy="11906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190625"/>
                    </a:xfrm>
                    <a:prstGeom prst="rect">
                      <a:avLst/>
                    </a:prstGeom>
                    <a:noFill/>
                  </pic:spPr>
                </pic:pic>
              </a:graphicData>
            </a:graphic>
            <wp14:sizeRelH relativeFrom="margin">
              <wp14:pctWidth>0</wp14:pctWidth>
            </wp14:sizeRelH>
            <wp14:sizeRelV relativeFrom="margin">
              <wp14:pctHeight>0</wp14:pctHeight>
            </wp14:sizeRelV>
          </wp:anchor>
        </w:drawing>
      </w:r>
    </w:p>
    <w:p w14:paraId="5388E7D4" w14:textId="77777777" w:rsidR="005429DA" w:rsidRPr="004865EF" w:rsidRDefault="005429DA" w:rsidP="005429DA">
      <w:pPr>
        <w:autoSpaceDE w:val="0"/>
        <w:autoSpaceDN w:val="0"/>
        <w:adjustRightInd w:val="0"/>
        <w:spacing w:line="360" w:lineRule="auto"/>
        <w:jc w:val="center"/>
        <w:rPr>
          <w:rFonts w:ascii="Times New Roman" w:eastAsia="华文中宋" w:hAnsi="Times New Roman" w:cs="Times New Roman"/>
          <w:b/>
          <w:kern w:val="0"/>
          <w:sz w:val="40"/>
        </w:rPr>
      </w:pPr>
    </w:p>
    <w:p w14:paraId="0F1778D2" w14:textId="77777777" w:rsidR="005429DA" w:rsidRPr="004865EF" w:rsidRDefault="005429DA" w:rsidP="005429DA">
      <w:pPr>
        <w:autoSpaceDE w:val="0"/>
        <w:autoSpaceDN w:val="0"/>
        <w:adjustRightInd w:val="0"/>
        <w:spacing w:line="360" w:lineRule="auto"/>
        <w:jc w:val="center"/>
        <w:rPr>
          <w:rFonts w:ascii="Times New Roman" w:eastAsia="华文中宋" w:hAnsi="Times New Roman" w:cs="Times New Roman"/>
          <w:b/>
          <w:kern w:val="0"/>
          <w:sz w:val="40"/>
        </w:rPr>
      </w:pPr>
    </w:p>
    <w:p w14:paraId="3CB4325A" w14:textId="77777777" w:rsidR="005429DA" w:rsidRPr="004865EF" w:rsidRDefault="005429DA" w:rsidP="005429DA">
      <w:pPr>
        <w:autoSpaceDE w:val="0"/>
        <w:autoSpaceDN w:val="0"/>
        <w:adjustRightInd w:val="0"/>
        <w:spacing w:line="360" w:lineRule="auto"/>
        <w:jc w:val="center"/>
        <w:rPr>
          <w:rFonts w:ascii="Times New Roman" w:eastAsia="华文中宋" w:hAnsi="Times New Roman" w:cs="Times New Roman"/>
          <w:b/>
          <w:kern w:val="0"/>
          <w:sz w:val="40"/>
        </w:rPr>
      </w:pPr>
    </w:p>
    <w:p w14:paraId="33B917ED" w14:textId="77777777" w:rsidR="005429DA" w:rsidRPr="004865EF" w:rsidRDefault="005429DA" w:rsidP="005429DA">
      <w:pPr>
        <w:autoSpaceDE w:val="0"/>
        <w:autoSpaceDN w:val="0"/>
        <w:adjustRightInd w:val="0"/>
        <w:spacing w:line="360" w:lineRule="auto"/>
        <w:jc w:val="center"/>
        <w:rPr>
          <w:rFonts w:ascii="Times New Roman" w:eastAsia="华文中宋" w:hAnsi="Times New Roman" w:cs="Times New Roman"/>
          <w:b/>
          <w:kern w:val="0"/>
          <w:sz w:val="40"/>
        </w:rPr>
      </w:pPr>
    </w:p>
    <w:p w14:paraId="2BDDD740" w14:textId="77777777" w:rsidR="00DE4D1E" w:rsidRPr="004865EF" w:rsidRDefault="005429DA" w:rsidP="005429DA">
      <w:pPr>
        <w:autoSpaceDE w:val="0"/>
        <w:autoSpaceDN w:val="0"/>
        <w:adjustRightInd w:val="0"/>
        <w:spacing w:line="360" w:lineRule="auto"/>
        <w:jc w:val="center"/>
        <w:rPr>
          <w:rFonts w:ascii="黑体" w:eastAsia="黑体" w:hAnsi="黑体" w:cs="Times New Roman"/>
          <w:b/>
          <w:kern w:val="0"/>
          <w:sz w:val="44"/>
          <w:szCs w:val="28"/>
        </w:rPr>
      </w:pPr>
      <w:r w:rsidRPr="004865EF">
        <w:rPr>
          <w:rFonts w:ascii="黑体" w:eastAsia="黑体" w:hAnsi="黑体" w:cs="Times New Roman" w:hint="eastAsia"/>
          <w:b/>
          <w:kern w:val="0"/>
          <w:sz w:val="44"/>
          <w:szCs w:val="28"/>
        </w:rPr>
        <w:t>关于北京光环新网科技股份有限公司</w:t>
      </w:r>
    </w:p>
    <w:p w14:paraId="655C9B85" w14:textId="39DA4BA4" w:rsidR="005429DA" w:rsidRPr="004865EF" w:rsidRDefault="005429DA" w:rsidP="005429DA">
      <w:pPr>
        <w:autoSpaceDE w:val="0"/>
        <w:autoSpaceDN w:val="0"/>
        <w:adjustRightInd w:val="0"/>
        <w:spacing w:line="360" w:lineRule="auto"/>
        <w:jc w:val="center"/>
        <w:rPr>
          <w:rFonts w:ascii="黑体" w:eastAsia="黑体" w:hAnsi="黑体" w:cs="Times New Roman"/>
          <w:b/>
          <w:kern w:val="0"/>
          <w:sz w:val="44"/>
          <w:szCs w:val="28"/>
        </w:rPr>
      </w:pPr>
      <w:r w:rsidRPr="004865EF">
        <w:rPr>
          <w:rFonts w:ascii="黑体" w:eastAsia="黑体" w:hAnsi="黑体" w:cs="Times New Roman" w:hint="eastAsia"/>
          <w:b/>
          <w:kern w:val="0"/>
          <w:sz w:val="44"/>
          <w:szCs w:val="28"/>
        </w:rPr>
        <w:t>申请向特定对象发行股票的审核问询函的回复</w:t>
      </w:r>
      <w:r w:rsidR="00C17285" w:rsidRPr="004865EF">
        <w:rPr>
          <w:rFonts w:ascii="黑体" w:eastAsia="黑体" w:hAnsi="黑体" w:cs="Times New Roman" w:hint="eastAsia"/>
          <w:b/>
          <w:kern w:val="0"/>
          <w:sz w:val="44"/>
          <w:szCs w:val="28"/>
        </w:rPr>
        <w:t>（三次修订稿）</w:t>
      </w:r>
    </w:p>
    <w:p w14:paraId="2CC73A99" w14:textId="77777777" w:rsidR="005429DA" w:rsidRPr="004865EF" w:rsidRDefault="005429DA" w:rsidP="005429DA">
      <w:pPr>
        <w:autoSpaceDE w:val="0"/>
        <w:autoSpaceDN w:val="0"/>
        <w:adjustRightInd w:val="0"/>
        <w:jc w:val="left"/>
        <w:rPr>
          <w:rFonts w:ascii="Times New Roman" w:eastAsia="华文中宋" w:hAnsi="Times New Roman" w:cs="Times New Roman"/>
          <w:kern w:val="0"/>
          <w:sz w:val="32"/>
        </w:rPr>
      </w:pPr>
    </w:p>
    <w:p w14:paraId="721FCE07" w14:textId="77777777" w:rsidR="005429DA" w:rsidRPr="004865EF" w:rsidRDefault="005429DA" w:rsidP="005429DA">
      <w:pPr>
        <w:autoSpaceDE w:val="0"/>
        <w:autoSpaceDN w:val="0"/>
        <w:adjustRightInd w:val="0"/>
        <w:jc w:val="left"/>
        <w:rPr>
          <w:rFonts w:ascii="Times New Roman" w:eastAsia="华文中宋" w:hAnsi="Times New Roman" w:cs="Times New Roman"/>
          <w:kern w:val="0"/>
          <w:sz w:val="32"/>
        </w:rPr>
      </w:pPr>
    </w:p>
    <w:p w14:paraId="492FE990" w14:textId="77777777" w:rsidR="005429DA" w:rsidRPr="004865EF" w:rsidRDefault="005429DA" w:rsidP="005429DA">
      <w:pPr>
        <w:autoSpaceDE w:val="0"/>
        <w:autoSpaceDN w:val="0"/>
        <w:adjustRightInd w:val="0"/>
        <w:jc w:val="left"/>
        <w:rPr>
          <w:rFonts w:ascii="Times New Roman" w:eastAsia="华文中宋" w:hAnsi="Times New Roman" w:cs="Times New Roman"/>
          <w:kern w:val="0"/>
          <w:sz w:val="32"/>
        </w:rPr>
      </w:pPr>
    </w:p>
    <w:p w14:paraId="4162FBA1" w14:textId="77777777" w:rsidR="005429DA" w:rsidRPr="004865EF" w:rsidRDefault="005429DA" w:rsidP="005429DA">
      <w:pPr>
        <w:autoSpaceDE w:val="0"/>
        <w:autoSpaceDN w:val="0"/>
        <w:adjustRightInd w:val="0"/>
        <w:jc w:val="left"/>
        <w:rPr>
          <w:rFonts w:ascii="Times New Roman" w:eastAsia="华文中宋" w:hAnsi="Times New Roman" w:cs="Times New Roman"/>
          <w:kern w:val="0"/>
          <w:sz w:val="32"/>
        </w:rPr>
      </w:pPr>
    </w:p>
    <w:p w14:paraId="6960BDE5" w14:textId="3F61F839" w:rsidR="0063025B" w:rsidRPr="004865EF" w:rsidRDefault="0063025B" w:rsidP="005429DA">
      <w:pPr>
        <w:autoSpaceDE w:val="0"/>
        <w:autoSpaceDN w:val="0"/>
        <w:adjustRightInd w:val="0"/>
        <w:jc w:val="left"/>
        <w:rPr>
          <w:rFonts w:ascii="Times New Roman" w:eastAsia="华文中宋" w:hAnsi="Times New Roman" w:cs="Times New Roman"/>
          <w:kern w:val="0"/>
          <w:sz w:val="32"/>
        </w:rPr>
      </w:pPr>
    </w:p>
    <w:p w14:paraId="5B83B225" w14:textId="77777777" w:rsidR="0063025B" w:rsidRPr="004865EF" w:rsidRDefault="0063025B" w:rsidP="005429DA">
      <w:pPr>
        <w:autoSpaceDE w:val="0"/>
        <w:autoSpaceDN w:val="0"/>
        <w:adjustRightInd w:val="0"/>
        <w:jc w:val="left"/>
        <w:rPr>
          <w:rFonts w:ascii="Times New Roman" w:eastAsia="华文中宋" w:hAnsi="Times New Roman" w:cs="Times New Roman"/>
          <w:kern w:val="0"/>
          <w:sz w:val="32"/>
        </w:rPr>
      </w:pPr>
    </w:p>
    <w:p w14:paraId="2FA29B0E" w14:textId="77777777" w:rsidR="005429DA" w:rsidRPr="004865EF" w:rsidRDefault="005429DA" w:rsidP="005429DA">
      <w:pPr>
        <w:autoSpaceDE w:val="0"/>
        <w:autoSpaceDN w:val="0"/>
        <w:adjustRightInd w:val="0"/>
        <w:jc w:val="left"/>
        <w:rPr>
          <w:rFonts w:ascii="Times New Roman" w:eastAsia="华文中宋" w:hAnsi="Times New Roman" w:cs="Times New Roman"/>
          <w:kern w:val="0"/>
          <w:sz w:val="32"/>
        </w:rPr>
      </w:pPr>
    </w:p>
    <w:p w14:paraId="0C2330C5" w14:textId="77777777" w:rsidR="005429DA" w:rsidRPr="004865EF" w:rsidRDefault="005429DA" w:rsidP="005429DA">
      <w:pPr>
        <w:autoSpaceDE w:val="0"/>
        <w:autoSpaceDN w:val="0"/>
        <w:adjustRightInd w:val="0"/>
        <w:spacing w:line="360" w:lineRule="auto"/>
        <w:jc w:val="center"/>
        <w:rPr>
          <w:rFonts w:ascii="黑体" w:eastAsia="黑体" w:hAnsi="黑体" w:cs="Times New Roman"/>
          <w:b/>
          <w:kern w:val="0"/>
          <w:sz w:val="32"/>
        </w:rPr>
      </w:pPr>
      <w:r w:rsidRPr="004865EF">
        <w:rPr>
          <w:rFonts w:ascii="黑体" w:eastAsia="黑体" w:hAnsi="黑体" w:cs="Times New Roman" w:hint="eastAsia"/>
          <w:b/>
          <w:kern w:val="0"/>
          <w:sz w:val="32"/>
        </w:rPr>
        <w:t>保荐机构（主承销商）</w:t>
      </w:r>
    </w:p>
    <w:p w14:paraId="3D12B063" w14:textId="77777777" w:rsidR="005429DA" w:rsidRPr="004865EF" w:rsidRDefault="005429DA" w:rsidP="005429DA">
      <w:pPr>
        <w:autoSpaceDE w:val="0"/>
        <w:autoSpaceDN w:val="0"/>
        <w:adjustRightInd w:val="0"/>
        <w:spacing w:line="360" w:lineRule="auto"/>
        <w:jc w:val="center"/>
        <w:rPr>
          <w:rFonts w:ascii="Times New Roman" w:eastAsia="华文中宋" w:hAnsi="Times New Roman" w:cs="Times New Roman"/>
          <w:b/>
          <w:kern w:val="0"/>
          <w:sz w:val="32"/>
        </w:rPr>
      </w:pPr>
      <w:r w:rsidRPr="004865EF">
        <w:rPr>
          <w:rFonts w:ascii="Times New Roman" w:eastAsia="华文中宋" w:hAnsi="Times New Roman" w:cs="Times New Roman"/>
          <w:b/>
          <w:noProof/>
          <w:kern w:val="0"/>
          <w:sz w:val="32"/>
        </w:rPr>
        <w:drawing>
          <wp:inline distT="0" distB="0" distL="0" distR="0" wp14:anchorId="15F9C8B8" wp14:editId="220751F6">
            <wp:extent cx="3572510" cy="531495"/>
            <wp:effectExtent l="0" t="0" r="8890" b="1905"/>
            <wp:docPr id="4" name="Picture 4" descr="https://portal.csc.com.cn/resources/ims/2018/05/10/CSC11028/%E4%B8%AD%E4%BF%A1%E5%BB%BA%E6%8A%95%E8%AF%81%E5%88%B8%E8%82%A1%E4%BB%BD%E6%9C%89%E9%99%90%E5%85%AC%E5%8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l.csc.com.cn/resources/ims/2018/05/10/CSC11028/%E4%B8%AD%E4%BF%A1%E5%BB%BA%E6%8A%95%E8%AF%81%E5%88%B8%E8%82%A1%E4%BB%BD%E6%9C%89%E9%99%90%E5%85%AC%E5%8F%B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2510" cy="531495"/>
                    </a:xfrm>
                    <a:prstGeom prst="rect">
                      <a:avLst/>
                    </a:prstGeom>
                    <a:noFill/>
                    <a:ln>
                      <a:noFill/>
                    </a:ln>
                  </pic:spPr>
                </pic:pic>
              </a:graphicData>
            </a:graphic>
          </wp:inline>
        </w:drawing>
      </w:r>
    </w:p>
    <w:p w14:paraId="11058FFF" w14:textId="46694EEA" w:rsidR="005429DA" w:rsidRPr="004865EF" w:rsidRDefault="005429DA" w:rsidP="005429DA">
      <w:pPr>
        <w:autoSpaceDE w:val="0"/>
        <w:autoSpaceDN w:val="0"/>
        <w:adjustRightInd w:val="0"/>
        <w:spacing w:line="360" w:lineRule="auto"/>
        <w:jc w:val="center"/>
        <w:rPr>
          <w:rFonts w:ascii="黑体" w:eastAsia="黑体" w:hAnsi="黑体" w:cs="Times New Roman"/>
          <w:b/>
          <w:kern w:val="0"/>
          <w:sz w:val="32"/>
        </w:rPr>
      </w:pPr>
      <w:r w:rsidRPr="004865EF">
        <w:rPr>
          <w:rFonts w:ascii="黑体" w:eastAsia="黑体" w:hAnsi="黑体" w:cs="Times New Roman" w:hint="eastAsia"/>
          <w:b/>
          <w:kern w:val="0"/>
          <w:sz w:val="32"/>
        </w:rPr>
        <w:t>二零二零年</w:t>
      </w:r>
      <w:r w:rsidR="00E35316" w:rsidRPr="004865EF">
        <w:rPr>
          <w:rFonts w:ascii="楷体" w:eastAsia="楷体" w:hAnsi="楷体" w:cs="Times New Roman" w:hint="eastAsia"/>
          <w:b/>
          <w:kern w:val="0"/>
          <w:sz w:val="32"/>
        </w:rPr>
        <w:t>十二</w:t>
      </w:r>
      <w:r w:rsidRPr="004865EF">
        <w:rPr>
          <w:rFonts w:ascii="黑体" w:eastAsia="黑体" w:hAnsi="黑体" w:cs="Times New Roman" w:hint="eastAsia"/>
          <w:b/>
          <w:kern w:val="0"/>
          <w:sz w:val="32"/>
        </w:rPr>
        <w:t>月</w:t>
      </w:r>
    </w:p>
    <w:p w14:paraId="36E2D4B0" w14:textId="1F9140AB" w:rsidR="005429DA" w:rsidRPr="004865EF" w:rsidRDefault="005429DA" w:rsidP="00A66425">
      <w:pPr>
        <w:widowControl/>
        <w:autoSpaceDN w:val="0"/>
        <w:adjustRightInd w:val="0"/>
        <w:spacing w:beforeLines="50" w:before="156" w:line="360" w:lineRule="auto"/>
        <w:textAlignment w:val="center"/>
        <w:rPr>
          <w:rFonts w:ascii="Times New Roman" w:eastAsia="宋体" w:hAnsi="Times New Roman" w:cs="Times New Roman"/>
          <w:b/>
          <w:kern w:val="0"/>
          <w:sz w:val="24"/>
        </w:rPr>
      </w:pPr>
      <w:r w:rsidRPr="004865EF">
        <w:rPr>
          <w:rFonts w:ascii="Times New Roman" w:eastAsia="宋体" w:hAnsi="Times New Roman" w:cs="Times New Roman" w:hint="eastAsia"/>
          <w:b/>
          <w:kern w:val="0"/>
          <w:sz w:val="24"/>
        </w:rPr>
        <w:lastRenderedPageBreak/>
        <w:t>深圳证券交易所：</w:t>
      </w:r>
    </w:p>
    <w:p w14:paraId="37062FD7" w14:textId="53136229" w:rsidR="005429DA" w:rsidRPr="004865EF" w:rsidRDefault="005429DA" w:rsidP="00A66425">
      <w:pPr>
        <w:widowControl/>
        <w:autoSpaceDN w:val="0"/>
        <w:adjustRightInd w:val="0"/>
        <w:spacing w:beforeLines="50" w:before="156" w:afterLines="50" w:after="156" w:line="360" w:lineRule="auto"/>
        <w:ind w:firstLineChars="200" w:firstLine="480"/>
        <w:textAlignment w:val="center"/>
        <w:rPr>
          <w:rFonts w:ascii="Times New Roman" w:eastAsia="宋体" w:hAnsi="Times New Roman" w:cs="Times New Roman"/>
          <w:kern w:val="0"/>
          <w:sz w:val="24"/>
        </w:rPr>
      </w:pPr>
      <w:bookmarkStart w:id="0" w:name="_Hlk527026462"/>
      <w:r w:rsidRPr="004865EF">
        <w:rPr>
          <w:rFonts w:ascii="Times New Roman" w:eastAsia="宋体" w:hAnsi="Times New Roman" w:cs="Times New Roman" w:hint="eastAsia"/>
          <w:kern w:val="0"/>
          <w:sz w:val="24"/>
        </w:rPr>
        <w:t>根据贵</w:t>
      </w:r>
      <w:r w:rsidR="00720C0D" w:rsidRPr="004865EF">
        <w:rPr>
          <w:rFonts w:ascii="Times New Roman" w:eastAsia="宋体" w:hAnsi="Times New Roman" w:cs="Times New Roman" w:hint="eastAsia"/>
          <w:kern w:val="0"/>
          <w:sz w:val="24"/>
        </w:rPr>
        <w:t>单位</w:t>
      </w:r>
      <w:r w:rsidR="00B3354C" w:rsidRPr="004865EF">
        <w:rPr>
          <w:rFonts w:ascii="Times New Roman" w:eastAsia="宋体" w:hAnsi="Times New Roman" w:cs="Times New Roman" w:hint="eastAsia"/>
          <w:kern w:val="0"/>
          <w:sz w:val="24"/>
        </w:rPr>
        <w:t>于</w:t>
      </w:r>
      <w:r w:rsidRPr="004865EF">
        <w:rPr>
          <w:rFonts w:ascii="Times New Roman" w:eastAsia="宋体" w:hAnsi="Times New Roman" w:cs="Times New Roman"/>
          <w:kern w:val="0"/>
          <w:sz w:val="24"/>
        </w:rPr>
        <w:t>2020</w:t>
      </w:r>
      <w:r w:rsidRPr="004865EF">
        <w:rPr>
          <w:rFonts w:ascii="Times New Roman" w:eastAsia="宋体" w:hAnsi="Times New Roman" w:cs="Times New Roman" w:hint="eastAsia"/>
          <w:kern w:val="0"/>
          <w:sz w:val="24"/>
        </w:rPr>
        <w:t>年</w:t>
      </w:r>
      <w:r w:rsidRPr="004865EF">
        <w:rPr>
          <w:rFonts w:ascii="Times New Roman" w:eastAsia="宋体" w:hAnsi="Times New Roman" w:cs="Times New Roman"/>
          <w:kern w:val="0"/>
          <w:sz w:val="24"/>
        </w:rPr>
        <w:t>7</w:t>
      </w:r>
      <w:r w:rsidRPr="004865EF">
        <w:rPr>
          <w:rFonts w:ascii="Times New Roman" w:eastAsia="宋体" w:hAnsi="Times New Roman" w:cs="Times New Roman" w:hint="eastAsia"/>
          <w:kern w:val="0"/>
          <w:sz w:val="24"/>
        </w:rPr>
        <w:t>月</w:t>
      </w:r>
      <w:r w:rsidRPr="004865EF">
        <w:rPr>
          <w:rFonts w:ascii="Times New Roman" w:eastAsia="宋体" w:hAnsi="Times New Roman" w:cs="Times New Roman" w:hint="eastAsia"/>
          <w:kern w:val="0"/>
          <w:sz w:val="24"/>
        </w:rPr>
        <w:t>1</w:t>
      </w:r>
      <w:r w:rsidRPr="004865EF">
        <w:rPr>
          <w:rFonts w:ascii="Times New Roman" w:eastAsia="宋体" w:hAnsi="Times New Roman" w:cs="Times New Roman"/>
          <w:kern w:val="0"/>
          <w:sz w:val="24"/>
        </w:rPr>
        <w:t>0</w:t>
      </w:r>
      <w:r w:rsidRPr="004865EF">
        <w:rPr>
          <w:rFonts w:ascii="Times New Roman" w:eastAsia="宋体" w:hAnsi="Times New Roman" w:cs="Times New Roman" w:hint="eastAsia"/>
          <w:kern w:val="0"/>
          <w:sz w:val="24"/>
        </w:rPr>
        <w:t>日下发的《关于北京光环新网科技股份有限公司申请向特定对象发行股票的审核问询函》（审核函〔</w:t>
      </w:r>
      <w:r w:rsidRPr="004865EF">
        <w:rPr>
          <w:rFonts w:ascii="Times New Roman" w:eastAsia="宋体" w:hAnsi="Times New Roman" w:cs="Times New Roman"/>
          <w:kern w:val="0"/>
          <w:sz w:val="24"/>
        </w:rPr>
        <w:t>2020</w:t>
      </w:r>
      <w:r w:rsidRPr="004865EF">
        <w:rPr>
          <w:rFonts w:ascii="Times New Roman" w:eastAsia="宋体" w:hAnsi="Times New Roman" w:cs="Times New Roman"/>
          <w:kern w:val="0"/>
          <w:sz w:val="24"/>
        </w:rPr>
        <w:t>〕</w:t>
      </w:r>
      <w:r w:rsidRPr="004865EF">
        <w:rPr>
          <w:rFonts w:ascii="Times New Roman" w:eastAsia="宋体" w:hAnsi="Times New Roman" w:cs="Times New Roman"/>
          <w:kern w:val="0"/>
          <w:sz w:val="24"/>
        </w:rPr>
        <w:t>020010</w:t>
      </w:r>
      <w:r w:rsidRPr="004865EF">
        <w:rPr>
          <w:rFonts w:ascii="Times New Roman" w:eastAsia="宋体" w:hAnsi="Times New Roman" w:cs="Times New Roman"/>
          <w:kern w:val="0"/>
          <w:sz w:val="24"/>
        </w:rPr>
        <w:t>号</w:t>
      </w:r>
      <w:r w:rsidRPr="004865EF">
        <w:rPr>
          <w:rFonts w:ascii="Times New Roman" w:eastAsia="宋体" w:hAnsi="Times New Roman" w:cs="Times New Roman" w:hint="eastAsia"/>
          <w:kern w:val="0"/>
          <w:sz w:val="24"/>
        </w:rPr>
        <w:t>）（以下简称</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问询函</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）的要求</w:t>
      </w:r>
      <w:bookmarkEnd w:id="0"/>
      <w:r w:rsidRPr="004865EF">
        <w:rPr>
          <w:rFonts w:ascii="Times New Roman" w:eastAsia="宋体" w:hAnsi="Times New Roman" w:cs="Times New Roman" w:hint="eastAsia"/>
          <w:kern w:val="0"/>
          <w:sz w:val="24"/>
        </w:rPr>
        <w:t>，北京光环新网科技股份有限公司（以下简称</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发行人</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公司</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光环新网</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）会同保荐机构中</w:t>
      </w:r>
      <w:proofErr w:type="gramStart"/>
      <w:r w:rsidRPr="004865EF">
        <w:rPr>
          <w:rFonts w:ascii="Times New Roman" w:eastAsia="宋体" w:hAnsi="Times New Roman" w:cs="Times New Roman" w:hint="eastAsia"/>
          <w:kern w:val="0"/>
          <w:sz w:val="24"/>
        </w:rPr>
        <w:t>信建投证券</w:t>
      </w:r>
      <w:proofErr w:type="gramEnd"/>
      <w:r w:rsidRPr="004865EF">
        <w:rPr>
          <w:rFonts w:ascii="Times New Roman" w:eastAsia="宋体" w:hAnsi="Times New Roman" w:cs="Times New Roman" w:hint="eastAsia"/>
          <w:kern w:val="0"/>
          <w:sz w:val="24"/>
        </w:rPr>
        <w:t>股份有限公司（以下简称</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保荐机构</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）、发行人律师北京市嘉</w:t>
      </w:r>
      <w:proofErr w:type="gramStart"/>
      <w:r w:rsidRPr="004865EF">
        <w:rPr>
          <w:rFonts w:ascii="Times New Roman" w:eastAsia="宋体" w:hAnsi="Times New Roman" w:cs="Times New Roman" w:hint="eastAsia"/>
          <w:kern w:val="0"/>
          <w:sz w:val="24"/>
        </w:rPr>
        <w:t>源律师</w:t>
      </w:r>
      <w:proofErr w:type="gramEnd"/>
      <w:r w:rsidRPr="004865EF">
        <w:rPr>
          <w:rFonts w:ascii="Times New Roman" w:eastAsia="宋体" w:hAnsi="Times New Roman" w:cs="Times New Roman" w:hint="eastAsia"/>
          <w:kern w:val="0"/>
          <w:sz w:val="24"/>
        </w:rPr>
        <w:t>事务所（以下简称</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发行人律师</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w:t>
      </w:r>
      <w:r w:rsidR="00211306" w:rsidRPr="004865EF">
        <w:rPr>
          <w:rFonts w:ascii="Times New Roman" w:eastAsia="宋体" w:hAnsi="Times New Roman" w:cs="Times New Roman" w:hint="eastAsia"/>
          <w:kern w:val="0"/>
          <w:sz w:val="24"/>
        </w:rPr>
        <w:t>申报会计师</w:t>
      </w:r>
      <w:r w:rsidRPr="004865EF">
        <w:rPr>
          <w:rFonts w:ascii="Times New Roman" w:eastAsia="宋体" w:hAnsi="Times New Roman" w:cs="Times New Roman" w:hint="eastAsia"/>
          <w:kern w:val="0"/>
          <w:sz w:val="24"/>
        </w:rPr>
        <w:t>中兴华会计师事务所（特殊普通合伙）（以下简称</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申报会计师</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或</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会计师</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），本着勤勉尽责、诚实守信的原则，就问询函所提问题逐条进行了认真调查、核查及讨论，并完成了《关于北京光环新网科技股份有限公司申请向特定对象发行股票的审核问询函的回复》（以下简称</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本问询函回复</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），同时按照问询函的要求对《北京光环新网科技股份有限公司</w:t>
      </w:r>
      <w:r w:rsidRPr="004865EF">
        <w:rPr>
          <w:rFonts w:ascii="Times New Roman" w:eastAsia="宋体" w:hAnsi="Times New Roman" w:cs="Times New Roman"/>
          <w:kern w:val="0"/>
          <w:sz w:val="24"/>
        </w:rPr>
        <w:t>2020</w:t>
      </w:r>
      <w:r w:rsidRPr="004865EF">
        <w:rPr>
          <w:rFonts w:ascii="Times New Roman" w:eastAsia="宋体" w:hAnsi="Times New Roman" w:cs="Times New Roman"/>
          <w:kern w:val="0"/>
          <w:sz w:val="24"/>
        </w:rPr>
        <w:t>年度向特定对象发行</w:t>
      </w:r>
      <w:r w:rsidRPr="004865EF">
        <w:rPr>
          <w:rFonts w:ascii="Times New Roman" w:eastAsia="宋体" w:hAnsi="Times New Roman" w:cs="Times New Roman"/>
          <w:kern w:val="0"/>
          <w:sz w:val="24"/>
        </w:rPr>
        <w:t>A</w:t>
      </w:r>
      <w:r w:rsidRPr="004865EF">
        <w:rPr>
          <w:rFonts w:ascii="Times New Roman" w:eastAsia="宋体" w:hAnsi="Times New Roman" w:cs="Times New Roman"/>
          <w:kern w:val="0"/>
          <w:sz w:val="24"/>
        </w:rPr>
        <w:t>股股票</w:t>
      </w:r>
      <w:r w:rsidRPr="004865EF">
        <w:rPr>
          <w:rFonts w:ascii="Times New Roman" w:eastAsia="宋体" w:hAnsi="Times New Roman" w:cs="Times New Roman" w:hint="eastAsia"/>
          <w:kern w:val="0"/>
          <w:sz w:val="24"/>
        </w:rPr>
        <w:t>募集说明书》（以下简称</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募集说明书</w:t>
      </w:r>
      <w:r w:rsidR="00720C0D" w:rsidRPr="004865EF">
        <w:rPr>
          <w:rFonts w:ascii="Times New Roman" w:eastAsia="宋体" w:hAnsi="Times New Roman" w:cs="Times New Roman" w:hint="eastAsia"/>
          <w:kern w:val="0"/>
          <w:sz w:val="24"/>
        </w:rPr>
        <w:t>”</w:t>
      </w:r>
      <w:r w:rsidRPr="004865EF">
        <w:rPr>
          <w:rFonts w:ascii="Times New Roman" w:eastAsia="宋体" w:hAnsi="Times New Roman" w:cs="Times New Roman" w:hint="eastAsia"/>
          <w:kern w:val="0"/>
          <w:sz w:val="24"/>
        </w:rPr>
        <w:t>）进行了修订和补充。</w:t>
      </w:r>
    </w:p>
    <w:p w14:paraId="03662506" w14:textId="7F5647A5" w:rsidR="005429DA" w:rsidRPr="004865EF" w:rsidRDefault="005429DA" w:rsidP="0066058B">
      <w:pPr>
        <w:widowControl/>
        <w:autoSpaceDN w:val="0"/>
        <w:adjustRightInd w:val="0"/>
        <w:spacing w:beforeLines="50" w:before="156" w:afterLines="50" w:after="156" w:line="360" w:lineRule="auto"/>
        <w:ind w:firstLineChars="200" w:firstLine="480"/>
        <w:textAlignment w:val="center"/>
        <w:rPr>
          <w:rFonts w:ascii="Times New Roman" w:eastAsia="宋体" w:hAnsi="Times New Roman" w:cs="Times New Roman"/>
          <w:kern w:val="0"/>
          <w:sz w:val="24"/>
        </w:rPr>
      </w:pPr>
      <w:r w:rsidRPr="004865EF">
        <w:rPr>
          <w:rFonts w:ascii="Times New Roman" w:eastAsia="宋体" w:hAnsi="Times New Roman" w:cs="Times New Roman" w:hint="eastAsia"/>
          <w:kern w:val="0"/>
          <w:sz w:val="24"/>
        </w:rPr>
        <w:t>如无特殊说明，本问询函回复中简称与</w:t>
      </w:r>
      <w:r w:rsidR="00726373" w:rsidRPr="004865EF">
        <w:rPr>
          <w:rFonts w:ascii="Times New Roman" w:eastAsia="宋体" w:hAnsi="Times New Roman" w:cs="Times New Roman" w:hint="eastAsia"/>
          <w:kern w:val="0"/>
          <w:sz w:val="24"/>
        </w:rPr>
        <w:t>募集说明书中</w:t>
      </w:r>
      <w:r w:rsidRPr="004865EF">
        <w:rPr>
          <w:rFonts w:ascii="Times New Roman" w:eastAsia="宋体" w:hAnsi="Times New Roman" w:cs="Times New Roman" w:hint="eastAsia"/>
          <w:kern w:val="0"/>
          <w:sz w:val="24"/>
        </w:rPr>
        <w:t>简称具有相同含义，涉及对申请文件修改的内容已用楷体加粗标明。</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228"/>
      </w:tblGrid>
      <w:tr w:rsidR="004865EF" w:rsidRPr="004865EF" w14:paraId="02CB5489" w14:textId="77777777" w:rsidTr="005429DA">
        <w:trPr>
          <w:trHeight w:val="397"/>
          <w:tblHeader/>
          <w:jc w:val="center"/>
        </w:trPr>
        <w:tc>
          <w:tcPr>
            <w:tcW w:w="18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0A70976" w14:textId="77777777" w:rsidR="005429DA" w:rsidRPr="004865EF" w:rsidRDefault="005429DA" w:rsidP="005429DA">
            <w:pPr>
              <w:widowControl/>
              <w:autoSpaceDE w:val="0"/>
              <w:autoSpaceDN w:val="0"/>
              <w:adjustRightInd w:val="0"/>
              <w:jc w:val="center"/>
              <w:rPr>
                <w:rFonts w:ascii="Times New Roman" w:eastAsia="黑体" w:hAnsi="Times New Roman" w:cs="Times New Roman"/>
                <w:b/>
                <w:kern w:val="0"/>
                <w:szCs w:val="21"/>
                <w:lang w:eastAsia="en-US"/>
              </w:rPr>
            </w:pPr>
            <w:proofErr w:type="spellStart"/>
            <w:r w:rsidRPr="004865EF">
              <w:rPr>
                <w:rFonts w:ascii="Times New Roman" w:eastAsia="黑体" w:hAnsi="Times New Roman" w:cs="Times New Roman" w:hint="eastAsia"/>
                <w:b/>
                <w:kern w:val="0"/>
                <w:szCs w:val="21"/>
                <w:lang w:eastAsia="en-US"/>
              </w:rPr>
              <w:t>黑体加粗</w:t>
            </w:r>
            <w:proofErr w:type="spellEnd"/>
          </w:p>
        </w:tc>
        <w:tc>
          <w:tcPr>
            <w:tcW w:w="72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2322A2C6" w14:textId="77777777" w:rsidR="005429DA" w:rsidRPr="004865EF" w:rsidRDefault="005429DA" w:rsidP="005429DA">
            <w:pPr>
              <w:autoSpaceDE w:val="0"/>
              <w:autoSpaceDN w:val="0"/>
              <w:adjustRightInd w:val="0"/>
              <w:jc w:val="left"/>
              <w:rPr>
                <w:rFonts w:ascii="Times New Roman" w:eastAsia="宋体" w:hAnsi="Times New Roman" w:cs="Times New Roman"/>
                <w:kern w:val="0"/>
                <w:szCs w:val="21"/>
                <w:lang w:eastAsia="en-US"/>
              </w:rPr>
            </w:pPr>
            <w:proofErr w:type="spellStart"/>
            <w:r w:rsidRPr="004865EF">
              <w:rPr>
                <w:rFonts w:ascii="Times New Roman" w:eastAsia="黑体" w:hAnsi="Times New Roman" w:cs="Times New Roman" w:hint="eastAsia"/>
                <w:b/>
                <w:kern w:val="0"/>
                <w:szCs w:val="21"/>
                <w:lang w:eastAsia="en-US"/>
              </w:rPr>
              <w:t>问询函所列问题</w:t>
            </w:r>
            <w:proofErr w:type="spellEnd"/>
          </w:p>
        </w:tc>
      </w:tr>
      <w:tr w:rsidR="004865EF" w:rsidRPr="004865EF" w14:paraId="22D89938" w14:textId="77777777" w:rsidTr="005429DA">
        <w:trPr>
          <w:trHeight w:val="397"/>
          <w:tblHeader/>
          <w:jc w:val="center"/>
        </w:trPr>
        <w:tc>
          <w:tcPr>
            <w:tcW w:w="18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D76B923" w14:textId="77777777" w:rsidR="005429DA" w:rsidRPr="004865EF" w:rsidRDefault="005429DA" w:rsidP="005429DA">
            <w:pPr>
              <w:autoSpaceDE w:val="0"/>
              <w:autoSpaceDN w:val="0"/>
              <w:adjustRightInd w:val="0"/>
              <w:jc w:val="center"/>
              <w:rPr>
                <w:rFonts w:ascii="Times New Roman" w:eastAsia="宋体" w:hAnsi="Times New Roman" w:cs="Times New Roman"/>
                <w:kern w:val="0"/>
                <w:szCs w:val="21"/>
                <w:lang w:eastAsia="en-US"/>
              </w:rPr>
            </w:pPr>
            <w:proofErr w:type="spellStart"/>
            <w:r w:rsidRPr="004865EF">
              <w:rPr>
                <w:rFonts w:ascii="Times New Roman" w:eastAsia="宋体" w:hAnsi="Times New Roman" w:cs="Times New Roman" w:hint="eastAsia"/>
                <w:kern w:val="0"/>
                <w:szCs w:val="21"/>
                <w:lang w:eastAsia="en-US"/>
              </w:rPr>
              <w:t>宋体</w:t>
            </w:r>
            <w:proofErr w:type="spellEnd"/>
          </w:p>
        </w:tc>
        <w:tc>
          <w:tcPr>
            <w:tcW w:w="72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EA96019" w14:textId="77777777" w:rsidR="005429DA" w:rsidRPr="004865EF" w:rsidRDefault="005429DA" w:rsidP="005429DA">
            <w:pPr>
              <w:autoSpaceDE w:val="0"/>
              <w:autoSpaceDN w:val="0"/>
              <w:adjustRightInd w:val="0"/>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对问询函所列问题的回复</w:t>
            </w:r>
          </w:p>
        </w:tc>
      </w:tr>
      <w:tr w:rsidR="004865EF" w:rsidRPr="004865EF" w14:paraId="6ADEFF99" w14:textId="77777777" w:rsidTr="005429DA">
        <w:trPr>
          <w:trHeight w:val="397"/>
          <w:tblHeader/>
          <w:jc w:val="center"/>
        </w:trPr>
        <w:tc>
          <w:tcPr>
            <w:tcW w:w="18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A7AAFAA" w14:textId="77777777" w:rsidR="005429DA" w:rsidRPr="004865EF" w:rsidRDefault="005429DA" w:rsidP="005429DA">
            <w:pPr>
              <w:widowControl/>
              <w:autoSpaceDE w:val="0"/>
              <w:autoSpaceDN w:val="0"/>
              <w:adjustRightInd w:val="0"/>
              <w:jc w:val="center"/>
              <w:rPr>
                <w:rFonts w:ascii="楷体" w:eastAsia="楷体" w:hAnsi="楷体" w:cs="Times New Roman"/>
                <w:b/>
                <w:kern w:val="0"/>
                <w:szCs w:val="21"/>
                <w:lang w:eastAsia="en-US"/>
              </w:rPr>
            </w:pPr>
            <w:proofErr w:type="spellStart"/>
            <w:r w:rsidRPr="004865EF">
              <w:rPr>
                <w:rFonts w:ascii="楷体" w:eastAsia="楷体" w:hAnsi="楷体" w:cs="Times New Roman" w:hint="eastAsia"/>
                <w:b/>
                <w:kern w:val="0"/>
                <w:szCs w:val="21"/>
                <w:lang w:eastAsia="en-US"/>
              </w:rPr>
              <w:t>楷体加粗</w:t>
            </w:r>
            <w:proofErr w:type="spellEnd"/>
          </w:p>
        </w:tc>
        <w:tc>
          <w:tcPr>
            <w:tcW w:w="72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FB2010B" w14:textId="578D75A9" w:rsidR="005429DA" w:rsidRPr="004865EF" w:rsidRDefault="005429DA" w:rsidP="00A90167">
            <w:pPr>
              <w:autoSpaceDE w:val="0"/>
              <w:autoSpaceDN w:val="0"/>
              <w:adjustRightInd w:val="0"/>
              <w:jc w:val="left"/>
              <w:rPr>
                <w:rFonts w:ascii="楷体" w:eastAsia="楷体" w:hAnsi="楷体" w:cs="Times New Roman"/>
                <w:b/>
                <w:kern w:val="0"/>
                <w:szCs w:val="21"/>
              </w:rPr>
            </w:pPr>
            <w:r w:rsidRPr="004865EF">
              <w:rPr>
                <w:rFonts w:ascii="楷体" w:eastAsia="楷体" w:hAnsi="楷体" w:cs="Times New Roman" w:hint="eastAsia"/>
                <w:b/>
                <w:kern w:val="0"/>
                <w:szCs w:val="21"/>
              </w:rPr>
              <w:t>涉及</w:t>
            </w:r>
            <w:r w:rsidR="00A90167" w:rsidRPr="004865EF">
              <w:rPr>
                <w:rFonts w:ascii="楷体" w:eastAsia="楷体" w:hAnsi="楷体" w:cs="Times New Roman" w:hint="eastAsia"/>
                <w:b/>
                <w:kern w:val="0"/>
                <w:szCs w:val="21"/>
              </w:rPr>
              <w:t>本次反馈回复</w:t>
            </w:r>
            <w:r w:rsidRPr="004865EF">
              <w:rPr>
                <w:rFonts w:ascii="楷体" w:eastAsia="楷体" w:hAnsi="楷体" w:cs="Times New Roman" w:hint="eastAsia"/>
                <w:b/>
                <w:kern w:val="0"/>
                <w:szCs w:val="21"/>
              </w:rPr>
              <w:t>内容</w:t>
            </w:r>
            <w:r w:rsidR="00A90167" w:rsidRPr="004865EF">
              <w:rPr>
                <w:rFonts w:ascii="楷体" w:eastAsia="楷体" w:hAnsi="楷体" w:cs="Times New Roman" w:hint="eastAsia"/>
                <w:b/>
                <w:kern w:val="0"/>
                <w:szCs w:val="21"/>
              </w:rPr>
              <w:t>的更新</w:t>
            </w:r>
          </w:p>
        </w:tc>
      </w:tr>
    </w:tbl>
    <w:p w14:paraId="51114073" w14:textId="77777777" w:rsidR="00181621" w:rsidRPr="004865EF" w:rsidRDefault="005429DA" w:rsidP="00A66425">
      <w:pPr>
        <w:widowControl/>
        <w:spacing w:beforeLines="50" w:before="156" w:afterLines="50" w:after="156" w:line="360" w:lineRule="auto"/>
        <w:ind w:firstLine="482"/>
        <w:jc w:val="left"/>
        <w:rPr>
          <w:rFonts w:ascii="Times New Roman" w:eastAsia="宋体" w:hAnsi="Times New Roman" w:cs="Times New Roman"/>
          <w:kern w:val="0"/>
          <w:sz w:val="24"/>
        </w:rPr>
      </w:pPr>
      <w:r w:rsidRPr="004865EF">
        <w:rPr>
          <w:rFonts w:ascii="Times New Roman" w:eastAsia="宋体" w:hAnsi="Times New Roman" w:cs="Times New Roman" w:hint="eastAsia"/>
          <w:kern w:val="0"/>
          <w:sz w:val="24"/>
        </w:rPr>
        <w:t>在本问询函回复中，若合计数与各分项数值相加之和在尾数上存在差异，均为四舍五入所致。</w:t>
      </w:r>
    </w:p>
    <w:p w14:paraId="10710F43" w14:textId="77777777" w:rsidR="00181621" w:rsidRPr="004865EF" w:rsidRDefault="00181621">
      <w:pPr>
        <w:widowControl/>
        <w:jc w:val="left"/>
        <w:rPr>
          <w:rFonts w:ascii="Times New Roman" w:eastAsia="宋体" w:hAnsi="Times New Roman" w:cs="Times New Roman"/>
          <w:kern w:val="0"/>
          <w:sz w:val="24"/>
        </w:rPr>
      </w:pPr>
      <w:r w:rsidRPr="004865EF">
        <w:rPr>
          <w:rFonts w:ascii="Times New Roman" w:eastAsia="宋体" w:hAnsi="Times New Roman" w:cs="Times New Roman"/>
          <w:kern w:val="0"/>
          <w:sz w:val="24"/>
        </w:rPr>
        <w:br w:type="page"/>
      </w:r>
    </w:p>
    <w:p w14:paraId="49ED2B17" w14:textId="3A5EE9F7" w:rsidR="00181621" w:rsidRPr="004865EF" w:rsidRDefault="00181621" w:rsidP="00181621">
      <w:pPr>
        <w:pStyle w:val="14"/>
      </w:pPr>
      <w:r w:rsidRPr="004865EF">
        <w:rPr>
          <w:rFonts w:hint="eastAsia"/>
        </w:rPr>
        <w:lastRenderedPageBreak/>
        <w:t xml:space="preserve">目 </w:t>
      </w:r>
      <w:r w:rsidRPr="004865EF">
        <w:t xml:space="preserve"> </w:t>
      </w:r>
      <w:r w:rsidRPr="004865EF">
        <w:rPr>
          <w:rFonts w:hint="eastAsia"/>
        </w:rPr>
        <w:t>录</w:t>
      </w:r>
    </w:p>
    <w:p w14:paraId="136EB827" w14:textId="77777777" w:rsidR="00181621" w:rsidRPr="004865EF" w:rsidRDefault="00181621" w:rsidP="00181621">
      <w:pPr>
        <w:pStyle w:val="14"/>
      </w:pPr>
    </w:p>
    <w:p w14:paraId="7344F266" w14:textId="3E4E4D70" w:rsidR="007C73F5" w:rsidRPr="004865EF" w:rsidRDefault="00181621" w:rsidP="007C73F5">
      <w:pPr>
        <w:pStyle w:val="14"/>
        <w:spacing w:beforeLines="50" w:before="156" w:afterLines="50" w:after="156" w:line="360" w:lineRule="auto"/>
        <w:rPr>
          <w:rFonts w:ascii="Times New Roman" w:eastAsia="宋体" w:hAnsi="Times New Roman" w:cs="Times New Roman"/>
          <w:noProof/>
          <w:sz w:val="24"/>
          <w:szCs w:val="24"/>
        </w:rPr>
      </w:pPr>
      <w:r w:rsidRPr="004865EF">
        <w:rPr>
          <w:rFonts w:ascii="Times New Roman" w:eastAsia="宋体" w:hAnsi="Times New Roman" w:cs="Times New Roman"/>
          <w:sz w:val="24"/>
          <w:szCs w:val="24"/>
        </w:rPr>
        <w:fldChar w:fldCharType="begin" w:fldLock="1"/>
      </w:r>
      <w:r w:rsidRPr="004865EF">
        <w:rPr>
          <w:rFonts w:ascii="Times New Roman" w:eastAsia="宋体" w:hAnsi="Times New Roman" w:cs="Times New Roman"/>
          <w:sz w:val="24"/>
          <w:szCs w:val="24"/>
        </w:rPr>
        <w:instrText xml:space="preserve"> TOC \o "1-1" \h \z \u </w:instrText>
      </w:r>
      <w:r w:rsidRPr="004865EF">
        <w:rPr>
          <w:rFonts w:ascii="Times New Roman" w:eastAsia="宋体" w:hAnsi="Times New Roman" w:cs="Times New Roman"/>
          <w:sz w:val="24"/>
          <w:szCs w:val="24"/>
        </w:rPr>
        <w:fldChar w:fldCharType="separate"/>
      </w:r>
      <w:hyperlink w:anchor="_Toc47020535" w:history="1">
        <w:r w:rsidR="007C73F5" w:rsidRPr="004865EF">
          <w:rPr>
            <w:rStyle w:val="af1"/>
            <w:rFonts w:ascii="Times New Roman" w:eastAsia="宋体" w:hAnsi="Times New Roman" w:cs="Times New Roman"/>
            <w:noProof/>
            <w:color w:val="auto"/>
            <w:sz w:val="24"/>
            <w:szCs w:val="24"/>
          </w:rPr>
          <w:t>问题</w:t>
        </w:r>
        <w:r w:rsidR="007C73F5" w:rsidRPr="004865EF">
          <w:rPr>
            <w:rStyle w:val="af1"/>
            <w:rFonts w:ascii="Times New Roman" w:eastAsia="宋体" w:hAnsi="Times New Roman" w:cs="Times New Roman"/>
            <w:noProof/>
            <w:color w:val="auto"/>
            <w:sz w:val="24"/>
            <w:szCs w:val="24"/>
          </w:rPr>
          <w:t>1.</w:t>
        </w:r>
        <w:r w:rsidR="007C73F5" w:rsidRPr="004865EF">
          <w:rPr>
            <w:rStyle w:val="af1"/>
            <w:rFonts w:ascii="Times New Roman" w:eastAsia="宋体" w:hAnsi="Times New Roman" w:cs="Times New Roman"/>
            <w:noProof/>
            <w:color w:val="auto"/>
            <w:sz w:val="24"/>
            <w:szCs w:val="24"/>
          </w:rPr>
          <w:t>关于募投项目相关情况</w:t>
        </w:r>
        <w:r w:rsidR="007C73F5" w:rsidRPr="004865EF">
          <w:rPr>
            <w:rFonts w:ascii="Times New Roman" w:eastAsia="宋体" w:hAnsi="Times New Roman" w:cs="Times New Roman"/>
            <w:noProof/>
            <w:webHidden/>
            <w:sz w:val="24"/>
            <w:szCs w:val="24"/>
          </w:rPr>
          <w:tab/>
        </w:r>
        <w:r w:rsidR="007C73F5" w:rsidRPr="004865EF">
          <w:rPr>
            <w:rFonts w:ascii="Times New Roman" w:eastAsia="宋体" w:hAnsi="Times New Roman" w:cs="Times New Roman"/>
            <w:noProof/>
            <w:webHidden/>
            <w:sz w:val="24"/>
            <w:szCs w:val="24"/>
          </w:rPr>
          <w:fldChar w:fldCharType="begin" w:fldLock="1"/>
        </w:r>
        <w:r w:rsidR="007C73F5" w:rsidRPr="004865EF">
          <w:rPr>
            <w:rFonts w:ascii="Times New Roman" w:eastAsia="宋体" w:hAnsi="Times New Roman" w:cs="Times New Roman"/>
            <w:noProof/>
            <w:webHidden/>
            <w:sz w:val="24"/>
            <w:szCs w:val="24"/>
          </w:rPr>
          <w:instrText xml:space="preserve"> PAGEREF _Toc47020535 \h </w:instrText>
        </w:r>
        <w:r w:rsidR="007C73F5" w:rsidRPr="004865EF">
          <w:rPr>
            <w:rFonts w:ascii="Times New Roman" w:eastAsia="宋体" w:hAnsi="Times New Roman" w:cs="Times New Roman"/>
            <w:noProof/>
            <w:webHidden/>
            <w:sz w:val="24"/>
            <w:szCs w:val="24"/>
          </w:rPr>
        </w:r>
        <w:r w:rsidR="007C73F5" w:rsidRPr="004865EF">
          <w:rPr>
            <w:rFonts w:ascii="Times New Roman" w:eastAsia="宋体" w:hAnsi="Times New Roman" w:cs="Times New Roman"/>
            <w:noProof/>
            <w:webHidden/>
            <w:sz w:val="24"/>
            <w:szCs w:val="24"/>
          </w:rPr>
          <w:fldChar w:fldCharType="separate"/>
        </w:r>
        <w:r w:rsidR="004865EF">
          <w:rPr>
            <w:rFonts w:ascii="Times New Roman" w:eastAsia="宋体" w:hAnsi="Times New Roman" w:cs="Times New Roman"/>
            <w:noProof/>
            <w:webHidden/>
            <w:sz w:val="24"/>
            <w:szCs w:val="24"/>
          </w:rPr>
          <w:t>4</w:t>
        </w:r>
        <w:r w:rsidR="007C73F5" w:rsidRPr="004865EF">
          <w:rPr>
            <w:rFonts w:ascii="Times New Roman" w:eastAsia="宋体" w:hAnsi="Times New Roman" w:cs="Times New Roman"/>
            <w:noProof/>
            <w:webHidden/>
            <w:sz w:val="24"/>
            <w:szCs w:val="24"/>
          </w:rPr>
          <w:fldChar w:fldCharType="end"/>
        </w:r>
      </w:hyperlink>
    </w:p>
    <w:p w14:paraId="37141D01" w14:textId="057CB7C0" w:rsidR="007C73F5" w:rsidRPr="004865EF" w:rsidRDefault="00DE1BA6" w:rsidP="007C73F5">
      <w:pPr>
        <w:pStyle w:val="14"/>
        <w:spacing w:beforeLines="50" w:before="156" w:afterLines="50" w:after="156" w:line="360" w:lineRule="auto"/>
        <w:rPr>
          <w:rFonts w:ascii="Times New Roman" w:eastAsia="宋体" w:hAnsi="Times New Roman" w:cs="Times New Roman"/>
          <w:noProof/>
          <w:sz w:val="24"/>
          <w:szCs w:val="24"/>
        </w:rPr>
      </w:pPr>
      <w:hyperlink w:anchor="_Toc47020536" w:history="1">
        <w:r w:rsidR="007C73F5" w:rsidRPr="004865EF">
          <w:rPr>
            <w:rStyle w:val="af1"/>
            <w:rFonts w:ascii="Times New Roman" w:eastAsia="宋体" w:hAnsi="Times New Roman" w:cs="Times New Roman"/>
            <w:noProof/>
            <w:color w:val="auto"/>
            <w:sz w:val="24"/>
            <w:szCs w:val="24"/>
          </w:rPr>
          <w:t>问题</w:t>
        </w:r>
        <w:r w:rsidR="007C73F5" w:rsidRPr="004865EF">
          <w:rPr>
            <w:rStyle w:val="af1"/>
            <w:rFonts w:ascii="Times New Roman" w:eastAsia="宋体" w:hAnsi="Times New Roman" w:cs="Times New Roman"/>
            <w:noProof/>
            <w:color w:val="auto"/>
            <w:sz w:val="24"/>
            <w:szCs w:val="24"/>
          </w:rPr>
          <w:t>2.</w:t>
        </w:r>
        <w:r w:rsidR="007C73F5" w:rsidRPr="004865EF">
          <w:rPr>
            <w:rStyle w:val="af1"/>
            <w:rFonts w:ascii="Times New Roman" w:eastAsia="宋体" w:hAnsi="Times New Roman" w:cs="Times New Roman"/>
            <w:noProof/>
            <w:color w:val="auto"/>
            <w:sz w:val="24"/>
            <w:szCs w:val="24"/>
          </w:rPr>
          <w:t>关于使用募集资金向智达云创增资</w:t>
        </w:r>
        <w:r w:rsidR="007C73F5" w:rsidRPr="004865EF">
          <w:rPr>
            <w:rFonts w:ascii="Times New Roman" w:eastAsia="宋体" w:hAnsi="Times New Roman" w:cs="Times New Roman"/>
            <w:noProof/>
            <w:webHidden/>
            <w:sz w:val="24"/>
            <w:szCs w:val="24"/>
          </w:rPr>
          <w:tab/>
        </w:r>
        <w:r w:rsidR="007C73F5" w:rsidRPr="004865EF">
          <w:rPr>
            <w:rFonts w:ascii="Times New Roman" w:eastAsia="宋体" w:hAnsi="Times New Roman" w:cs="Times New Roman"/>
            <w:noProof/>
            <w:webHidden/>
            <w:sz w:val="24"/>
            <w:szCs w:val="24"/>
          </w:rPr>
          <w:fldChar w:fldCharType="begin" w:fldLock="1"/>
        </w:r>
        <w:r w:rsidR="007C73F5" w:rsidRPr="004865EF">
          <w:rPr>
            <w:rFonts w:ascii="Times New Roman" w:eastAsia="宋体" w:hAnsi="Times New Roman" w:cs="Times New Roman"/>
            <w:noProof/>
            <w:webHidden/>
            <w:sz w:val="24"/>
            <w:szCs w:val="24"/>
          </w:rPr>
          <w:instrText xml:space="preserve"> PAGEREF _Toc47020536 \h </w:instrText>
        </w:r>
        <w:r w:rsidR="007C73F5" w:rsidRPr="004865EF">
          <w:rPr>
            <w:rFonts w:ascii="Times New Roman" w:eastAsia="宋体" w:hAnsi="Times New Roman" w:cs="Times New Roman"/>
            <w:noProof/>
            <w:webHidden/>
            <w:sz w:val="24"/>
            <w:szCs w:val="24"/>
          </w:rPr>
        </w:r>
        <w:r w:rsidR="007C73F5" w:rsidRPr="004865EF">
          <w:rPr>
            <w:rFonts w:ascii="Times New Roman" w:eastAsia="宋体" w:hAnsi="Times New Roman" w:cs="Times New Roman"/>
            <w:noProof/>
            <w:webHidden/>
            <w:sz w:val="24"/>
            <w:szCs w:val="24"/>
          </w:rPr>
          <w:fldChar w:fldCharType="separate"/>
        </w:r>
        <w:r w:rsidR="004865EF">
          <w:rPr>
            <w:rFonts w:ascii="Times New Roman" w:eastAsia="宋体" w:hAnsi="Times New Roman" w:cs="Times New Roman"/>
            <w:noProof/>
            <w:webHidden/>
            <w:sz w:val="24"/>
            <w:szCs w:val="24"/>
          </w:rPr>
          <w:t>38</w:t>
        </w:r>
        <w:r w:rsidR="007C73F5" w:rsidRPr="004865EF">
          <w:rPr>
            <w:rFonts w:ascii="Times New Roman" w:eastAsia="宋体" w:hAnsi="Times New Roman" w:cs="Times New Roman"/>
            <w:noProof/>
            <w:webHidden/>
            <w:sz w:val="24"/>
            <w:szCs w:val="24"/>
          </w:rPr>
          <w:fldChar w:fldCharType="end"/>
        </w:r>
      </w:hyperlink>
    </w:p>
    <w:p w14:paraId="19A98310" w14:textId="0BAA6C2D" w:rsidR="007C73F5" w:rsidRPr="004865EF" w:rsidRDefault="00DE1BA6" w:rsidP="007C73F5">
      <w:pPr>
        <w:pStyle w:val="14"/>
        <w:spacing w:beforeLines="50" w:before="156" w:afterLines="50" w:after="156" w:line="360" w:lineRule="auto"/>
        <w:rPr>
          <w:rFonts w:ascii="Times New Roman" w:eastAsia="宋体" w:hAnsi="Times New Roman" w:cs="Times New Roman"/>
          <w:noProof/>
          <w:sz w:val="24"/>
          <w:szCs w:val="24"/>
        </w:rPr>
      </w:pPr>
      <w:hyperlink w:anchor="_Toc47020537" w:history="1">
        <w:r w:rsidR="007C73F5" w:rsidRPr="004865EF">
          <w:rPr>
            <w:rStyle w:val="af1"/>
            <w:rFonts w:ascii="Times New Roman" w:eastAsia="宋体" w:hAnsi="Times New Roman" w:cs="Times New Roman"/>
            <w:noProof/>
            <w:color w:val="auto"/>
            <w:sz w:val="24"/>
            <w:szCs w:val="24"/>
          </w:rPr>
          <w:t>问题</w:t>
        </w:r>
        <w:r w:rsidR="007C73F5" w:rsidRPr="004865EF">
          <w:rPr>
            <w:rStyle w:val="af1"/>
            <w:rFonts w:ascii="Times New Roman" w:eastAsia="宋体" w:hAnsi="Times New Roman" w:cs="Times New Roman"/>
            <w:noProof/>
            <w:color w:val="auto"/>
            <w:sz w:val="24"/>
            <w:szCs w:val="24"/>
          </w:rPr>
          <w:t>3.</w:t>
        </w:r>
        <w:r w:rsidR="007C73F5" w:rsidRPr="004865EF">
          <w:rPr>
            <w:rStyle w:val="af1"/>
            <w:rFonts w:ascii="Times New Roman" w:eastAsia="宋体" w:hAnsi="Times New Roman" w:cs="Times New Roman"/>
            <w:noProof/>
            <w:color w:val="auto"/>
            <w:sz w:val="24"/>
            <w:szCs w:val="24"/>
          </w:rPr>
          <w:t>关于前次募投项目</w:t>
        </w:r>
        <w:r w:rsidR="007C73F5" w:rsidRPr="004865EF">
          <w:rPr>
            <w:rFonts w:ascii="Times New Roman" w:eastAsia="宋体" w:hAnsi="Times New Roman" w:cs="Times New Roman"/>
            <w:noProof/>
            <w:webHidden/>
            <w:sz w:val="24"/>
            <w:szCs w:val="24"/>
          </w:rPr>
          <w:tab/>
        </w:r>
        <w:r w:rsidR="007C73F5" w:rsidRPr="004865EF">
          <w:rPr>
            <w:rFonts w:ascii="Times New Roman" w:eastAsia="宋体" w:hAnsi="Times New Roman" w:cs="Times New Roman"/>
            <w:noProof/>
            <w:webHidden/>
            <w:sz w:val="24"/>
            <w:szCs w:val="24"/>
          </w:rPr>
          <w:fldChar w:fldCharType="begin" w:fldLock="1"/>
        </w:r>
        <w:r w:rsidR="007C73F5" w:rsidRPr="004865EF">
          <w:rPr>
            <w:rFonts w:ascii="Times New Roman" w:eastAsia="宋体" w:hAnsi="Times New Roman" w:cs="Times New Roman"/>
            <w:noProof/>
            <w:webHidden/>
            <w:sz w:val="24"/>
            <w:szCs w:val="24"/>
          </w:rPr>
          <w:instrText xml:space="preserve"> PAGEREF _Toc47020537 \h </w:instrText>
        </w:r>
        <w:r w:rsidR="007C73F5" w:rsidRPr="004865EF">
          <w:rPr>
            <w:rFonts w:ascii="Times New Roman" w:eastAsia="宋体" w:hAnsi="Times New Roman" w:cs="Times New Roman"/>
            <w:noProof/>
            <w:webHidden/>
            <w:sz w:val="24"/>
            <w:szCs w:val="24"/>
          </w:rPr>
        </w:r>
        <w:r w:rsidR="007C73F5" w:rsidRPr="004865EF">
          <w:rPr>
            <w:rFonts w:ascii="Times New Roman" w:eastAsia="宋体" w:hAnsi="Times New Roman" w:cs="Times New Roman"/>
            <w:noProof/>
            <w:webHidden/>
            <w:sz w:val="24"/>
            <w:szCs w:val="24"/>
          </w:rPr>
          <w:fldChar w:fldCharType="separate"/>
        </w:r>
        <w:r w:rsidR="004865EF">
          <w:rPr>
            <w:rFonts w:ascii="Times New Roman" w:eastAsia="宋体" w:hAnsi="Times New Roman" w:cs="Times New Roman"/>
            <w:noProof/>
            <w:webHidden/>
            <w:sz w:val="24"/>
            <w:szCs w:val="24"/>
          </w:rPr>
          <w:t>48</w:t>
        </w:r>
        <w:r w:rsidR="007C73F5" w:rsidRPr="004865EF">
          <w:rPr>
            <w:rFonts w:ascii="Times New Roman" w:eastAsia="宋体" w:hAnsi="Times New Roman" w:cs="Times New Roman"/>
            <w:noProof/>
            <w:webHidden/>
            <w:sz w:val="24"/>
            <w:szCs w:val="24"/>
          </w:rPr>
          <w:fldChar w:fldCharType="end"/>
        </w:r>
      </w:hyperlink>
    </w:p>
    <w:p w14:paraId="1715AC2C" w14:textId="656D2837" w:rsidR="007C73F5" w:rsidRPr="004865EF" w:rsidRDefault="00DE1BA6" w:rsidP="007C73F5">
      <w:pPr>
        <w:pStyle w:val="14"/>
        <w:spacing w:beforeLines="50" w:before="156" w:afterLines="50" w:after="156" w:line="360" w:lineRule="auto"/>
        <w:rPr>
          <w:rFonts w:ascii="Times New Roman" w:eastAsia="宋体" w:hAnsi="Times New Roman" w:cs="Times New Roman"/>
          <w:noProof/>
          <w:sz w:val="24"/>
          <w:szCs w:val="24"/>
        </w:rPr>
      </w:pPr>
      <w:hyperlink w:anchor="_Toc47020538" w:history="1">
        <w:r w:rsidR="007C73F5" w:rsidRPr="004865EF">
          <w:rPr>
            <w:rStyle w:val="af1"/>
            <w:rFonts w:ascii="Times New Roman" w:eastAsia="宋体" w:hAnsi="Times New Roman" w:cs="Times New Roman"/>
            <w:noProof/>
            <w:color w:val="auto"/>
            <w:sz w:val="24"/>
            <w:szCs w:val="24"/>
          </w:rPr>
          <w:t>问题</w:t>
        </w:r>
        <w:r w:rsidR="007C73F5" w:rsidRPr="004865EF">
          <w:rPr>
            <w:rStyle w:val="af1"/>
            <w:rFonts w:ascii="Times New Roman" w:eastAsia="宋体" w:hAnsi="Times New Roman" w:cs="Times New Roman"/>
            <w:noProof/>
            <w:color w:val="auto"/>
            <w:sz w:val="24"/>
            <w:szCs w:val="24"/>
          </w:rPr>
          <w:t>4.</w:t>
        </w:r>
        <w:r w:rsidR="007C73F5" w:rsidRPr="004865EF">
          <w:rPr>
            <w:rStyle w:val="af1"/>
            <w:rFonts w:ascii="Times New Roman" w:eastAsia="宋体" w:hAnsi="Times New Roman" w:cs="Times New Roman"/>
            <w:noProof/>
            <w:color w:val="auto"/>
            <w:sz w:val="24"/>
            <w:szCs w:val="24"/>
          </w:rPr>
          <w:t>关于募投项目用地</w:t>
        </w:r>
        <w:r w:rsidR="007C73F5" w:rsidRPr="004865EF">
          <w:rPr>
            <w:rFonts w:ascii="Times New Roman" w:eastAsia="宋体" w:hAnsi="Times New Roman" w:cs="Times New Roman"/>
            <w:noProof/>
            <w:webHidden/>
            <w:sz w:val="24"/>
            <w:szCs w:val="24"/>
          </w:rPr>
          <w:tab/>
        </w:r>
        <w:r w:rsidR="007C73F5" w:rsidRPr="004865EF">
          <w:rPr>
            <w:rFonts w:ascii="Times New Roman" w:eastAsia="宋体" w:hAnsi="Times New Roman" w:cs="Times New Roman"/>
            <w:noProof/>
            <w:webHidden/>
            <w:sz w:val="24"/>
            <w:szCs w:val="24"/>
          </w:rPr>
          <w:fldChar w:fldCharType="begin" w:fldLock="1"/>
        </w:r>
        <w:r w:rsidR="007C73F5" w:rsidRPr="004865EF">
          <w:rPr>
            <w:rFonts w:ascii="Times New Roman" w:eastAsia="宋体" w:hAnsi="Times New Roman" w:cs="Times New Roman"/>
            <w:noProof/>
            <w:webHidden/>
            <w:sz w:val="24"/>
            <w:szCs w:val="24"/>
          </w:rPr>
          <w:instrText xml:space="preserve"> PAGEREF _Toc47020538 \h </w:instrText>
        </w:r>
        <w:r w:rsidR="007C73F5" w:rsidRPr="004865EF">
          <w:rPr>
            <w:rFonts w:ascii="Times New Roman" w:eastAsia="宋体" w:hAnsi="Times New Roman" w:cs="Times New Roman"/>
            <w:noProof/>
            <w:webHidden/>
            <w:sz w:val="24"/>
            <w:szCs w:val="24"/>
          </w:rPr>
        </w:r>
        <w:r w:rsidR="007C73F5" w:rsidRPr="004865EF">
          <w:rPr>
            <w:rFonts w:ascii="Times New Roman" w:eastAsia="宋体" w:hAnsi="Times New Roman" w:cs="Times New Roman"/>
            <w:noProof/>
            <w:webHidden/>
            <w:sz w:val="24"/>
            <w:szCs w:val="24"/>
          </w:rPr>
          <w:fldChar w:fldCharType="separate"/>
        </w:r>
        <w:r w:rsidR="004865EF">
          <w:rPr>
            <w:rFonts w:ascii="Times New Roman" w:eastAsia="宋体" w:hAnsi="Times New Roman" w:cs="Times New Roman"/>
            <w:noProof/>
            <w:webHidden/>
            <w:sz w:val="24"/>
            <w:szCs w:val="24"/>
          </w:rPr>
          <w:t>53</w:t>
        </w:r>
        <w:r w:rsidR="007C73F5" w:rsidRPr="004865EF">
          <w:rPr>
            <w:rFonts w:ascii="Times New Roman" w:eastAsia="宋体" w:hAnsi="Times New Roman" w:cs="Times New Roman"/>
            <w:noProof/>
            <w:webHidden/>
            <w:sz w:val="24"/>
            <w:szCs w:val="24"/>
          </w:rPr>
          <w:fldChar w:fldCharType="end"/>
        </w:r>
      </w:hyperlink>
    </w:p>
    <w:p w14:paraId="357ABFAB" w14:textId="274AACA2" w:rsidR="007C73F5" w:rsidRPr="004865EF" w:rsidRDefault="00DE1BA6" w:rsidP="007C73F5">
      <w:pPr>
        <w:pStyle w:val="14"/>
        <w:spacing w:beforeLines="50" w:before="156" w:afterLines="50" w:after="156" w:line="360" w:lineRule="auto"/>
        <w:rPr>
          <w:rFonts w:ascii="Times New Roman" w:eastAsia="宋体" w:hAnsi="Times New Roman" w:cs="Times New Roman"/>
          <w:noProof/>
          <w:sz w:val="24"/>
          <w:szCs w:val="24"/>
        </w:rPr>
      </w:pPr>
      <w:hyperlink w:anchor="_Toc47020539" w:history="1">
        <w:r w:rsidR="007C73F5" w:rsidRPr="004865EF">
          <w:rPr>
            <w:rStyle w:val="af1"/>
            <w:rFonts w:ascii="Times New Roman" w:eastAsia="宋体" w:hAnsi="Times New Roman" w:cs="Times New Roman"/>
            <w:noProof/>
            <w:color w:val="auto"/>
            <w:sz w:val="24"/>
            <w:szCs w:val="24"/>
          </w:rPr>
          <w:t>问题</w:t>
        </w:r>
        <w:r w:rsidR="007C73F5" w:rsidRPr="004865EF">
          <w:rPr>
            <w:rStyle w:val="af1"/>
            <w:rFonts w:ascii="Times New Roman" w:eastAsia="宋体" w:hAnsi="Times New Roman" w:cs="Times New Roman"/>
            <w:noProof/>
            <w:color w:val="auto"/>
            <w:sz w:val="24"/>
            <w:szCs w:val="24"/>
          </w:rPr>
          <w:t>5.</w:t>
        </w:r>
        <w:r w:rsidR="007C73F5" w:rsidRPr="004865EF">
          <w:rPr>
            <w:rStyle w:val="af1"/>
            <w:rFonts w:ascii="Times New Roman" w:eastAsia="宋体" w:hAnsi="Times New Roman" w:cs="Times New Roman"/>
            <w:noProof/>
            <w:color w:val="auto"/>
            <w:sz w:val="24"/>
            <w:szCs w:val="24"/>
          </w:rPr>
          <w:t>关于募投项目用能指标及资质、许可取得情况</w:t>
        </w:r>
        <w:r w:rsidR="007C73F5" w:rsidRPr="004865EF">
          <w:rPr>
            <w:rFonts w:ascii="Times New Roman" w:eastAsia="宋体" w:hAnsi="Times New Roman" w:cs="Times New Roman"/>
            <w:noProof/>
            <w:webHidden/>
            <w:sz w:val="24"/>
            <w:szCs w:val="24"/>
          </w:rPr>
          <w:tab/>
        </w:r>
        <w:r w:rsidR="007C73F5" w:rsidRPr="004865EF">
          <w:rPr>
            <w:rFonts w:ascii="Times New Roman" w:eastAsia="宋体" w:hAnsi="Times New Roman" w:cs="Times New Roman"/>
            <w:noProof/>
            <w:webHidden/>
            <w:sz w:val="24"/>
            <w:szCs w:val="24"/>
          </w:rPr>
          <w:fldChar w:fldCharType="begin" w:fldLock="1"/>
        </w:r>
        <w:r w:rsidR="007C73F5" w:rsidRPr="004865EF">
          <w:rPr>
            <w:rFonts w:ascii="Times New Roman" w:eastAsia="宋体" w:hAnsi="Times New Roman" w:cs="Times New Roman"/>
            <w:noProof/>
            <w:webHidden/>
            <w:sz w:val="24"/>
            <w:szCs w:val="24"/>
          </w:rPr>
          <w:instrText xml:space="preserve"> PAGEREF _Toc47020539 \h </w:instrText>
        </w:r>
        <w:r w:rsidR="007C73F5" w:rsidRPr="004865EF">
          <w:rPr>
            <w:rFonts w:ascii="Times New Roman" w:eastAsia="宋体" w:hAnsi="Times New Roman" w:cs="Times New Roman"/>
            <w:noProof/>
            <w:webHidden/>
            <w:sz w:val="24"/>
            <w:szCs w:val="24"/>
          </w:rPr>
        </w:r>
        <w:r w:rsidR="007C73F5" w:rsidRPr="004865EF">
          <w:rPr>
            <w:rFonts w:ascii="Times New Roman" w:eastAsia="宋体" w:hAnsi="Times New Roman" w:cs="Times New Roman"/>
            <w:noProof/>
            <w:webHidden/>
            <w:sz w:val="24"/>
            <w:szCs w:val="24"/>
          </w:rPr>
          <w:fldChar w:fldCharType="separate"/>
        </w:r>
        <w:r w:rsidR="004865EF">
          <w:rPr>
            <w:rFonts w:ascii="Times New Roman" w:eastAsia="宋体" w:hAnsi="Times New Roman" w:cs="Times New Roman"/>
            <w:noProof/>
            <w:webHidden/>
            <w:sz w:val="24"/>
            <w:szCs w:val="24"/>
          </w:rPr>
          <w:t>56</w:t>
        </w:r>
        <w:r w:rsidR="007C73F5" w:rsidRPr="004865EF">
          <w:rPr>
            <w:rFonts w:ascii="Times New Roman" w:eastAsia="宋体" w:hAnsi="Times New Roman" w:cs="Times New Roman"/>
            <w:noProof/>
            <w:webHidden/>
            <w:sz w:val="24"/>
            <w:szCs w:val="24"/>
          </w:rPr>
          <w:fldChar w:fldCharType="end"/>
        </w:r>
      </w:hyperlink>
    </w:p>
    <w:p w14:paraId="4117D8FD" w14:textId="4404BD65" w:rsidR="007C73F5" w:rsidRPr="004865EF" w:rsidRDefault="00DE1BA6" w:rsidP="007C73F5">
      <w:pPr>
        <w:pStyle w:val="14"/>
        <w:spacing w:beforeLines="50" w:before="156" w:afterLines="50" w:after="156" w:line="360" w:lineRule="auto"/>
        <w:rPr>
          <w:rFonts w:ascii="Times New Roman" w:eastAsia="宋体" w:hAnsi="Times New Roman" w:cs="Times New Roman"/>
          <w:noProof/>
          <w:sz w:val="24"/>
          <w:szCs w:val="24"/>
        </w:rPr>
      </w:pPr>
      <w:hyperlink w:anchor="_Toc47020540" w:history="1">
        <w:r w:rsidR="007C73F5" w:rsidRPr="004865EF">
          <w:rPr>
            <w:rStyle w:val="af1"/>
            <w:rFonts w:ascii="Times New Roman" w:eastAsia="宋体" w:hAnsi="Times New Roman" w:cs="Times New Roman"/>
            <w:noProof/>
            <w:color w:val="auto"/>
            <w:sz w:val="24"/>
            <w:szCs w:val="24"/>
          </w:rPr>
          <w:t>问题</w:t>
        </w:r>
        <w:r w:rsidR="007C73F5" w:rsidRPr="004865EF">
          <w:rPr>
            <w:rStyle w:val="af1"/>
            <w:rFonts w:ascii="Times New Roman" w:eastAsia="宋体" w:hAnsi="Times New Roman" w:cs="Times New Roman"/>
            <w:noProof/>
            <w:color w:val="auto"/>
            <w:sz w:val="24"/>
            <w:szCs w:val="24"/>
          </w:rPr>
          <w:t>6.</w:t>
        </w:r>
        <w:r w:rsidR="007C73F5" w:rsidRPr="004865EF">
          <w:rPr>
            <w:rStyle w:val="af1"/>
            <w:rFonts w:ascii="Times New Roman" w:eastAsia="宋体" w:hAnsi="Times New Roman" w:cs="Times New Roman"/>
            <w:noProof/>
            <w:color w:val="auto"/>
            <w:sz w:val="24"/>
            <w:szCs w:val="24"/>
          </w:rPr>
          <w:t>关于未决诉讼</w:t>
        </w:r>
        <w:r w:rsidR="007C73F5" w:rsidRPr="004865EF">
          <w:rPr>
            <w:rFonts w:ascii="Times New Roman" w:eastAsia="宋体" w:hAnsi="Times New Roman" w:cs="Times New Roman"/>
            <w:noProof/>
            <w:webHidden/>
            <w:sz w:val="24"/>
            <w:szCs w:val="24"/>
          </w:rPr>
          <w:tab/>
        </w:r>
        <w:r w:rsidR="007C73F5" w:rsidRPr="004865EF">
          <w:rPr>
            <w:rFonts w:ascii="Times New Roman" w:eastAsia="宋体" w:hAnsi="Times New Roman" w:cs="Times New Roman"/>
            <w:noProof/>
            <w:webHidden/>
            <w:sz w:val="24"/>
            <w:szCs w:val="24"/>
          </w:rPr>
          <w:fldChar w:fldCharType="begin" w:fldLock="1"/>
        </w:r>
        <w:r w:rsidR="007C73F5" w:rsidRPr="004865EF">
          <w:rPr>
            <w:rFonts w:ascii="Times New Roman" w:eastAsia="宋体" w:hAnsi="Times New Roman" w:cs="Times New Roman"/>
            <w:noProof/>
            <w:webHidden/>
            <w:sz w:val="24"/>
            <w:szCs w:val="24"/>
          </w:rPr>
          <w:instrText xml:space="preserve"> PAGEREF _Toc47020540 \h </w:instrText>
        </w:r>
        <w:r w:rsidR="007C73F5" w:rsidRPr="004865EF">
          <w:rPr>
            <w:rFonts w:ascii="Times New Roman" w:eastAsia="宋体" w:hAnsi="Times New Roman" w:cs="Times New Roman"/>
            <w:noProof/>
            <w:webHidden/>
            <w:sz w:val="24"/>
            <w:szCs w:val="24"/>
          </w:rPr>
        </w:r>
        <w:r w:rsidR="007C73F5" w:rsidRPr="004865EF">
          <w:rPr>
            <w:rFonts w:ascii="Times New Roman" w:eastAsia="宋体" w:hAnsi="Times New Roman" w:cs="Times New Roman"/>
            <w:noProof/>
            <w:webHidden/>
            <w:sz w:val="24"/>
            <w:szCs w:val="24"/>
          </w:rPr>
          <w:fldChar w:fldCharType="separate"/>
        </w:r>
        <w:r w:rsidR="004865EF">
          <w:rPr>
            <w:rFonts w:ascii="Times New Roman" w:eastAsia="宋体" w:hAnsi="Times New Roman" w:cs="Times New Roman"/>
            <w:noProof/>
            <w:webHidden/>
            <w:sz w:val="24"/>
            <w:szCs w:val="24"/>
          </w:rPr>
          <w:t>62</w:t>
        </w:r>
        <w:r w:rsidR="007C73F5" w:rsidRPr="004865EF">
          <w:rPr>
            <w:rFonts w:ascii="Times New Roman" w:eastAsia="宋体" w:hAnsi="Times New Roman" w:cs="Times New Roman"/>
            <w:noProof/>
            <w:webHidden/>
            <w:sz w:val="24"/>
            <w:szCs w:val="24"/>
          </w:rPr>
          <w:fldChar w:fldCharType="end"/>
        </w:r>
      </w:hyperlink>
    </w:p>
    <w:p w14:paraId="4AEC41E5" w14:textId="042938C6" w:rsidR="007C73F5" w:rsidRPr="004865EF" w:rsidRDefault="00DE1BA6" w:rsidP="007C73F5">
      <w:pPr>
        <w:pStyle w:val="14"/>
        <w:spacing w:beforeLines="50" w:before="156" w:afterLines="50" w:after="156" w:line="360" w:lineRule="auto"/>
        <w:rPr>
          <w:rFonts w:ascii="Times New Roman" w:eastAsia="宋体" w:hAnsi="Times New Roman" w:cs="Times New Roman"/>
          <w:noProof/>
          <w:sz w:val="24"/>
          <w:szCs w:val="24"/>
        </w:rPr>
      </w:pPr>
      <w:hyperlink w:anchor="_Toc47020541" w:history="1">
        <w:r w:rsidR="007C73F5" w:rsidRPr="004865EF">
          <w:rPr>
            <w:rStyle w:val="af1"/>
            <w:rFonts w:ascii="Times New Roman" w:eastAsia="宋体" w:hAnsi="Times New Roman" w:cs="Times New Roman"/>
            <w:noProof/>
            <w:color w:val="auto"/>
            <w:sz w:val="24"/>
            <w:szCs w:val="24"/>
          </w:rPr>
          <w:t>问题</w:t>
        </w:r>
        <w:r w:rsidR="007C73F5" w:rsidRPr="004865EF">
          <w:rPr>
            <w:rStyle w:val="af1"/>
            <w:rFonts w:ascii="Times New Roman" w:eastAsia="宋体" w:hAnsi="Times New Roman" w:cs="Times New Roman"/>
            <w:noProof/>
            <w:color w:val="auto"/>
            <w:sz w:val="24"/>
            <w:szCs w:val="24"/>
          </w:rPr>
          <w:t>7.</w:t>
        </w:r>
        <w:r w:rsidR="007C73F5" w:rsidRPr="004865EF">
          <w:rPr>
            <w:rStyle w:val="af1"/>
            <w:rFonts w:ascii="Times New Roman" w:eastAsia="宋体" w:hAnsi="Times New Roman" w:cs="Times New Roman"/>
            <w:noProof/>
            <w:color w:val="auto"/>
            <w:sz w:val="24"/>
            <w:szCs w:val="24"/>
          </w:rPr>
          <w:t>关于商誉</w:t>
        </w:r>
        <w:r w:rsidR="007C73F5" w:rsidRPr="004865EF">
          <w:rPr>
            <w:rFonts w:ascii="Times New Roman" w:eastAsia="宋体" w:hAnsi="Times New Roman" w:cs="Times New Roman"/>
            <w:noProof/>
            <w:webHidden/>
            <w:sz w:val="24"/>
            <w:szCs w:val="24"/>
          </w:rPr>
          <w:tab/>
        </w:r>
        <w:r w:rsidR="007C73F5" w:rsidRPr="004865EF">
          <w:rPr>
            <w:rFonts w:ascii="Times New Roman" w:eastAsia="宋体" w:hAnsi="Times New Roman" w:cs="Times New Roman"/>
            <w:noProof/>
            <w:webHidden/>
            <w:sz w:val="24"/>
            <w:szCs w:val="24"/>
          </w:rPr>
          <w:fldChar w:fldCharType="begin" w:fldLock="1"/>
        </w:r>
        <w:r w:rsidR="007C73F5" w:rsidRPr="004865EF">
          <w:rPr>
            <w:rFonts w:ascii="Times New Roman" w:eastAsia="宋体" w:hAnsi="Times New Roman" w:cs="Times New Roman"/>
            <w:noProof/>
            <w:webHidden/>
            <w:sz w:val="24"/>
            <w:szCs w:val="24"/>
          </w:rPr>
          <w:instrText xml:space="preserve"> PAGEREF _Toc47020541 \h </w:instrText>
        </w:r>
        <w:r w:rsidR="007C73F5" w:rsidRPr="004865EF">
          <w:rPr>
            <w:rFonts w:ascii="Times New Roman" w:eastAsia="宋体" w:hAnsi="Times New Roman" w:cs="Times New Roman"/>
            <w:noProof/>
            <w:webHidden/>
            <w:sz w:val="24"/>
            <w:szCs w:val="24"/>
          </w:rPr>
        </w:r>
        <w:r w:rsidR="007C73F5" w:rsidRPr="004865EF">
          <w:rPr>
            <w:rFonts w:ascii="Times New Roman" w:eastAsia="宋体" w:hAnsi="Times New Roman" w:cs="Times New Roman"/>
            <w:noProof/>
            <w:webHidden/>
            <w:sz w:val="24"/>
            <w:szCs w:val="24"/>
          </w:rPr>
          <w:fldChar w:fldCharType="separate"/>
        </w:r>
        <w:r w:rsidR="004865EF">
          <w:rPr>
            <w:rFonts w:ascii="Times New Roman" w:eastAsia="宋体" w:hAnsi="Times New Roman" w:cs="Times New Roman"/>
            <w:noProof/>
            <w:webHidden/>
            <w:sz w:val="24"/>
            <w:szCs w:val="24"/>
          </w:rPr>
          <w:t>65</w:t>
        </w:r>
        <w:r w:rsidR="007C73F5" w:rsidRPr="004865EF">
          <w:rPr>
            <w:rFonts w:ascii="Times New Roman" w:eastAsia="宋体" w:hAnsi="Times New Roman" w:cs="Times New Roman"/>
            <w:noProof/>
            <w:webHidden/>
            <w:sz w:val="24"/>
            <w:szCs w:val="24"/>
          </w:rPr>
          <w:fldChar w:fldCharType="end"/>
        </w:r>
      </w:hyperlink>
    </w:p>
    <w:p w14:paraId="6775BA90" w14:textId="0A884544" w:rsidR="00FF140E" w:rsidRPr="004865EF" w:rsidRDefault="00181621" w:rsidP="007C73F5">
      <w:pPr>
        <w:widowControl/>
        <w:spacing w:beforeLines="50" w:before="156" w:afterLines="50" w:after="156" w:line="360" w:lineRule="auto"/>
        <w:jc w:val="left"/>
      </w:pPr>
      <w:r w:rsidRPr="004865EF">
        <w:rPr>
          <w:rFonts w:ascii="Times New Roman" w:eastAsia="宋体" w:hAnsi="Times New Roman" w:cs="Times New Roman"/>
          <w:sz w:val="24"/>
        </w:rPr>
        <w:fldChar w:fldCharType="end"/>
      </w:r>
      <w:r w:rsidR="00FF140E" w:rsidRPr="004865EF">
        <w:br w:type="page"/>
      </w:r>
    </w:p>
    <w:p w14:paraId="703E2A3E" w14:textId="2D54047F" w:rsidR="00B4309A" w:rsidRPr="004865EF" w:rsidRDefault="00B4309A" w:rsidP="00181621">
      <w:pPr>
        <w:pStyle w:val="1"/>
      </w:pPr>
      <w:bookmarkStart w:id="1" w:name="_Toc46013710"/>
      <w:bookmarkStart w:id="2" w:name="_Toc47020535"/>
      <w:r w:rsidRPr="004865EF">
        <w:rPr>
          <w:rFonts w:hint="eastAsia"/>
        </w:rPr>
        <w:lastRenderedPageBreak/>
        <w:t>问题</w:t>
      </w:r>
      <w:r w:rsidRPr="004865EF">
        <w:t>1</w:t>
      </w:r>
      <w:r w:rsidR="0063025B" w:rsidRPr="004865EF">
        <w:t>.关于</w:t>
      </w:r>
      <w:proofErr w:type="gramStart"/>
      <w:r w:rsidR="0063025B" w:rsidRPr="004865EF">
        <w:t>募投项目</w:t>
      </w:r>
      <w:proofErr w:type="gramEnd"/>
      <w:r w:rsidR="0063025B" w:rsidRPr="004865EF">
        <w:rPr>
          <w:rFonts w:hint="eastAsia"/>
        </w:rPr>
        <w:t>相关</w:t>
      </w:r>
      <w:r w:rsidR="0063025B" w:rsidRPr="004865EF">
        <w:t>情况</w:t>
      </w:r>
      <w:bookmarkEnd w:id="1"/>
      <w:bookmarkEnd w:id="2"/>
    </w:p>
    <w:p w14:paraId="17DCACDC" w14:textId="1D055297" w:rsidR="00C673C2" w:rsidRPr="004865EF" w:rsidRDefault="00C673C2" w:rsidP="00A66425">
      <w:pPr>
        <w:pStyle w:val="-"/>
        <w:spacing w:beforeLines="50" w:before="156" w:line="360" w:lineRule="auto"/>
        <w:ind w:firstLineChars="200" w:firstLine="482"/>
        <w:rPr>
          <w:rFonts w:ascii="黑体" w:eastAsia="黑体" w:hAnsi="黑体"/>
          <w:b/>
          <w:sz w:val="24"/>
        </w:rPr>
      </w:pPr>
      <w:r w:rsidRPr="004865EF">
        <w:rPr>
          <w:rFonts w:ascii="黑体" w:eastAsia="黑体" w:hAnsi="黑体" w:hint="eastAsia"/>
          <w:b/>
          <w:sz w:val="24"/>
        </w:rPr>
        <w:t>本次发行募集金额</w:t>
      </w:r>
      <w:r w:rsidRPr="004865EF">
        <w:rPr>
          <w:rFonts w:ascii="黑体" w:eastAsia="黑体" w:hAnsi="黑体"/>
          <w:b/>
          <w:sz w:val="24"/>
        </w:rPr>
        <w:t>50</w:t>
      </w:r>
      <w:r w:rsidRPr="004865EF">
        <w:rPr>
          <w:rFonts w:ascii="黑体" w:eastAsia="黑体" w:hAnsi="黑体" w:hint="eastAsia"/>
          <w:b/>
          <w:sz w:val="24"/>
        </w:rPr>
        <w:t>亿元，投资于多个数据中心及</w:t>
      </w:r>
      <w:proofErr w:type="gramStart"/>
      <w:r w:rsidRPr="004865EF">
        <w:rPr>
          <w:rFonts w:ascii="黑体" w:eastAsia="黑体" w:hAnsi="黑体" w:hint="eastAsia"/>
          <w:b/>
          <w:sz w:val="24"/>
        </w:rPr>
        <w:t>云计算</w:t>
      </w:r>
      <w:proofErr w:type="gramEnd"/>
      <w:r w:rsidRPr="004865EF">
        <w:rPr>
          <w:rFonts w:ascii="黑体" w:eastAsia="黑体" w:hAnsi="黑体" w:hint="eastAsia"/>
          <w:b/>
          <w:sz w:val="24"/>
        </w:rPr>
        <w:t>基地项目并补充流动资金，</w:t>
      </w:r>
      <w:proofErr w:type="gramStart"/>
      <w:r w:rsidRPr="004865EF">
        <w:rPr>
          <w:rFonts w:ascii="黑体" w:eastAsia="黑体" w:hAnsi="黑体" w:hint="eastAsia"/>
          <w:b/>
          <w:sz w:val="24"/>
        </w:rPr>
        <w:t>募投项目</w:t>
      </w:r>
      <w:proofErr w:type="gramEnd"/>
      <w:r w:rsidRPr="004865EF">
        <w:rPr>
          <w:rFonts w:ascii="黑体" w:eastAsia="黑体" w:hAnsi="黑体" w:hint="eastAsia"/>
          <w:b/>
          <w:sz w:val="24"/>
        </w:rPr>
        <w:t>投资金额为</w:t>
      </w:r>
      <w:r w:rsidRPr="004865EF">
        <w:rPr>
          <w:rFonts w:ascii="黑体" w:eastAsia="黑体" w:hAnsi="黑体"/>
          <w:b/>
          <w:sz w:val="24"/>
        </w:rPr>
        <w:t>102.51</w:t>
      </w:r>
      <w:r w:rsidRPr="004865EF">
        <w:rPr>
          <w:rFonts w:ascii="黑体" w:eastAsia="黑体" w:hAnsi="黑体" w:hint="eastAsia"/>
          <w:b/>
          <w:sz w:val="24"/>
        </w:rPr>
        <w:t>亿元。</w:t>
      </w:r>
    </w:p>
    <w:p w14:paraId="07E02A66" w14:textId="77777777" w:rsidR="00C673C2" w:rsidRPr="004865EF" w:rsidRDefault="00C673C2" w:rsidP="00A66425">
      <w:pPr>
        <w:pStyle w:val="-"/>
        <w:spacing w:beforeLines="50" w:before="156" w:line="360" w:lineRule="auto"/>
        <w:ind w:firstLineChars="200" w:firstLine="482"/>
        <w:rPr>
          <w:rFonts w:ascii="黑体" w:eastAsia="黑体" w:hAnsi="黑体"/>
          <w:b/>
          <w:bCs/>
        </w:rPr>
      </w:pPr>
      <w:r w:rsidRPr="004865EF">
        <w:rPr>
          <w:rFonts w:ascii="黑体" w:eastAsia="黑体" w:hAnsi="黑体"/>
          <w:b/>
          <w:bCs/>
          <w:sz w:val="24"/>
        </w:rPr>
        <w:t>请发行人补充说明或披露：（1）多个</w:t>
      </w:r>
      <w:proofErr w:type="gramStart"/>
      <w:r w:rsidRPr="004865EF">
        <w:rPr>
          <w:rFonts w:ascii="黑体" w:eastAsia="黑体" w:hAnsi="黑体"/>
          <w:b/>
          <w:bCs/>
          <w:sz w:val="24"/>
        </w:rPr>
        <w:t>募投项目</w:t>
      </w:r>
      <w:proofErr w:type="gramEnd"/>
      <w:r w:rsidRPr="004865EF">
        <w:rPr>
          <w:rFonts w:ascii="黑体" w:eastAsia="黑体" w:hAnsi="黑体"/>
          <w:b/>
          <w:bCs/>
          <w:sz w:val="24"/>
        </w:rPr>
        <w:t>已于2018年、2019年相继开工建设，请逐个项目补充披露截至目前的建设进度，已投入资金及用途，已形成资产的具体内容；（2）说明</w:t>
      </w:r>
      <w:proofErr w:type="gramStart"/>
      <w:r w:rsidRPr="004865EF">
        <w:rPr>
          <w:rFonts w:ascii="黑体" w:eastAsia="黑体" w:hAnsi="黑体"/>
          <w:b/>
          <w:bCs/>
          <w:sz w:val="24"/>
        </w:rPr>
        <w:t>募投项目</w:t>
      </w:r>
      <w:proofErr w:type="gramEnd"/>
      <w:r w:rsidRPr="004865EF">
        <w:rPr>
          <w:rFonts w:ascii="黑体" w:eastAsia="黑体" w:hAnsi="黑体"/>
          <w:b/>
          <w:bCs/>
          <w:sz w:val="24"/>
        </w:rPr>
        <w:t>的具体建设内容，</w:t>
      </w:r>
      <w:proofErr w:type="gramStart"/>
      <w:r w:rsidRPr="004865EF">
        <w:rPr>
          <w:rFonts w:ascii="黑体" w:eastAsia="黑体" w:hAnsi="黑体"/>
          <w:b/>
          <w:bCs/>
          <w:sz w:val="24"/>
        </w:rPr>
        <w:t>募投项目</w:t>
      </w:r>
      <w:proofErr w:type="gramEnd"/>
      <w:r w:rsidRPr="004865EF">
        <w:rPr>
          <w:rFonts w:ascii="黑体" w:eastAsia="黑体" w:hAnsi="黑体"/>
          <w:b/>
          <w:bCs/>
          <w:sz w:val="24"/>
        </w:rPr>
        <w:t>具体投资数额安排明细，投资数额的测算依据和测算过程，各项投资构成是否属于资本性支出，以募集资金投入的比例；（3）披露本次</w:t>
      </w:r>
      <w:proofErr w:type="gramStart"/>
      <w:r w:rsidRPr="004865EF">
        <w:rPr>
          <w:rFonts w:ascii="黑体" w:eastAsia="黑体" w:hAnsi="黑体"/>
          <w:b/>
          <w:bCs/>
          <w:sz w:val="24"/>
        </w:rPr>
        <w:t>募投项目</w:t>
      </w:r>
      <w:proofErr w:type="gramEnd"/>
      <w:r w:rsidRPr="004865EF">
        <w:rPr>
          <w:rFonts w:ascii="黑体" w:eastAsia="黑体" w:hAnsi="黑体"/>
          <w:b/>
          <w:bCs/>
          <w:sz w:val="24"/>
        </w:rPr>
        <w:t>的募集资金使用和项目建设的进度安排，本次募集资金是否包含本次发行董事会决议日前已投入资金；（4）请以平实易懂的语言说明本次</w:t>
      </w:r>
      <w:proofErr w:type="gramStart"/>
      <w:r w:rsidRPr="004865EF">
        <w:rPr>
          <w:rFonts w:ascii="黑体" w:eastAsia="黑体" w:hAnsi="黑体"/>
          <w:b/>
          <w:bCs/>
          <w:sz w:val="24"/>
        </w:rPr>
        <w:t>募投项目</w:t>
      </w:r>
      <w:proofErr w:type="gramEnd"/>
      <w:r w:rsidRPr="004865EF">
        <w:rPr>
          <w:rFonts w:ascii="黑体" w:eastAsia="黑体" w:hAnsi="黑体"/>
          <w:b/>
          <w:bCs/>
          <w:sz w:val="24"/>
        </w:rPr>
        <w:t>的具体应用场景及盈利模式，公司是否具备与本次</w:t>
      </w:r>
      <w:proofErr w:type="gramStart"/>
      <w:r w:rsidRPr="004865EF">
        <w:rPr>
          <w:rFonts w:ascii="黑体" w:eastAsia="黑体" w:hAnsi="黑体"/>
          <w:b/>
          <w:bCs/>
          <w:sz w:val="24"/>
        </w:rPr>
        <w:t>募投项目</w:t>
      </w:r>
      <w:proofErr w:type="gramEnd"/>
      <w:r w:rsidRPr="004865EF">
        <w:rPr>
          <w:rFonts w:ascii="黑体" w:eastAsia="黑体" w:hAnsi="黑体"/>
          <w:b/>
          <w:bCs/>
          <w:sz w:val="24"/>
        </w:rPr>
        <w:t>相关的技术储备、人员储备和市场拓展能力等，项目实施是否存在重大不确定性风险；（5）说明相关市场发展情况及竞争情况，并结合市场空间、竞争情况、在手订单或意向性合同等，说明本次</w:t>
      </w:r>
      <w:proofErr w:type="gramStart"/>
      <w:r w:rsidRPr="004865EF">
        <w:rPr>
          <w:rFonts w:ascii="黑体" w:eastAsia="黑体" w:hAnsi="黑体"/>
          <w:b/>
          <w:bCs/>
          <w:sz w:val="24"/>
        </w:rPr>
        <w:t>募投项目</w:t>
      </w:r>
      <w:proofErr w:type="gramEnd"/>
      <w:r w:rsidRPr="004865EF">
        <w:rPr>
          <w:rFonts w:ascii="黑体" w:eastAsia="黑体" w:hAnsi="黑体"/>
          <w:b/>
          <w:bCs/>
          <w:sz w:val="24"/>
        </w:rPr>
        <w:t>投资规模的合理性，是否存在闲置风险；（6）披露本次</w:t>
      </w:r>
      <w:proofErr w:type="gramStart"/>
      <w:r w:rsidRPr="004865EF">
        <w:rPr>
          <w:rFonts w:ascii="黑体" w:eastAsia="黑体" w:hAnsi="黑体"/>
          <w:b/>
          <w:bCs/>
          <w:sz w:val="24"/>
        </w:rPr>
        <w:t>募投项目</w:t>
      </w:r>
      <w:proofErr w:type="gramEnd"/>
      <w:r w:rsidRPr="004865EF">
        <w:rPr>
          <w:rFonts w:ascii="黑体" w:eastAsia="黑体" w:hAnsi="黑体"/>
          <w:b/>
          <w:bCs/>
          <w:sz w:val="24"/>
        </w:rPr>
        <w:t>效益测算的过程及依据，结合公司毛利率波动及可比公司情况说明效益测算的谨慎合理性；（7）结合</w:t>
      </w:r>
      <w:proofErr w:type="gramStart"/>
      <w:r w:rsidRPr="004865EF">
        <w:rPr>
          <w:rFonts w:ascii="黑体" w:eastAsia="黑体" w:hAnsi="黑体"/>
          <w:b/>
          <w:bCs/>
          <w:sz w:val="24"/>
        </w:rPr>
        <w:t>募投项目</w:t>
      </w:r>
      <w:proofErr w:type="gramEnd"/>
      <w:r w:rsidRPr="004865EF">
        <w:rPr>
          <w:rFonts w:ascii="黑体" w:eastAsia="黑体" w:hAnsi="黑体"/>
          <w:b/>
          <w:bCs/>
          <w:sz w:val="24"/>
        </w:rPr>
        <w:t>所需剩余资金的具体来源和可行性等，说明</w:t>
      </w:r>
      <w:proofErr w:type="gramStart"/>
      <w:r w:rsidRPr="004865EF">
        <w:rPr>
          <w:rFonts w:ascii="黑体" w:eastAsia="黑体" w:hAnsi="黑体"/>
          <w:b/>
          <w:bCs/>
          <w:sz w:val="24"/>
        </w:rPr>
        <w:t>募投项目</w:t>
      </w:r>
      <w:proofErr w:type="gramEnd"/>
      <w:r w:rsidRPr="004865EF">
        <w:rPr>
          <w:rFonts w:ascii="黑体" w:eastAsia="黑体" w:hAnsi="黑体"/>
          <w:b/>
          <w:bCs/>
          <w:sz w:val="24"/>
        </w:rPr>
        <w:t>实施是否存在重大不确定性，并分析</w:t>
      </w:r>
      <w:proofErr w:type="gramStart"/>
      <w:r w:rsidRPr="004865EF">
        <w:rPr>
          <w:rFonts w:ascii="黑体" w:eastAsia="黑体" w:hAnsi="黑体"/>
          <w:b/>
          <w:bCs/>
          <w:sz w:val="24"/>
        </w:rPr>
        <w:t>募投项目</w:t>
      </w:r>
      <w:proofErr w:type="gramEnd"/>
      <w:r w:rsidRPr="004865EF">
        <w:rPr>
          <w:rFonts w:ascii="黑体" w:eastAsia="黑体" w:hAnsi="黑体"/>
          <w:b/>
          <w:bCs/>
          <w:sz w:val="24"/>
        </w:rPr>
        <w:t>建设对公司的资产负债率和财务费用的影响。</w:t>
      </w:r>
    </w:p>
    <w:p w14:paraId="3DC7408E" w14:textId="77777777" w:rsidR="00C673C2" w:rsidRPr="004865EF" w:rsidRDefault="00C673C2" w:rsidP="00A66425">
      <w:pPr>
        <w:pStyle w:val="-"/>
        <w:spacing w:beforeLines="50" w:before="156" w:line="360" w:lineRule="auto"/>
        <w:ind w:firstLineChars="200" w:firstLine="482"/>
        <w:rPr>
          <w:rFonts w:ascii="黑体" w:eastAsia="黑体" w:hAnsi="黑体"/>
          <w:b/>
          <w:bCs/>
        </w:rPr>
      </w:pPr>
      <w:r w:rsidRPr="004865EF">
        <w:rPr>
          <w:rFonts w:ascii="黑体" w:eastAsia="黑体" w:hAnsi="黑体"/>
          <w:b/>
          <w:bCs/>
          <w:sz w:val="24"/>
        </w:rPr>
        <w:t>请保荐人核查并发表明确意见。</w:t>
      </w:r>
    </w:p>
    <w:p w14:paraId="20045597" w14:textId="77777777" w:rsidR="00C673C2" w:rsidRPr="004865EF" w:rsidRDefault="00C673C2" w:rsidP="00602898">
      <w:pPr>
        <w:spacing w:beforeLines="50" w:before="156" w:line="360" w:lineRule="auto"/>
        <w:ind w:firstLine="480"/>
        <w:rPr>
          <w:rFonts w:ascii="Times New Roman" w:eastAsia="宋体" w:hAnsi="Times New Roman" w:cs="Times New Roman"/>
          <w:sz w:val="24"/>
        </w:rPr>
      </w:pPr>
      <w:r w:rsidRPr="004865EF">
        <w:rPr>
          <w:rFonts w:ascii="Times New Roman" w:eastAsia="宋体" w:hAnsi="Times New Roman" w:cs="Times New Roman"/>
          <w:sz w:val="24"/>
        </w:rPr>
        <w:t>【回复】</w:t>
      </w:r>
    </w:p>
    <w:p w14:paraId="17C75651" w14:textId="6465B6BF" w:rsidR="00602898" w:rsidRPr="004865EF" w:rsidRDefault="00602898" w:rsidP="00A66425">
      <w:pPr>
        <w:pStyle w:val="2"/>
        <w:spacing w:before="156" w:after="156"/>
      </w:pPr>
      <w:r w:rsidRPr="004865EF">
        <w:rPr>
          <w:rFonts w:hint="eastAsia"/>
        </w:rPr>
        <w:t>一、</w:t>
      </w:r>
      <w:r w:rsidRPr="004865EF">
        <w:t>多个</w:t>
      </w:r>
      <w:proofErr w:type="gramStart"/>
      <w:r w:rsidRPr="004865EF">
        <w:t>募投项目</w:t>
      </w:r>
      <w:proofErr w:type="gramEnd"/>
      <w:r w:rsidRPr="004865EF">
        <w:t>已于</w:t>
      </w:r>
      <w:r w:rsidRPr="004865EF">
        <w:t>2018</w:t>
      </w:r>
      <w:r w:rsidRPr="004865EF">
        <w:t>年、</w:t>
      </w:r>
      <w:r w:rsidRPr="004865EF">
        <w:t>2019</w:t>
      </w:r>
      <w:r w:rsidRPr="004865EF">
        <w:t>年相继开工建设，请逐个项目补充披露截至目前的建设进度，已投入资金及用途，已形成资产的具体内容</w:t>
      </w:r>
    </w:p>
    <w:p w14:paraId="55472276"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1</w:t>
      </w:r>
      <w:r w:rsidRPr="004865EF">
        <w:rPr>
          <w:rFonts w:ascii="Times New Roman" w:eastAsia="宋体" w:hAnsi="Times New Roman" w:cs="Times New Roman"/>
          <w:sz w:val="24"/>
        </w:rPr>
        <w:t>、</w:t>
      </w:r>
      <w:r w:rsidRPr="004865EF">
        <w:rPr>
          <w:rFonts w:ascii="Times New Roman" w:eastAsia="宋体" w:hAnsi="Times New Roman" w:cs="Times New Roman" w:hint="eastAsia"/>
          <w:sz w:val="24"/>
        </w:rPr>
        <w:t>北京房山绿色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数据中心二期</w:t>
      </w:r>
    </w:p>
    <w:p w14:paraId="2501FC2F" w14:textId="4351748F"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北京房山绿色</w:t>
      </w:r>
      <w:proofErr w:type="gramStart"/>
      <w:r w:rsidRPr="004865EF">
        <w:rPr>
          <w:rFonts w:ascii="Times New Roman" w:eastAsia="宋体" w:hAnsi="Times New Roman" w:cs="Times New Roman"/>
          <w:sz w:val="24"/>
        </w:rPr>
        <w:t>云计算</w:t>
      </w:r>
      <w:proofErr w:type="gramEnd"/>
      <w:r w:rsidRPr="004865EF">
        <w:rPr>
          <w:rFonts w:ascii="Times New Roman" w:eastAsia="宋体" w:hAnsi="Times New Roman" w:cs="Times New Roman"/>
          <w:sz w:val="24"/>
        </w:rPr>
        <w:t>数据中心二期项目（</w:t>
      </w:r>
      <w:r w:rsidRPr="004865EF">
        <w:rPr>
          <w:rFonts w:ascii="Times New Roman" w:eastAsia="宋体" w:hAnsi="Times New Roman" w:cs="Times New Roman" w:hint="eastAsia"/>
          <w:sz w:val="24"/>
        </w:rPr>
        <w:t>以下简称</w:t>
      </w:r>
      <w:r w:rsidR="00720C0D" w:rsidRPr="004865EF">
        <w:rPr>
          <w:rFonts w:ascii="Times New Roman" w:eastAsia="宋体" w:hAnsi="Times New Roman" w:cs="Times New Roman" w:hint="eastAsia"/>
          <w:sz w:val="24"/>
        </w:rPr>
        <w:t>“</w:t>
      </w:r>
      <w:r w:rsidRPr="004865EF">
        <w:rPr>
          <w:rFonts w:ascii="Times New Roman" w:eastAsia="宋体" w:hAnsi="Times New Roman" w:cs="Times New Roman" w:hint="eastAsia"/>
          <w:sz w:val="24"/>
        </w:rPr>
        <w:t>房山二期</w:t>
      </w:r>
      <w:r w:rsidR="00720C0D" w:rsidRPr="004865EF">
        <w:rPr>
          <w:rFonts w:ascii="Times New Roman" w:eastAsia="宋体" w:hAnsi="Times New Roman" w:cs="Times New Roman" w:hint="eastAsia"/>
          <w:sz w:val="24"/>
        </w:rPr>
        <w:t>”</w:t>
      </w:r>
      <w:r w:rsidRPr="004865EF">
        <w:rPr>
          <w:rFonts w:ascii="Times New Roman" w:eastAsia="宋体" w:hAnsi="Times New Roman" w:cs="Times New Roman"/>
          <w:sz w:val="24"/>
        </w:rPr>
        <w:t>）于</w:t>
      </w:r>
      <w:r w:rsidRPr="004865EF">
        <w:rPr>
          <w:rFonts w:ascii="Times New Roman" w:eastAsia="宋体" w:hAnsi="Times New Roman" w:cs="Times New Roman"/>
          <w:sz w:val="24"/>
        </w:rPr>
        <w:t>2018</w:t>
      </w:r>
      <w:r w:rsidRPr="004865EF">
        <w:rPr>
          <w:rFonts w:ascii="Times New Roman" w:eastAsia="宋体" w:hAnsi="Times New Roman" w:cs="Times New Roman"/>
          <w:sz w:val="24"/>
        </w:rPr>
        <w:t>年开始</w:t>
      </w:r>
      <w:r w:rsidRPr="004865EF">
        <w:rPr>
          <w:rFonts w:ascii="Times New Roman" w:eastAsia="宋体" w:hAnsi="Times New Roman" w:cs="Times New Roman" w:hint="eastAsia"/>
          <w:sz w:val="24"/>
        </w:rPr>
        <w:t>规划</w:t>
      </w:r>
      <w:r w:rsidRPr="004865EF">
        <w:rPr>
          <w:rFonts w:ascii="Times New Roman" w:eastAsia="宋体" w:hAnsi="Times New Roman" w:cs="Times New Roman"/>
          <w:sz w:val="24"/>
        </w:rPr>
        <w:t>建设，</w:t>
      </w:r>
      <w:r w:rsidRPr="004865EF">
        <w:rPr>
          <w:rFonts w:ascii="Times New Roman" w:eastAsia="宋体" w:hAnsi="Times New Roman" w:cs="Times New Roman" w:hint="eastAsia"/>
          <w:sz w:val="24"/>
        </w:rPr>
        <w:t>预计投资总规模</w:t>
      </w:r>
      <w:r w:rsidRPr="004865EF">
        <w:rPr>
          <w:rFonts w:ascii="Times New Roman" w:eastAsia="宋体" w:hAnsi="Times New Roman" w:cs="Times New Roman"/>
          <w:sz w:val="24"/>
        </w:rPr>
        <w:t>122,090.28</w:t>
      </w:r>
      <w:r w:rsidRPr="004865EF">
        <w:rPr>
          <w:rFonts w:ascii="Times New Roman" w:eastAsia="宋体" w:hAnsi="Times New Roman" w:cs="Times New Roman" w:hint="eastAsia"/>
          <w:sz w:val="24"/>
        </w:rPr>
        <w:t>万元。</w:t>
      </w:r>
      <w:r w:rsidR="0066323D" w:rsidRPr="004865EF">
        <w:rPr>
          <w:rFonts w:ascii="楷体" w:eastAsia="楷体" w:hAnsi="楷体" w:cs="Times New Roman" w:hint="eastAsia"/>
          <w:b/>
          <w:bCs/>
          <w:sz w:val="24"/>
        </w:rPr>
        <w:t>截至2020年9月24日</w:t>
      </w:r>
      <w:r w:rsidRPr="004865EF">
        <w:rPr>
          <w:rFonts w:ascii="Times New Roman" w:eastAsia="宋体" w:hAnsi="Times New Roman" w:cs="Times New Roman" w:hint="eastAsia"/>
          <w:bCs/>
          <w:sz w:val="24"/>
        </w:rPr>
        <w:t>，房山二期项目已完成土地平整、数据中心楼宇主体建设，正处于机电设备购置安装阶段，实际累计投资</w:t>
      </w:r>
      <w:r w:rsidR="005962EB" w:rsidRPr="004865EF">
        <w:rPr>
          <w:rFonts w:ascii="Times New Roman" w:eastAsia="宋体" w:hAnsi="Times New Roman" w:cs="Times New Roman"/>
          <w:bCs/>
          <w:sz w:val="24"/>
        </w:rPr>
        <w:t>22,155.02</w:t>
      </w:r>
      <w:r w:rsidRPr="004865EF">
        <w:rPr>
          <w:rFonts w:ascii="Times New Roman" w:eastAsia="宋体" w:hAnsi="Times New Roman" w:cs="Times New Roman" w:hint="eastAsia"/>
          <w:bCs/>
          <w:sz w:val="24"/>
        </w:rPr>
        <w:t>万元，占项目预计总投资</w:t>
      </w:r>
      <w:r w:rsidR="005962EB" w:rsidRPr="004865EF">
        <w:rPr>
          <w:rFonts w:ascii="Times New Roman" w:eastAsia="宋体" w:hAnsi="Times New Roman" w:cs="Times New Roman"/>
          <w:bCs/>
          <w:sz w:val="24"/>
        </w:rPr>
        <w:t>18.15</w:t>
      </w:r>
      <w:r w:rsidRPr="004865EF">
        <w:rPr>
          <w:rFonts w:ascii="Times New Roman" w:eastAsia="宋体" w:hAnsi="Times New Roman" w:cs="Times New Roman"/>
          <w:bCs/>
          <w:sz w:val="24"/>
        </w:rPr>
        <w:t>%</w:t>
      </w:r>
      <w:r w:rsidRPr="004865EF">
        <w:rPr>
          <w:rFonts w:ascii="Times New Roman" w:eastAsia="宋体" w:hAnsi="Times New Roman" w:cs="Times New Roman" w:hint="eastAsia"/>
          <w:bCs/>
          <w:sz w:val="24"/>
        </w:rPr>
        <w:t>，主要用途包括土地支出</w:t>
      </w:r>
      <w:r w:rsidRPr="004865EF">
        <w:rPr>
          <w:rFonts w:ascii="Times New Roman" w:eastAsia="宋体" w:hAnsi="Times New Roman" w:cs="Times New Roman"/>
          <w:bCs/>
          <w:sz w:val="24"/>
        </w:rPr>
        <w:t>4,275.53</w:t>
      </w:r>
      <w:r w:rsidRPr="004865EF">
        <w:rPr>
          <w:rFonts w:ascii="Times New Roman" w:eastAsia="宋体" w:hAnsi="Times New Roman" w:cs="Times New Roman" w:hint="eastAsia"/>
          <w:bCs/>
          <w:sz w:val="24"/>
        </w:rPr>
        <w:t>万元、其他费用（地质勘查、工程咨询设计、工程监理等）</w:t>
      </w:r>
      <w:r w:rsidR="005962EB" w:rsidRPr="004865EF">
        <w:rPr>
          <w:rFonts w:ascii="Times New Roman" w:eastAsia="宋体" w:hAnsi="Times New Roman" w:cs="Times New Roman"/>
          <w:bCs/>
          <w:sz w:val="24"/>
        </w:rPr>
        <w:lastRenderedPageBreak/>
        <w:t>1,592.41</w:t>
      </w:r>
      <w:r w:rsidRPr="004865EF">
        <w:rPr>
          <w:rFonts w:ascii="Times New Roman" w:eastAsia="宋体" w:hAnsi="Times New Roman" w:cs="Times New Roman" w:hint="eastAsia"/>
          <w:bCs/>
          <w:sz w:val="24"/>
        </w:rPr>
        <w:t>万元、楼宇建筑支出</w:t>
      </w:r>
      <w:r w:rsidR="005962EB" w:rsidRPr="004865EF">
        <w:rPr>
          <w:rFonts w:ascii="Times New Roman" w:eastAsia="宋体" w:hAnsi="Times New Roman" w:cs="Times New Roman"/>
          <w:bCs/>
          <w:sz w:val="24"/>
        </w:rPr>
        <w:t>16,241.28</w:t>
      </w:r>
      <w:r w:rsidRPr="004865EF">
        <w:rPr>
          <w:rFonts w:ascii="Times New Roman" w:eastAsia="宋体" w:hAnsi="Times New Roman" w:cs="Times New Roman" w:hint="eastAsia"/>
          <w:bCs/>
          <w:sz w:val="24"/>
        </w:rPr>
        <w:t>万元、设备购置支出</w:t>
      </w:r>
      <w:r w:rsidRPr="004865EF">
        <w:rPr>
          <w:rFonts w:ascii="Times New Roman" w:eastAsia="宋体" w:hAnsi="Times New Roman" w:cs="Times New Roman"/>
          <w:bCs/>
          <w:sz w:val="24"/>
        </w:rPr>
        <w:t>45.80</w:t>
      </w:r>
      <w:r w:rsidRPr="004865EF">
        <w:rPr>
          <w:rFonts w:ascii="Times New Roman" w:eastAsia="宋体" w:hAnsi="Times New Roman" w:cs="Times New Roman" w:hint="eastAsia"/>
          <w:bCs/>
          <w:sz w:val="24"/>
        </w:rPr>
        <w:t>万元，已形成土地和在建房屋等资产，后续将继续用于机房建设和机电设备安装。</w:t>
      </w:r>
    </w:p>
    <w:p w14:paraId="58345F74" w14:textId="77777777" w:rsidR="00602898" w:rsidRPr="004865EF" w:rsidRDefault="00602898" w:rsidP="00602898">
      <w:pPr>
        <w:spacing w:beforeLines="50" w:before="156" w:after="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2</w:t>
      </w:r>
      <w:r w:rsidRPr="004865EF">
        <w:rPr>
          <w:rFonts w:ascii="Times New Roman" w:eastAsia="宋体" w:hAnsi="Times New Roman" w:cs="Times New Roman"/>
          <w:sz w:val="24"/>
        </w:rPr>
        <w:t>、</w:t>
      </w:r>
      <w:r w:rsidRPr="004865EF">
        <w:rPr>
          <w:rFonts w:ascii="Times New Roman" w:eastAsia="宋体" w:hAnsi="Times New Roman" w:cs="Times New Roman" w:hint="eastAsia"/>
          <w:sz w:val="24"/>
        </w:rPr>
        <w:t>上海嘉定绿色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基地二期</w:t>
      </w:r>
    </w:p>
    <w:p w14:paraId="6C3ED0CF" w14:textId="4FD3234D"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上海嘉定绿色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基地二期项目</w:t>
      </w:r>
      <w:r w:rsidRPr="004865EF">
        <w:rPr>
          <w:rFonts w:ascii="Times New Roman" w:eastAsia="宋体" w:hAnsi="Times New Roman" w:cs="Times New Roman"/>
          <w:sz w:val="24"/>
        </w:rPr>
        <w:t>（</w:t>
      </w:r>
      <w:r w:rsidRPr="004865EF">
        <w:rPr>
          <w:rFonts w:ascii="Times New Roman" w:eastAsia="宋体" w:hAnsi="Times New Roman" w:cs="Times New Roman" w:hint="eastAsia"/>
          <w:sz w:val="24"/>
        </w:rPr>
        <w:t>以下简称</w:t>
      </w:r>
      <w:r w:rsidR="00720C0D" w:rsidRPr="004865EF">
        <w:rPr>
          <w:rFonts w:ascii="Times New Roman" w:eastAsia="宋体" w:hAnsi="Times New Roman" w:cs="Times New Roman" w:hint="eastAsia"/>
          <w:sz w:val="24"/>
        </w:rPr>
        <w:t>“</w:t>
      </w:r>
      <w:r w:rsidRPr="004865EF">
        <w:rPr>
          <w:rFonts w:ascii="Times New Roman" w:eastAsia="宋体" w:hAnsi="Times New Roman" w:cs="Times New Roman" w:hint="eastAsia"/>
          <w:sz w:val="24"/>
        </w:rPr>
        <w:t>嘉定二期</w:t>
      </w:r>
      <w:r w:rsidR="00720C0D" w:rsidRPr="004865EF">
        <w:rPr>
          <w:rFonts w:ascii="Times New Roman" w:eastAsia="宋体" w:hAnsi="Times New Roman" w:cs="Times New Roman" w:hint="eastAsia"/>
          <w:sz w:val="24"/>
        </w:rPr>
        <w:t>”</w:t>
      </w:r>
      <w:r w:rsidRPr="004865EF">
        <w:rPr>
          <w:rFonts w:ascii="Times New Roman" w:eastAsia="宋体" w:hAnsi="Times New Roman" w:cs="Times New Roman"/>
          <w:sz w:val="24"/>
        </w:rPr>
        <w:t>）于</w:t>
      </w:r>
      <w:r w:rsidRPr="004865EF">
        <w:rPr>
          <w:rFonts w:ascii="Times New Roman" w:eastAsia="宋体" w:hAnsi="Times New Roman" w:cs="Times New Roman"/>
          <w:sz w:val="24"/>
        </w:rPr>
        <w:t>2019</w:t>
      </w:r>
      <w:r w:rsidRPr="004865EF">
        <w:rPr>
          <w:rFonts w:ascii="Times New Roman" w:eastAsia="宋体" w:hAnsi="Times New Roman" w:cs="Times New Roman"/>
          <w:sz w:val="24"/>
        </w:rPr>
        <w:t>年开始</w:t>
      </w:r>
      <w:r w:rsidRPr="004865EF">
        <w:rPr>
          <w:rFonts w:ascii="Times New Roman" w:eastAsia="宋体" w:hAnsi="Times New Roman" w:cs="Times New Roman" w:hint="eastAsia"/>
          <w:sz w:val="24"/>
        </w:rPr>
        <w:t>规划</w:t>
      </w:r>
      <w:r w:rsidRPr="004865EF">
        <w:rPr>
          <w:rFonts w:ascii="Times New Roman" w:eastAsia="宋体" w:hAnsi="Times New Roman" w:cs="Times New Roman"/>
          <w:sz w:val="24"/>
        </w:rPr>
        <w:t>建设，</w:t>
      </w:r>
      <w:r w:rsidRPr="004865EF">
        <w:rPr>
          <w:rFonts w:ascii="Times New Roman" w:eastAsia="宋体" w:hAnsi="Times New Roman" w:cs="Times New Roman" w:hint="eastAsia"/>
          <w:sz w:val="24"/>
        </w:rPr>
        <w:t>预计投资总规模</w:t>
      </w:r>
      <w:r w:rsidRPr="004865EF">
        <w:rPr>
          <w:rFonts w:ascii="Times New Roman" w:eastAsia="宋体" w:hAnsi="Times New Roman" w:cs="Times New Roman"/>
          <w:sz w:val="24"/>
        </w:rPr>
        <w:t>130,000.00</w:t>
      </w:r>
      <w:r w:rsidRPr="004865EF">
        <w:rPr>
          <w:rFonts w:ascii="Times New Roman" w:eastAsia="宋体" w:hAnsi="Times New Roman" w:cs="Times New Roman" w:hint="eastAsia"/>
          <w:sz w:val="24"/>
        </w:rPr>
        <w:t>万元。</w:t>
      </w:r>
      <w:r w:rsidR="0066323D" w:rsidRPr="004865EF">
        <w:rPr>
          <w:rFonts w:ascii="楷体" w:eastAsia="楷体" w:hAnsi="楷体" w:cs="Times New Roman" w:hint="eastAsia"/>
          <w:b/>
          <w:bCs/>
          <w:sz w:val="24"/>
        </w:rPr>
        <w:t>截至2020年9月24日</w:t>
      </w:r>
      <w:r w:rsidRPr="004865EF">
        <w:rPr>
          <w:rFonts w:ascii="Times New Roman" w:eastAsia="宋体" w:hAnsi="Times New Roman" w:cs="Times New Roman" w:hint="eastAsia"/>
          <w:bCs/>
          <w:sz w:val="24"/>
        </w:rPr>
        <w:t>，嘉定二期项目已完成土地平整，正处于土建阶段，实际累计投资</w:t>
      </w:r>
      <w:r w:rsidR="005962EB" w:rsidRPr="004865EF">
        <w:rPr>
          <w:rFonts w:ascii="Times New Roman" w:eastAsia="宋体" w:hAnsi="Times New Roman" w:cs="Times New Roman"/>
          <w:bCs/>
          <w:sz w:val="24"/>
        </w:rPr>
        <w:t>27,182.07</w:t>
      </w:r>
      <w:r w:rsidRPr="004865EF">
        <w:rPr>
          <w:rFonts w:ascii="Times New Roman" w:eastAsia="宋体" w:hAnsi="Times New Roman" w:cs="Times New Roman" w:hint="eastAsia"/>
          <w:bCs/>
          <w:sz w:val="24"/>
        </w:rPr>
        <w:t>万元，占项目预计总投资</w:t>
      </w:r>
      <w:r w:rsidR="005962EB" w:rsidRPr="004865EF">
        <w:rPr>
          <w:rFonts w:ascii="Times New Roman" w:eastAsia="宋体" w:hAnsi="Times New Roman" w:cs="Times New Roman"/>
          <w:bCs/>
          <w:sz w:val="24"/>
        </w:rPr>
        <w:t>20.91%</w:t>
      </w:r>
      <w:r w:rsidRPr="004865EF">
        <w:rPr>
          <w:rFonts w:ascii="Times New Roman" w:eastAsia="宋体" w:hAnsi="Times New Roman" w:cs="Times New Roman" w:hint="eastAsia"/>
          <w:bCs/>
          <w:sz w:val="24"/>
        </w:rPr>
        <w:t>，主要用途包括土地支出</w:t>
      </w:r>
      <w:r w:rsidRPr="004865EF">
        <w:rPr>
          <w:rFonts w:ascii="Times New Roman" w:eastAsia="宋体" w:hAnsi="Times New Roman" w:cs="Times New Roman"/>
          <w:bCs/>
          <w:sz w:val="24"/>
        </w:rPr>
        <w:t>13,980.00</w:t>
      </w:r>
      <w:r w:rsidRPr="004865EF">
        <w:rPr>
          <w:rFonts w:ascii="Times New Roman" w:eastAsia="宋体" w:hAnsi="Times New Roman" w:cs="Times New Roman" w:hint="eastAsia"/>
          <w:bCs/>
          <w:sz w:val="24"/>
        </w:rPr>
        <w:t>万元、其他费用（地质勘查、工程咨询设计、工程监理等）</w:t>
      </w:r>
      <w:r w:rsidR="005962EB" w:rsidRPr="004865EF">
        <w:rPr>
          <w:rFonts w:ascii="Times New Roman" w:eastAsia="宋体" w:hAnsi="Times New Roman" w:cs="Times New Roman"/>
          <w:bCs/>
          <w:sz w:val="24"/>
        </w:rPr>
        <w:t>695.50</w:t>
      </w:r>
      <w:r w:rsidRPr="004865EF">
        <w:rPr>
          <w:rFonts w:ascii="Times New Roman" w:eastAsia="宋体" w:hAnsi="Times New Roman" w:cs="Times New Roman" w:hint="eastAsia"/>
          <w:bCs/>
          <w:sz w:val="24"/>
        </w:rPr>
        <w:t>万元、楼宇建筑支出</w:t>
      </w:r>
      <w:r w:rsidR="005962EB" w:rsidRPr="004865EF">
        <w:rPr>
          <w:rFonts w:ascii="Times New Roman" w:eastAsia="宋体" w:hAnsi="Times New Roman" w:cs="Times New Roman"/>
          <w:bCs/>
          <w:sz w:val="24"/>
        </w:rPr>
        <w:t>12,506.57</w:t>
      </w:r>
      <w:r w:rsidRPr="004865EF">
        <w:rPr>
          <w:rFonts w:ascii="Times New Roman" w:eastAsia="宋体" w:hAnsi="Times New Roman" w:cs="Times New Roman" w:hint="eastAsia"/>
          <w:bCs/>
          <w:sz w:val="24"/>
        </w:rPr>
        <w:t>万元，已形成土地和在建房屋等资产，后续将继续用于机房建设和机电设备安装。</w:t>
      </w:r>
    </w:p>
    <w:p w14:paraId="40DD9613" w14:textId="77777777" w:rsidR="00602898" w:rsidRPr="004865EF" w:rsidRDefault="00602898" w:rsidP="00602898">
      <w:pPr>
        <w:spacing w:beforeLines="50" w:before="156" w:after="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3</w:t>
      </w:r>
      <w:r w:rsidRPr="004865EF">
        <w:rPr>
          <w:rFonts w:ascii="Times New Roman" w:eastAsia="宋体" w:hAnsi="Times New Roman" w:cs="Times New Roman"/>
          <w:sz w:val="24"/>
        </w:rPr>
        <w:t>、</w:t>
      </w:r>
      <w:proofErr w:type="gramStart"/>
      <w:r w:rsidRPr="004865EF">
        <w:rPr>
          <w:rFonts w:ascii="Times New Roman" w:eastAsia="宋体" w:hAnsi="Times New Roman" w:cs="Times New Roman" w:hint="eastAsia"/>
          <w:sz w:val="24"/>
        </w:rPr>
        <w:t>向智达云创增资</w:t>
      </w:r>
      <w:proofErr w:type="gramEnd"/>
      <w:r w:rsidRPr="004865EF">
        <w:rPr>
          <w:rFonts w:ascii="Times New Roman" w:eastAsia="宋体" w:hAnsi="Times New Roman" w:cs="Times New Roman" w:hint="eastAsia"/>
          <w:sz w:val="24"/>
        </w:rPr>
        <w:t>取得</w:t>
      </w:r>
      <w:r w:rsidRPr="004865EF">
        <w:rPr>
          <w:rFonts w:ascii="Times New Roman" w:eastAsia="宋体" w:hAnsi="Times New Roman" w:cs="Times New Roman" w:hint="eastAsia"/>
          <w:sz w:val="24"/>
        </w:rPr>
        <w:t>65%</w:t>
      </w:r>
      <w:r w:rsidRPr="004865EF">
        <w:rPr>
          <w:rFonts w:ascii="Times New Roman" w:eastAsia="宋体" w:hAnsi="Times New Roman" w:cs="Times New Roman" w:hint="eastAsia"/>
          <w:sz w:val="24"/>
        </w:rPr>
        <w:t>股权并投资建设燕郊绿色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基地三四期</w:t>
      </w:r>
    </w:p>
    <w:p w14:paraId="0FD340EE" w14:textId="633DCE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proofErr w:type="gramStart"/>
      <w:r w:rsidRPr="004865EF">
        <w:rPr>
          <w:rFonts w:ascii="Times New Roman" w:eastAsia="宋体" w:hAnsi="Times New Roman" w:cs="Times New Roman" w:hint="eastAsia"/>
          <w:sz w:val="24"/>
        </w:rPr>
        <w:t>向智达云创增资</w:t>
      </w:r>
      <w:proofErr w:type="gramEnd"/>
      <w:r w:rsidRPr="004865EF">
        <w:rPr>
          <w:rFonts w:ascii="Times New Roman" w:eastAsia="宋体" w:hAnsi="Times New Roman" w:cs="Times New Roman" w:hint="eastAsia"/>
          <w:sz w:val="24"/>
        </w:rPr>
        <w:t>取得</w:t>
      </w:r>
      <w:r w:rsidRPr="004865EF">
        <w:rPr>
          <w:rFonts w:ascii="Times New Roman" w:eastAsia="宋体" w:hAnsi="Times New Roman" w:cs="Times New Roman" w:hint="eastAsia"/>
          <w:sz w:val="24"/>
        </w:rPr>
        <w:t>65%</w:t>
      </w:r>
      <w:r w:rsidRPr="004865EF">
        <w:rPr>
          <w:rFonts w:ascii="Times New Roman" w:eastAsia="宋体" w:hAnsi="Times New Roman" w:cs="Times New Roman" w:hint="eastAsia"/>
          <w:sz w:val="24"/>
        </w:rPr>
        <w:t>股权并投资建设燕郊绿色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基地三四期</w:t>
      </w:r>
      <w:r w:rsidRPr="004865EF">
        <w:rPr>
          <w:rFonts w:ascii="Times New Roman" w:eastAsia="宋体" w:hAnsi="Times New Roman" w:cs="Times New Roman"/>
          <w:sz w:val="24"/>
        </w:rPr>
        <w:t>项目（</w:t>
      </w:r>
      <w:r w:rsidRPr="004865EF">
        <w:rPr>
          <w:rFonts w:ascii="Times New Roman" w:eastAsia="宋体" w:hAnsi="Times New Roman" w:cs="Times New Roman" w:hint="eastAsia"/>
          <w:sz w:val="24"/>
        </w:rPr>
        <w:t>以下简称</w:t>
      </w:r>
      <w:r w:rsidR="00720C0D" w:rsidRPr="004865EF">
        <w:rPr>
          <w:rFonts w:ascii="Times New Roman" w:eastAsia="宋体" w:hAnsi="Times New Roman" w:cs="Times New Roman" w:hint="eastAsia"/>
          <w:sz w:val="24"/>
        </w:rPr>
        <w:t>“</w:t>
      </w:r>
      <w:r w:rsidRPr="004865EF">
        <w:rPr>
          <w:rFonts w:ascii="Times New Roman" w:eastAsia="宋体" w:hAnsi="Times New Roman" w:cs="Times New Roman" w:hint="eastAsia"/>
          <w:sz w:val="24"/>
        </w:rPr>
        <w:t>燕郊三四期</w:t>
      </w:r>
      <w:r w:rsidR="00720C0D" w:rsidRPr="004865EF">
        <w:rPr>
          <w:rFonts w:ascii="Times New Roman" w:eastAsia="宋体" w:hAnsi="Times New Roman" w:cs="Times New Roman" w:hint="eastAsia"/>
          <w:sz w:val="24"/>
        </w:rPr>
        <w:t>”</w:t>
      </w:r>
      <w:r w:rsidRPr="004865EF">
        <w:rPr>
          <w:rFonts w:ascii="Times New Roman" w:eastAsia="宋体" w:hAnsi="Times New Roman" w:cs="Times New Roman"/>
          <w:sz w:val="24"/>
        </w:rPr>
        <w:t>）于</w:t>
      </w:r>
      <w:r w:rsidRPr="004865EF">
        <w:rPr>
          <w:rFonts w:ascii="Times New Roman" w:eastAsia="宋体" w:hAnsi="Times New Roman" w:cs="Times New Roman"/>
          <w:sz w:val="24"/>
        </w:rPr>
        <w:t>2019</w:t>
      </w:r>
      <w:r w:rsidRPr="004865EF">
        <w:rPr>
          <w:rFonts w:ascii="Times New Roman" w:eastAsia="宋体" w:hAnsi="Times New Roman" w:cs="Times New Roman"/>
          <w:sz w:val="24"/>
        </w:rPr>
        <w:t>年开始</w:t>
      </w:r>
      <w:r w:rsidRPr="004865EF">
        <w:rPr>
          <w:rFonts w:ascii="Times New Roman" w:eastAsia="宋体" w:hAnsi="Times New Roman" w:cs="Times New Roman" w:hint="eastAsia"/>
          <w:sz w:val="24"/>
        </w:rPr>
        <w:t>规划</w:t>
      </w:r>
      <w:r w:rsidRPr="004865EF">
        <w:rPr>
          <w:rFonts w:ascii="Times New Roman" w:eastAsia="宋体" w:hAnsi="Times New Roman" w:cs="Times New Roman"/>
          <w:sz w:val="24"/>
        </w:rPr>
        <w:t>建设，</w:t>
      </w:r>
      <w:r w:rsidRPr="004865EF">
        <w:rPr>
          <w:rFonts w:ascii="Times New Roman" w:eastAsia="宋体" w:hAnsi="Times New Roman" w:cs="Times New Roman" w:hint="eastAsia"/>
          <w:sz w:val="24"/>
        </w:rPr>
        <w:t>预计投资总规模</w:t>
      </w:r>
      <w:r w:rsidRPr="004865EF">
        <w:rPr>
          <w:rFonts w:ascii="Times New Roman" w:eastAsia="宋体" w:hAnsi="Times New Roman" w:cs="Times New Roman"/>
          <w:sz w:val="24"/>
        </w:rPr>
        <w:t>298,600.00</w:t>
      </w:r>
      <w:r w:rsidRPr="004865EF">
        <w:rPr>
          <w:rFonts w:ascii="Times New Roman" w:eastAsia="宋体" w:hAnsi="Times New Roman" w:cs="Times New Roman" w:hint="eastAsia"/>
          <w:sz w:val="24"/>
        </w:rPr>
        <w:t>万元。</w:t>
      </w:r>
      <w:r w:rsidR="0066323D" w:rsidRPr="004865EF">
        <w:rPr>
          <w:rFonts w:ascii="楷体" w:eastAsia="楷体" w:hAnsi="楷体" w:cs="Times New Roman" w:hint="eastAsia"/>
          <w:b/>
          <w:bCs/>
          <w:sz w:val="24"/>
        </w:rPr>
        <w:t>截至2020年9月24日</w:t>
      </w:r>
      <w:r w:rsidRPr="004865EF">
        <w:rPr>
          <w:rFonts w:ascii="Times New Roman" w:eastAsia="宋体" w:hAnsi="Times New Roman" w:cs="Times New Roman" w:hint="eastAsia"/>
          <w:bCs/>
          <w:sz w:val="24"/>
        </w:rPr>
        <w:t>，燕郊三四期项目已完成土地平整，正处于土建阶段，实际累计投资</w:t>
      </w:r>
      <w:r w:rsidR="005962EB" w:rsidRPr="004865EF">
        <w:rPr>
          <w:rFonts w:ascii="Times New Roman" w:eastAsia="宋体" w:hAnsi="Times New Roman" w:cs="Times New Roman"/>
          <w:bCs/>
          <w:sz w:val="24"/>
        </w:rPr>
        <w:t>50,174.77</w:t>
      </w:r>
      <w:r w:rsidRPr="004865EF">
        <w:rPr>
          <w:rFonts w:ascii="Times New Roman" w:eastAsia="宋体" w:hAnsi="Times New Roman" w:cs="Times New Roman" w:hint="eastAsia"/>
          <w:bCs/>
          <w:sz w:val="24"/>
        </w:rPr>
        <w:t>万元，占项目预计总投资</w:t>
      </w:r>
      <w:r w:rsidRPr="004865EF">
        <w:rPr>
          <w:rFonts w:ascii="Times New Roman" w:eastAsia="宋体" w:hAnsi="Times New Roman" w:cs="Times New Roman"/>
          <w:bCs/>
          <w:sz w:val="24"/>
        </w:rPr>
        <w:t>1</w:t>
      </w:r>
      <w:r w:rsidR="005962EB" w:rsidRPr="004865EF">
        <w:rPr>
          <w:rFonts w:ascii="Times New Roman" w:eastAsia="宋体" w:hAnsi="Times New Roman" w:cs="Times New Roman"/>
          <w:bCs/>
          <w:sz w:val="24"/>
        </w:rPr>
        <w:t>6.80</w:t>
      </w:r>
      <w:r w:rsidRPr="004865EF">
        <w:rPr>
          <w:rFonts w:ascii="Times New Roman" w:eastAsia="宋体" w:hAnsi="Times New Roman" w:cs="Times New Roman"/>
          <w:bCs/>
          <w:sz w:val="24"/>
        </w:rPr>
        <w:t>%</w:t>
      </w:r>
      <w:r w:rsidRPr="004865EF">
        <w:rPr>
          <w:rFonts w:ascii="Times New Roman" w:eastAsia="宋体" w:hAnsi="Times New Roman" w:cs="Times New Roman" w:hint="eastAsia"/>
          <w:bCs/>
          <w:sz w:val="24"/>
        </w:rPr>
        <w:t>，主要用途包括楼宇建筑支出</w:t>
      </w:r>
      <w:r w:rsidR="005962EB" w:rsidRPr="004865EF">
        <w:rPr>
          <w:rFonts w:ascii="Times New Roman" w:eastAsia="宋体" w:hAnsi="Times New Roman" w:cs="Times New Roman"/>
          <w:bCs/>
          <w:sz w:val="24"/>
        </w:rPr>
        <w:t>50,008.91</w:t>
      </w:r>
      <w:r w:rsidRPr="004865EF">
        <w:rPr>
          <w:rFonts w:ascii="Times New Roman" w:eastAsia="宋体" w:hAnsi="Times New Roman" w:cs="Times New Roman" w:hint="eastAsia"/>
          <w:bCs/>
          <w:sz w:val="24"/>
        </w:rPr>
        <w:t>万元和其他费用支出（地质勘查、工程咨询设计）</w:t>
      </w:r>
      <w:r w:rsidRPr="004865EF">
        <w:rPr>
          <w:rFonts w:ascii="Times New Roman" w:eastAsia="宋体" w:hAnsi="Times New Roman" w:cs="Times New Roman"/>
          <w:bCs/>
          <w:sz w:val="24"/>
        </w:rPr>
        <w:t>1</w:t>
      </w:r>
      <w:r w:rsidR="005962EB" w:rsidRPr="004865EF">
        <w:rPr>
          <w:rFonts w:ascii="Times New Roman" w:eastAsia="宋体" w:hAnsi="Times New Roman" w:cs="Times New Roman"/>
          <w:bCs/>
          <w:sz w:val="24"/>
        </w:rPr>
        <w:t>6</w:t>
      </w:r>
      <w:r w:rsidRPr="004865EF">
        <w:rPr>
          <w:rFonts w:ascii="Times New Roman" w:eastAsia="宋体" w:hAnsi="Times New Roman" w:cs="Times New Roman"/>
          <w:bCs/>
          <w:sz w:val="24"/>
        </w:rPr>
        <w:t>5.85</w:t>
      </w:r>
      <w:r w:rsidRPr="004865EF">
        <w:rPr>
          <w:rFonts w:ascii="Times New Roman" w:eastAsia="宋体" w:hAnsi="Times New Roman" w:cs="Times New Roman" w:hint="eastAsia"/>
          <w:bCs/>
          <w:sz w:val="24"/>
        </w:rPr>
        <w:t>万元，已形成土地和在建房屋等资产，后续将继续用于机房建设和机电设备安装。</w:t>
      </w:r>
    </w:p>
    <w:p w14:paraId="366E9EC3" w14:textId="77777777" w:rsidR="00602898" w:rsidRPr="004865EF" w:rsidRDefault="00602898" w:rsidP="00602898">
      <w:pPr>
        <w:spacing w:beforeLines="50" w:before="156" w:after="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4</w:t>
      </w:r>
      <w:r w:rsidRPr="004865EF">
        <w:rPr>
          <w:rFonts w:ascii="Times New Roman" w:eastAsia="宋体" w:hAnsi="Times New Roman" w:cs="Times New Roman"/>
          <w:sz w:val="24"/>
        </w:rPr>
        <w:t>、</w:t>
      </w:r>
      <w:r w:rsidRPr="004865EF">
        <w:rPr>
          <w:rFonts w:ascii="Times New Roman" w:eastAsia="宋体" w:hAnsi="Times New Roman" w:cs="Times New Roman" w:hint="eastAsia"/>
          <w:sz w:val="24"/>
        </w:rPr>
        <w:t>长沙绿色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基地一期</w:t>
      </w:r>
    </w:p>
    <w:p w14:paraId="4CCD7070" w14:textId="7AA7CEB8"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长沙绿色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基地一期</w:t>
      </w:r>
      <w:r w:rsidRPr="004865EF">
        <w:rPr>
          <w:rFonts w:ascii="Times New Roman" w:eastAsia="宋体" w:hAnsi="Times New Roman" w:cs="Times New Roman"/>
          <w:sz w:val="24"/>
        </w:rPr>
        <w:t>项目（</w:t>
      </w:r>
      <w:r w:rsidRPr="004865EF">
        <w:rPr>
          <w:rFonts w:ascii="Times New Roman" w:eastAsia="宋体" w:hAnsi="Times New Roman" w:cs="Times New Roman" w:hint="eastAsia"/>
          <w:sz w:val="24"/>
        </w:rPr>
        <w:t>以下简称</w:t>
      </w:r>
      <w:r w:rsidR="00720C0D" w:rsidRPr="004865EF">
        <w:rPr>
          <w:rFonts w:ascii="Times New Roman" w:eastAsia="宋体" w:hAnsi="Times New Roman" w:cs="Times New Roman" w:hint="eastAsia"/>
          <w:sz w:val="24"/>
        </w:rPr>
        <w:t>“</w:t>
      </w:r>
      <w:r w:rsidRPr="004865EF">
        <w:rPr>
          <w:rFonts w:ascii="Times New Roman" w:eastAsia="宋体" w:hAnsi="Times New Roman" w:cs="Times New Roman" w:hint="eastAsia"/>
          <w:sz w:val="24"/>
        </w:rPr>
        <w:t>长沙一期</w:t>
      </w:r>
      <w:r w:rsidR="00720C0D" w:rsidRPr="004865EF">
        <w:rPr>
          <w:rFonts w:ascii="Times New Roman" w:eastAsia="宋体" w:hAnsi="Times New Roman" w:cs="Times New Roman" w:hint="eastAsia"/>
          <w:sz w:val="24"/>
        </w:rPr>
        <w:t>”</w:t>
      </w:r>
      <w:r w:rsidRPr="004865EF">
        <w:rPr>
          <w:rFonts w:ascii="Times New Roman" w:eastAsia="宋体" w:hAnsi="Times New Roman" w:cs="Times New Roman"/>
          <w:sz w:val="24"/>
        </w:rPr>
        <w:t>）于</w:t>
      </w:r>
      <w:r w:rsidRPr="004865EF">
        <w:rPr>
          <w:rFonts w:ascii="Times New Roman" w:eastAsia="宋体" w:hAnsi="Times New Roman" w:cs="Times New Roman" w:hint="eastAsia"/>
          <w:sz w:val="24"/>
        </w:rPr>
        <w:t>2020</w:t>
      </w:r>
      <w:r w:rsidRPr="004865EF">
        <w:rPr>
          <w:rFonts w:ascii="Times New Roman" w:eastAsia="宋体" w:hAnsi="Times New Roman" w:cs="Times New Roman" w:hint="eastAsia"/>
          <w:sz w:val="24"/>
        </w:rPr>
        <w:t>年</w:t>
      </w:r>
      <w:r w:rsidRPr="004865EF">
        <w:rPr>
          <w:rFonts w:ascii="Times New Roman" w:eastAsia="宋体" w:hAnsi="Times New Roman" w:cs="Times New Roman"/>
          <w:sz w:val="24"/>
        </w:rPr>
        <w:t>开始</w:t>
      </w:r>
      <w:r w:rsidRPr="004865EF">
        <w:rPr>
          <w:rFonts w:ascii="Times New Roman" w:eastAsia="宋体" w:hAnsi="Times New Roman" w:cs="Times New Roman" w:hint="eastAsia"/>
          <w:sz w:val="24"/>
        </w:rPr>
        <w:t>规划</w:t>
      </w:r>
      <w:r w:rsidRPr="004865EF">
        <w:rPr>
          <w:rFonts w:ascii="Times New Roman" w:eastAsia="宋体" w:hAnsi="Times New Roman" w:cs="Times New Roman"/>
          <w:sz w:val="24"/>
        </w:rPr>
        <w:t>建设，</w:t>
      </w:r>
      <w:r w:rsidRPr="004865EF">
        <w:rPr>
          <w:rFonts w:ascii="Times New Roman" w:eastAsia="宋体" w:hAnsi="Times New Roman" w:cs="Times New Roman" w:hint="eastAsia"/>
          <w:sz w:val="24"/>
        </w:rPr>
        <w:t>预计投资总规模</w:t>
      </w:r>
      <w:r w:rsidRPr="004865EF">
        <w:rPr>
          <w:rFonts w:ascii="Times New Roman" w:eastAsia="宋体" w:hAnsi="Times New Roman" w:cs="Times New Roman"/>
          <w:sz w:val="24"/>
        </w:rPr>
        <w:t>346,380.00</w:t>
      </w:r>
      <w:r w:rsidRPr="004865EF">
        <w:rPr>
          <w:rFonts w:ascii="Times New Roman" w:eastAsia="宋体" w:hAnsi="Times New Roman" w:cs="Times New Roman" w:hint="eastAsia"/>
          <w:sz w:val="24"/>
        </w:rPr>
        <w:t>万元。</w:t>
      </w:r>
      <w:r w:rsidR="0066323D" w:rsidRPr="004865EF">
        <w:rPr>
          <w:rFonts w:ascii="楷体" w:eastAsia="楷体" w:hAnsi="楷体" w:cs="Times New Roman" w:hint="eastAsia"/>
          <w:b/>
          <w:bCs/>
          <w:sz w:val="24"/>
        </w:rPr>
        <w:t>截至2020年9月24日</w:t>
      </w:r>
      <w:r w:rsidRPr="004865EF">
        <w:rPr>
          <w:rFonts w:ascii="Times New Roman" w:eastAsia="宋体" w:hAnsi="Times New Roman" w:cs="Times New Roman" w:hint="eastAsia"/>
          <w:bCs/>
          <w:sz w:val="24"/>
        </w:rPr>
        <w:t>，</w:t>
      </w:r>
      <w:r w:rsidR="005C05C9" w:rsidRPr="004865EF">
        <w:rPr>
          <w:rFonts w:ascii="Times New Roman" w:eastAsia="宋体" w:hAnsi="Times New Roman" w:cs="Times New Roman" w:hint="eastAsia"/>
          <w:sz w:val="24"/>
        </w:rPr>
        <w:t>长沙一期项目已取得不动产权证书</w:t>
      </w:r>
      <w:r w:rsidRPr="004865EF">
        <w:rPr>
          <w:rFonts w:ascii="Times New Roman" w:eastAsia="宋体" w:hAnsi="Times New Roman" w:cs="Times New Roman" w:hint="eastAsia"/>
          <w:bCs/>
          <w:sz w:val="24"/>
        </w:rPr>
        <w:t>，实际累计投资</w:t>
      </w:r>
      <w:r w:rsidRPr="004865EF">
        <w:rPr>
          <w:rFonts w:ascii="Times New Roman" w:eastAsia="宋体" w:hAnsi="Times New Roman" w:cs="Times New Roman"/>
          <w:bCs/>
          <w:sz w:val="24"/>
        </w:rPr>
        <w:t>7,365.23</w:t>
      </w:r>
      <w:r w:rsidRPr="004865EF">
        <w:rPr>
          <w:rFonts w:ascii="Times New Roman" w:eastAsia="宋体" w:hAnsi="Times New Roman" w:cs="Times New Roman" w:hint="eastAsia"/>
          <w:bCs/>
          <w:sz w:val="24"/>
        </w:rPr>
        <w:t>万元，占项目预计总投资</w:t>
      </w:r>
      <w:r w:rsidRPr="004865EF">
        <w:rPr>
          <w:rFonts w:ascii="Times New Roman" w:eastAsia="宋体" w:hAnsi="Times New Roman" w:cs="Times New Roman"/>
          <w:bCs/>
          <w:sz w:val="24"/>
        </w:rPr>
        <w:t>2.13%</w:t>
      </w:r>
      <w:r w:rsidRPr="004865EF">
        <w:rPr>
          <w:rFonts w:ascii="Times New Roman" w:eastAsia="宋体" w:hAnsi="Times New Roman" w:cs="Times New Roman" w:hint="eastAsia"/>
          <w:bCs/>
          <w:sz w:val="24"/>
        </w:rPr>
        <w:t>，主要用途包括土地支出</w:t>
      </w:r>
      <w:r w:rsidRPr="004865EF">
        <w:rPr>
          <w:rFonts w:ascii="Times New Roman" w:eastAsia="宋体" w:hAnsi="Times New Roman" w:cs="Times New Roman"/>
          <w:bCs/>
          <w:sz w:val="24"/>
        </w:rPr>
        <w:t>7,077.39</w:t>
      </w:r>
      <w:r w:rsidRPr="004865EF">
        <w:rPr>
          <w:rFonts w:ascii="Times New Roman" w:eastAsia="宋体" w:hAnsi="Times New Roman" w:cs="Times New Roman" w:hint="eastAsia"/>
          <w:bCs/>
          <w:sz w:val="24"/>
        </w:rPr>
        <w:t>万元、其他费用</w:t>
      </w:r>
      <w:r w:rsidRPr="004865EF">
        <w:rPr>
          <w:rFonts w:ascii="Times New Roman" w:eastAsia="宋体" w:hAnsi="Times New Roman" w:cs="Times New Roman"/>
          <w:bCs/>
          <w:sz w:val="24"/>
        </w:rPr>
        <w:t>287.84</w:t>
      </w:r>
      <w:r w:rsidRPr="004865EF">
        <w:rPr>
          <w:rFonts w:ascii="Times New Roman" w:eastAsia="宋体" w:hAnsi="Times New Roman" w:cs="Times New Roman" w:hint="eastAsia"/>
          <w:bCs/>
          <w:sz w:val="24"/>
        </w:rPr>
        <w:t>万元，形成资产主要为项目用地，相关资产将继续用于项目建设。</w:t>
      </w:r>
    </w:p>
    <w:p w14:paraId="005F4B1D" w14:textId="5CD86D04" w:rsidR="00602898" w:rsidRPr="004865EF" w:rsidRDefault="00602898" w:rsidP="00A66425">
      <w:pPr>
        <w:pStyle w:val="2"/>
        <w:spacing w:before="156" w:after="156"/>
      </w:pPr>
      <w:r w:rsidRPr="004865EF">
        <w:rPr>
          <w:rFonts w:hint="eastAsia"/>
        </w:rPr>
        <w:t>二、</w:t>
      </w:r>
      <w:r w:rsidRPr="004865EF">
        <w:t>说明</w:t>
      </w:r>
      <w:proofErr w:type="gramStart"/>
      <w:r w:rsidRPr="004865EF">
        <w:t>募投项目</w:t>
      </w:r>
      <w:proofErr w:type="gramEnd"/>
      <w:r w:rsidRPr="004865EF">
        <w:t>的具体建设内容，</w:t>
      </w:r>
      <w:proofErr w:type="gramStart"/>
      <w:r w:rsidRPr="004865EF">
        <w:t>募投项目</w:t>
      </w:r>
      <w:proofErr w:type="gramEnd"/>
      <w:r w:rsidRPr="004865EF">
        <w:t>具体投资数额安排明细，投资数额的测算依据和测算过程，各项投资构成是否属于资本性支出，以募集资金投入的比例</w:t>
      </w:r>
    </w:p>
    <w:p w14:paraId="62D14384"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1</w:t>
      </w:r>
      <w:r w:rsidRPr="004865EF">
        <w:rPr>
          <w:rFonts w:ascii="Times New Roman" w:eastAsia="宋体" w:hAnsi="Times New Roman" w:cs="Times New Roman"/>
          <w:sz w:val="24"/>
        </w:rPr>
        <w:t>、</w:t>
      </w:r>
      <w:r w:rsidRPr="004865EF">
        <w:rPr>
          <w:rFonts w:ascii="Times New Roman" w:eastAsia="宋体" w:hAnsi="Times New Roman" w:cs="Times New Roman" w:hint="eastAsia"/>
          <w:sz w:val="24"/>
        </w:rPr>
        <w:t>北京房山绿色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数据中心二期</w:t>
      </w:r>
    </w:p>
    <w:p w14:paraId="111810B3" w14:textId="55CB6BCF"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lastRenderedPageBreak/>
        <w:t>房山二期项目总投资</w:t>
      </w:r>
      <w:r w:rsidRPr="004865EF">
        <w:rPr>
          <w:rFonts w:ascii="Times New Roman" w:eastAsia="宋体" w:hAnsi="Times New Roman" w:cs="Times New Roman"/>
          <w:sz w:val="24"/>
        </w:rPr>
        <w:t>122,090.28</w:t>
      </w:r>
      <w:r w:rsidRPr="004865EF">
        <w:rPr>
          <w:rFonts w:ascii="Times New Roman" w:eastAsia="宋体" w:hAnsi="Times New Roman" w:cs="Times New Roman" w:hint="eastAsia"/>
          <w:sz w:val="24"/>
        </w:rPr>
        <w:t>万元，计划建设</w:t>
      </w:r>
      <w:r w:rsidRPr="004865EF">
        <w:rPr>
          <w:rFonts w:ascii="Times New Roman" w:eastAsia="宋体" w:hAnsi="Times New Roman" w:cs="Times New Roman" w:hint="eastAsia"/>
          <w:sz w:val="24"/>
        </w:rPr>
        <w:t>5,000</w:t>
      </w:r>
      <w:r w:rsidRPr="004865EF">
        <w:rPr>
          <w:rFonts w:ascii="Times New Roman" w:eastAsia="宋体" w:hAnsi="Times New Roman" w:cs="Times New Roman" w:hint="eastAsia"/>
          <w:sz w:val="24"/>
        </w:rPr>
        <w:t>个</w:t>
      </w:r>
      <w:r w:rsidR="00BF021C" w:rsidRPr="004865EF">
        <w:rPr>
          <w:rFonts w:ascii="楷体" w:eastAsia="楷体" w:hAnsi="楷体" w:cs="Times New Roman" w:hint="eastAsia"/>
          <w:b/>
          <w:sz w:val="24"/>
        </w:rPr>
        <w:t>6KW</w:t>
      </w:r>
      <w:r w:rsidRPr="004865EF">
        <w:rPr>
          <w:rFonts w:ascii="Times New Roman" w:eastAsia="宋体" w:hAnsi="Times New Roman" w:cs="Times New Roman" w:hint="eastAsia"/>
          <w:sz w:val="24"/>
        </w:rPr>
        <w:t>机柜，其中资本性支出</w:t>
      </w:r>
      <w:r w:rsidRPr="004865EF">
        <w:rPr>
          <w:rFonts w:ascii="Times New Roman" w:eastAsia="宋体" w:hAnsi="Times New Roman" w:cs="Times New Roman"/>
          <w:sz w:val="24"/>
        </w:rPr>
        <w:t>121,090.28</w:t>
      </w:r>
      <w:r w:rsidRPr="004865EF">
        <w:rPr>
          <w:rFonts w:ascii="Times New Roman" w:eastAsia="宋体" w:hAnsi="Times New Roman" w:cs="Times New Roman" w:hint="eastAsia"/>
          <w:sz w:val="24"/>
        </w:rPr>
        <w:t>万元，具体包括土地成本、工程建设支出、设备购置支出以及其他费用支出。房山二期项目投资构成及募集资金预计投入情况如下：</w:t>
      </w:r>
    </w:p>
    <w:p w14:paraId="63455A8C" w14:textId="77777777" w:rsidR="00602898" w:rsidRPr="004865EF" w:rsidRDefault="00602898" w:rsidP="00602898">
      <w:pPr>
        <w:spacing w:beforeLines="50" w:before="156"/>
        <w:ind w:firstLineChars="200" w:firstLine="42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单位：</w:t>
      </w:r>
      <w:r w:rsidRPr="004865EF">
        <w:rPr>
          <w:rFonts w:ascii="Times New Roman" w:eastAsia="宋体" w:hAnsi="Times New Roman" w:cs="Times New Roman"/>
          <w:szCs w:val="21"/>
        </w:rPr>
        <w:t>万元</w:t>
      </w:r>
    </w:p>
    <w:tbl>
      <w:tblPr>
        <w:tblW w:w="8456" w:type="dxa"/>
        <w:tblInd w:w="93" w:type="dxa"/>
        <w:tblLook w:val="04A0" w:firstRow="1" w:lastRow="0" w:firstColumn="1" w:lastColumn="0" w:noHBand="0" w:noVBand="1"/>
      </w:tblPr>
      <w:tblGrid>
        <w:gridCol w:w="960"/>
        <w:gridCol w:w="1500"/>
        <w:gridCol w:w="1500"/>
        <w:gridCol w:w="1086"/>
        <w:gridCol w:w="1316"/>
        <w:gridCol w:w="1107"/>
        <w:gridCol w:w="987"/>
      </w:tblGrid>
      <w:tr w:rsidR="004865EF" w:rsidRPr="004865EF" w14:paraId="29C16635" w14:textId="77777777" w:rsidTr="00602898">
        <w:trPr>
          <w:trHeight w:val="397"/>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9D8C"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序号</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0B41"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内容</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9F24"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金额</w:t>
            </w:r>
          </w:p>
        </w:tc>
        <w:tc>
          <w:tcPr>
            <w:tcW w:w="1086" w:type="dxa"/>
            <w:vMerge w:val="restart"/>
            <w:tcBorders>
              <w:top w:val="single" w:sz="4" w:space="0" w:color="auto"/>
              <w:left w:val="single" w:sz="4" w:space="0" w:color="auto"/>
              <w:right w:val="single" w:sz="4" w:space="0" w:color="auto"/>
            </w:tcBorders>
            <w:vAlign w:val="center"/>
          </w:tcPr>
          <w:p w14:paraId="204E22D0"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是否为资本性支出</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A4D44"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董事会日</w:t>
            </w:r>
            <w:r w:rsidRPr="004865EF">
              <w:rPr>
                <w:rFonts w:ascii="Times New Roman" w:eastAsia="宋体" w:hAnsi="Times New Roman" w:cs="Times New Roman"/>
                <w:b/>
                <w:kern w:val="0"/>
                <w:szCs w:val="21"/>
              </w:rPr>
              <w:t>前已投入</w:t>
            </w:r>
          </w:p>
        </w:tc>
        <w:tc>
          <w:tcPr>
            <w:tcW w:w="20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32362"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募集资金投入</w:t>
            </w:r>
          </w:p>
        </w:tc>
      </w:tr>
      <w:tr w:rsidR="004865EF" w:rsidRPr="004865EF" w14:paraId="14875081" w14:textId="77777777" w:rsidTr="00602898">
        <w:trPr>
          <w:trHeight w:val="397"/>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B7ABF8A" w14:textId="77777777" w:rsidR="00602898" w:rsidRPr="004865EF" w:rsidRDefault="00602898" w:rsidP="00602898">
            <w:pPr>
              <w:widowControl/>
              <w:jc w:val="center"/>
              <w:rPr>
                <w:rFonts w:ascii="Times New Roman" w:eastAsia="宋体" w:hAnsi="Times New Roman" w:cs="Times New Roman"/>
                <w:b/>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2F130B7E" w14:textId="77777777" w:rsidR="00602898" w:rsidRPr="004865EF" w:rsidRDefault="00602898" w:rsidP="00602898">
            <w:pPr>
              <w:widowControl/>
              <w:jc w:val="center"/>
              <w:rPr>
                <w:rFonts w:ascii="Times New Roman" w:eastAsia="宋体" w:hAnsi="Times New Roman" w:cs="Times New Roman"/>
                <w:b/>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8ACAC14" w14:textId="77777777" w:rsidR="00602898" w:rsidRPr="004865EF" w:rsidRDefault="00602898" w:rsidP="00602898">
            <w:pPr>
              <w:widowControl/>
              <w:jc w:val="center"/>
              <w:rPr>
                <w:rFonts w:ascii="Times New Roman" w:eastAsia="宋体" w:hAnsi="Times New Roman" w:cs="Times New Roman"/>
                <w:b/>
                <w:kern w:val="0"/>
                <w:szCs w:val="21"/>
              </w:rPr>
            </w:pPr>
          </w:p>
        </w:tc>
        <w:tc>
          <w:tcPr>
            <w:tcW w:w="1086" w:type="dxa"/>
            <w:vMerge/>
            <w:tcBorders>
              <w:left w:val="single" w:sz="4" w:space="0" w:color="auto"/>
              <w:bottom w:val="single" w:sz="4" w:space="0" w:color="auto"/>
              <w:right w:val="single" w:sz="4" w:space="0" w:color="auto"/>
            </w:tcBorders>
            <w:vAlign w:val="center"/>
          </w:tcPr>
          <w:p w14:paraId="635243CB" w14:textId="77777777" w:rsidR="00602898" w:rsidRPr="004865EF" w:rsidRDefault="00602898" w:rsidP="00602898">
            <w:pPr>
              <w:widowControl/>
              <w:jc w:val="center"/>
              <w:rPr>
                <w:rFonts w:ascii="Times New Roman" w:eastAsia="宋体" w:hAnsi="Times New Roman" w:cs="Times New Roman"/>
                <w:b/>
                <w:kern w:val="0"/>
                <w:szCs w:val="21"/>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65FFBC5A" w14:textId="77777777" w:rsidR="00602898" w:rsidRPr="004865EF" w:rsidRDefault="00602898" w:rsidP="00602898">
            <w:pPr>
              <w:widowControl/>
              <w:jc w:val="center"/>
              <w:rPr>
                <w:rFonts w:ascii="Times New Roman" w:eastAsia="宋体" w:hAnsi="Times New Roman" w:cs="Times New Roman"/>
                <w:b/>
                <w:kern w:val="0"/>
                <w:szCs w:val="21"/>
              </w:rPr>
            </w:pPr>
          </w:p>
        </w:tc>
        <w:tc>
          <w:tcPr>
            <w:tcW w:w="1107" w:type="dxa"/>
            <w:tcBorders>
              <w:top w:val="nil"/>
              <w:left w:val="nil"/>
              <w:bottom w:val="single" w:sz="4" w:space="0" w:color="auto"/>
              <w:right w:val="single" w:sz="4" w:space="0" w:color="auto"/>
            </w:tcBorders>
            <w:shd w:val="clear" w:color="auto" w:fill="auto"/>
            <w:noWrap/>
            <w:vAlign w:val="center"/>
            <w:hideMark/>
          </w:tcPr>
          <w:p w14:paraId="1EE9C155"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金额</w:t>
            </w:r>
          </w:p>
        </w:tc>
        <w:tc>
          <w:tcPr>
            <w:tcW w:w="987" w:type="dxa"/>
            <w:tcBorders>
              <w:top w:val="nil"/>
              <w:left w:val="nil"/>
              <w:bottom w:val="single" w:sz="4" w:space="0" w:color="auto"/>
              <w:right w:val="single" w:sz="4" w:space="0" w:color="auto"/>
            </w:tcBorders>
            <w:shd w:val="clear" w:color="auto" w:fill="auto"/>
            <w:noWrap/>
            <w:vAlign w:val="center"/>
            <w:hideMark/>
          </w:tcPr>
          <w:p w14:paraId="08AA9E4B"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占比</w:t>
            </w:r>
          </w:p>
        </w:tc>
      </w:tr>
      <w:tr w:rsidR="004865EF" w:rsidRPr="004865EF" w14:paraId="3627BCEC"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28339D"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w:t>
            </w:r>
          </w:p>
        </w:tc>
        <w:tc>
          <w:tcPr>
            <w:tcW w:w="1500" w:type="dxa"/>
            <w:tcBorders>
              <w:top w:val="nil"/>
              <w:left w:val="nil"/>
              <w:bottom w:val="single" w:sz="4" w:space="0" w:color="auto"/>
              <w:right w:val="single" w:sz="4" w:space="0" w:color="auto"/>
            </w:tcBorders>
            <w:shd w:val="clear" w:color="auto" w:fill="auto"/>
            <w:noWrap/>
            <w:vAlign w:val="center"/>
            <w:hideMark/>
          </w:tcPr>
          <w:p w14:paraId="6F50E433"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项目资本支出</w:t>
            </w:r>
          </w:p>
        </w:tc>
        <w:tc>
          <w:tcPr>
            <w:tcW w:w="1500" w:type="dxa"/>
            <w:tcBorders>
              <w:top w:val="nil"/>
              <w:left w:val="nil"/>
              <w:bottom w:val="single" w:sz="4" w:space="0" w:color="auto"/>
              <w:right w:val="single" w:sz="4" w:space="0" w:color="auto"/>
            </w:tcBorders>
            <w:shd w:val="clear" w:color="auto" w:fill="auto"/>
            <w:noWrap/>
            <w:vAlign w:val="center"/>
            <w:hideMark/>
          </w:tcPr>
          <w:p w14:paraId="0D4F7463"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121,090.28</w:t>
            </w:r>
          </w:p>
        </w:tc>
        <w:tc>
          <w:tcPr>
            <w:tcW w:w="1086" w:type="dxa"/>
            <w:tcBorders>
              <w:top w:val="single" w:sz="4" w:space="0" w:color="auto"/>
              <w:left w:val="nil"/>
              <w:bottom w:val="single" w:sz="4" w:space="0" w:color="auto"/>
              <w:right w:val="single" w:sz="4" w:space="0" w:color="auto"/>
            </w:tcBorders>
            <w:vAlign w:val="center"/>
          </w:tcPr>
          <w:p w14:paraId="3C30B72F"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48E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17,347.68</w:t>
            </w:r>
          </w:p>
        </w:tc>
        <w:tc>
          <w:tcPr>
            <w:tcW w:w="1107" w:type="dxa"/>
            <w:tcBorders>
              <w:top w:val="nil"/>
              <w:left w:val="nil"/>
              <w:bottom w:val="single" w:sz="4" w:space="0" w:color="auto"/>
              <w:right w:val="single" w:sz="4" w:space="0" w:color="auto"/>
            </w:tcBorders>
            <w:shd w:val="clear" w:color="auto" w:fill="auto"/>
            <w:noWrap/>
            <w:vAlign w:val="center"/>
            <w:hideMark/>
          </w:tcPr>
          <w:p w14:paraId="2429ED62"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90,000.00</w:t>
            </w:r>
          </w:p>
        </w:tc>
        <w:tc>
          <w:tcPr>
            <w:tcW w:w="987" w:type="dxa"/>
            <w:tcBorders>
              <w:top w:val="nil"/>
              <w:left w:val="nil"/>
              <w:bottom w:val="single" w:sz="4" w:space="0" w:color="auto"/>
              <w:right w:val="single" w:sz="4" w:space="0" w:color="auto"/>
            </w:tcBorders>
            <w:shd w:val="clear" w:color="auto" w:fill="auto"/>
            <w:noWrap/>
            <w:vAlign w:val="center"/>
            <w:hideMark/>
          </w:tcPr>
          <w:p w14:paraId="7784A12A"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100.00%</w:t>
            </w:r>
          </w:p>
        </w:tc>
      </w:tr>
      <w:tr w:rsidR="004865EF" w:rsidRPr="004865EF" w14:paraId="2C66D6B2"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877C88"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1.1</w:t>
            </w:r>
          </w:p>
        </w:tc>
        <w:tc>
          <w:tcPr>
            <w:tcW w:w="1500" w:type="dxa"/>
            <w:tcBorders>
              <w:top w:val="nil"/>
              <w:left w:val="nil"/>
              <w:bottom w:val="single" w:sz="4" w:space="0" w:color="auto"/>
              <w:right w:val="single" w:sz="4" w:space="0" w:color="auto"/>
            </w:tcBorders>
            <w:shd w:val="clear" w:color="auto" w:fill="auto"/>
            <w:noWrap/>
            <w:vAlign w:val="center"/>
            <w:hideMark/>
          </w:tcPr>
          <w:p w14:paraId="41C13C3B"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土地成本</w:t>
            </w:r>
          </w:p>
        </w:tc>
        <w:tc>
          <w:tcPr>
            <w:tcW w:w="1500" w:type="dxa"/>
            <w:tcBorders>
              <w:top w:val="nil"/>
              <w:left w:val="nil"/>
              <w:bottom w:val="single" w:sz="4" w:space="0" w:color="auto"/>
              <w:right w:val="single" w:sz="4" w:space="0" w:color="auto"/>
            </w:tcBorders>
            <w:shd w:val="clear" w:color="auto" w:fill="auto"/>
            <w:noWrap/>
            <w:vAlign w:val="center"/>
            <w:hideMark/>
          </w:tcPr>
          <w:p w14:paraId="2D308092"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4,275.53</w:t>
            </w:r>
          </w:p>
        </w:tc>
        <w:tc>
          <w:tcPr>
            <w:tcW w:w="1086" w:type="dxa"/>
            <w:tcBorders>
              <w:top w:val="single" w:sz="4" w:space="0" w:color="auto"/>
              <w:left w:val="nil"/>
              <w:bottom w:val="single" w:sz="4" w:space="0" w:color="auto"/>
              <w:right w:val="single" w:sz="4" w:space="0" w:color="auto"/>
            </w:tcBorders>
            <w:vAlign w:val="center"/>
          </w:tcPr>
          <w:p w14:paraId="38C1326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CA06"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4,275.53</w:t>
            </w:r>
          </w:p>
        </w:tc>
        <w:tc>
          <w:tcPr>
            <w:tcW w:w="1107" w:type="dxa"/>
            <w:tcBorders>
              <w:top w:val="nil"/>
              <w:left w:val="nil"/>
              <w:bottom w:val="single" w:sz="4" w:space="0" w:color="auto"/>
              <w:right w:val="single" w:sz="4" w:space="0" w:color="auto"/>
            </w:tcBorders>
            <w:shd w:val="clear" w:color="auto" w:fill="auto"/>
            <w:noWrap/>
            <w:vAlign w:val="center"/>
            <w:hideMark/>
          </w:tcPr>
          <w:p w14:paraId="33CE26E4"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987" w:type="dxa"/>
            <w:tcBorders>
              <w:top w:val="nil"/>
              <w:left w:val="nil"/>
              <w:bottom w:val="single" w:sz="4" w:space="0" w:color="auto"/>
              <w:right w:val="single" w:sz="4" w:space="0" w:color="auto"/>
            </w:tcBorders>
            <w:shd w:val="clear" w:color="auto" w:fill="auto"/>
            <w:noWrap/>
            <w:vAlign w:val="center"/>
            <w:hideMark/>
          </w:tcPr>
          <w:p w14:paraId="06B6C316"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r>
      <w:tr w:rsidR="004865EF" w:rsidRPr="004865EF" w14:paraId="791D1E21"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472AE2"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1.2</w:t>
            </w:r>
          </w:p>
        </w:tc>
        <w:tc>
          <w:tcPr>
            <w:tcW w:w="1500" w:type="dxa"/>
            <w:tcBorders>
              <w:top w:val="nil"/>
              <w:left w:val="nil"/>
              <w:bottom w:val="single" w:sz="4" w:space="0" w:color="auto"/>
              <w:right w:val="single" w:sz="4" w:space="0" w:color="auto"/>
            </w:tcBorders>
            <w:shd w:val="clear" w:color="auto" w:fill="auto"/>
            <w:noWrap/>
            <w:vAlign w:val="center"/>
            <w:hideMark/>
          </w:tcPr>
          <w:p w14:paraId="4544C6C4"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工程建设</w:t>
            </w:r>
          </w:p>
        </w:tc>
        <w:tc>
          <w:tcPr>
            <w:tcW w:w="1500" w:type="dxa"/>
            <w:tcBorders>
              <w:top w:val="nil"/>
              <w:left w:val="nil"/>
              <w:bottom w:val="single" w:sz="4" w:space="0" w:color="auto"/>
              <w:right w:val="single" w:sz="4" w:space="0" w:color="auto"/>
            </w:tcBorders>
            <w:shd w:val="clear" w:color="auto" w:fill="auto"/>
            <w:noWrap/>
            <w:vAlign w:val="center"/>
            <w:hideMark/>
          </w:tcPr>
          <w:p w14:paraId="7A8A1C8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19,771.44</w:t>
            </w:r>
          </w:p>
        </w:tc>
        <w:tc>
          <w:tcPr>
            <w:tcW w:w="1086" w:type="dxa"/>
            <w:tcBorders>
              <w:top w:val="single" w:sz="4" w:space="0" w:color="auto"/>
              <w:left w:val="nil"/>
              <w:bottom w:val="single" w:sz="4" w:space="0" w:color="auto"/>
              <w:right w:val="single" w:sz="4" w:space="0" w:color="auto"/>
            </w:tcBorders>
            <w:vAlign w:val="center"/>
          </w:tcPr>
          <w:p w14:paraId="1F76432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51F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11,593.10</w:t>
            </w:r>
          </w:p>
        </w:tc>
        <w:tc>
          <w:tcPr>
            <w:tcW w:w="1107" w:type="dxa"/>
            <w:tcBorders>
              <w:top w:val="nil"/>
              <w:left w:val="nil"/>
              <w:bottom w:val="single" w:sz="4" w:space="0" w:color="auto"/>
              <w:right w:val="single" w:sz="4" w:space="0" w:color="auto"/>
            </w:tcBorders>
            <w:shd w:val="clear" w:color="auto" w:fill="auto"/>
            <w:noWrap/>
            <w:vAlign w:val="center"/>
            <w:hideMark/>
          </w:tcPr>
          <w:p w14:paraId="4285256F"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8,178.34</w:t>
            </w:r>
          </w:p>
        </w:tc>
        <w:tc>
          <w:tcPr>
            <w:tcW w:w="987" w:type="dxa"/>
            <w:tcBorders>
              <w:top w:val="nil"/>
              <w:left w:val="nil"/>
              <w:bottom w:val="single" w:sz="4" w:space="0" w:color="auto"/>
              <w:right w:val="single" w:sz="4" w:space="0" w:color="auto"/>
            </w:tcBorders>
            <w:shd w:val="clear" w:color="auto" w:fill="auto"/>
            <w:noWrap/>
            <w:vAlign w:val="center"/>
            <w:hideMark/>
          </w:tcPr>
          <w:p w14:paraId="08F9FAF4"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9.09%</w:t>
            </w:r>
          </w:p>
        </w:tc>
      </w:tr>
      <w:tr w:rsidR="004865EF" w:rsidRPr="004865EF" w14:paraId="68BC0CB8"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9E0BB"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1.3</w:t>
            </w:r>
          </w:p>
        </w:tc>
        <w:tc>
          <w:tcPr>
            <w:tcW w:w="1500" w:type="dxa"/>
            <w:tcBorders>
              <w:top w:val="nil"/>
              <w:left w:val="nil"/>
              <w:bottom w:val="single" w:sz="4" w:space="0" w:color="auto"/>
              <w:right w:val="single" w:sz="4" w:space="0" w:color="auto"/>
            </w:tcBorders>
            <w:shd w:val="clear" w:color="auto" w:fill="auto"/>
            <w:noWrap/>
            <w:vAlign w:val="center"/>
            <w:hideMark/>
          </w:tcPr>
          <w:p w14:paraId="14CF52CF"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设备购置</w:t>
            </w:r>
          </w:p>
        </w:tc>
        <w:tc>
          <w:tcPr>
            <w:tcW w:w="1500" w:type="dxa"/>
            <w:tcBorders>
              <w:top w:val="nil"/>
              <w:left w:val="nil"/>
              <w:bottom w:val="single" w:sz="4" w:space="0" w:color="auto"/>
              <w:right w:val="single" w:sz="4" w:space="0" w:color="auto"/>
            </w:tcBorders>
            <w:shd w:val="clear" w:color="auto" w:fill="auto"/>
            <w:noWrap/>
            <w:vAlign w:val="center"/>
            <w:hideMark/>
          </w:tcPr>
          <w:p w14:paraId="70A87FD3"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95,205.00</w:t>
            </w:r>
          </w:p>
        </w:tc>
        <w:tc>
          <w:tcPr>
            <w:tcW w:w="1086" w:type="dxa"/>
            <w:tcBorders>
              <w:top w:val="single" w:sz="4" w:space="0" w:color="auto"/>
              <w:left w:val="nil"/>
              <w:bottom w:val="single" w:sz="4" w:space="0" w:color="auto"/>
              <w:right w:val="single" w:sz="4" w:space="0" w:color="auto"/>
            </w:tcBorders>
            <w:vAlign w:val="center"/>
          </w:tcPr>
          <w:p w14:paraId="0B3CBD7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C27D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20.44</w:t>
            </w:r>
          </w:p>
        </w:tc>
        <w:tc>
          <w:tcPr>
            <w:tcW w:w="1107" w:type="dxa"/>
            <w:tcBorders>
              <w:top w:val="nil"/>
              <w:left w:val="nil"/>
              <w:bottom w:val="single" w:sz="4" w:space="0" w:color="auto"/>
              <w:right w:val="single" w:sz="4" w:space="0" w:color="auto"/>
            </w:tcBorders>
            <w:shd w:val="clear" w:color="auto" w:fill="auto"/>
            <w:noWrap/>
            <w:vAlign w:val="center"/>
            <w:hideMark/>
          </w:tcPr>
          <w:p w14:paraId="02D2094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81,821.66</w:t>
            </w:r>
          </w:p>
        </w:tc>
        <w:tc>
          <w:tcPr>
            <w:tcW w:w="987" w:type="dxa"/>
            <w:tcBorders>
              <w:top w:val="nil"/>
              <w:left w:val="nil"/>
              <w:bottom w:val="single" w:sz="4" w:space="0" w:color="auto"/>
              <w:right w:val="single" w:sz="4" w:space="0" w:color="auto"/>
            </w:tcBorders>
            <w:shd w:val="clear" w:color="auto" w:fill="auto"/>
            <w:noWrap/>
            <w:vAlign w:val="center"/>
            <w:hideMark/>
          </w:tcPr>
          <w:p w14:paraId="4EBAA0EA"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90.91%</w:t>
            </w:r>
          </w:p>
        </w:tc>
      </w:tr>
      <w:tr w:rsidR="004865EF" w:rsidRPr="004865EF" w14:paraId="5B48AD7C"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40EC47"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1.4</w:t>
            </w:r>
          </w:p>
        </w:tc>
        <w:tc>
          <w:tcPr>
            <w:tcW w:w="1500" w:type="dxa"/>
            <w:tcBorders>
              <w:top w:val="nil"/>
              <w:left w:val="nil"/>
              <w:bottom w:val="single" w:sz="4" w:space="0" w:color="auto"/>
              <w:right w:val="single" w:sz="4" w:space="0" w:color="auto"/>
            </w:tcBorders>
            <w:shd w:val="clear" w:color="auto" w:fill="auto"/>
            <w:noWrap/>
            <w:vAlign w:val="center"/>
            <w:hideMark/>
          </w:tcPr>
          <w:p w14:paraId="02B515D2"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其他费用</w:t>
            </w:r>
          </w:p>
        </w:tc>
        <w:tc>
          <w:tcPr>
            <w:tcW w:w="1500" w:type="dxa"/>
            <w:tcBorders>
              <w:top w:val="nil"/>
              <w:left w:val="nil"/>
              <w:bottom w:val="single" w:sz="4" w:space="0" w:color="auto"/>
              <w:right w:val="single" w:sz="4" w:space="0" w:color="auto"/>
            </w:tcBorders>
            <w:shd w:val="clear" w:color="auto" w:fill="auto"/>
            <w:noWrap/>
            <w:vAlign w:val="center"/>
            <w:hideMark/>
          </w:tcPr>
          <w:p w14:paraId="7812CB5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1,838.31</w:t>
            </w:r>
          </w:p>
        </w:tc>
        <w:tc>
          <w:tcPr>
            <w:tcW w:w="1086" w:type="dxa"/>
            <w:tcBorders>
              <w:top w:val="single" w:sz="4" w:space="0" w:color="auto"/>
              <w:left w:val="nil"/>
              <w:bottom w:val="single" w:sz="4" w:space="0" w:color="auto"/>
              <w:right w:val="single" w:sz="4" w:space="0" w:color="auto"/>
            </w:tcBorders>
            <w:vAlign w:val="center"/>
          </w:tcPr>
          <w:p w14:paraId="040FAF57"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641D8"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1,458.61</w:t>
            </w:r>
          </w:p>
        </w:tc>
        <w:tc>
          <w:tcPr>
            <w:tcW w:w="1107" w:type="dxa"/>
            <w:tcBorders>
              <w:top w:val="nil"/>
              <w:left w:val="nil"/>
              <w:bottom w:val="single" w:sz="4" w:space="0" w:color="auto"/>
              <w:right w:val="single" w:sz="4" w:space="0" w:color="auto"/>
            </w:tcBorders>
            <w:shd w:val="clear" w:color="auto" w:fill="auto"/>
            <w:noWrap/>
            <w:vAlign w:val="center"/>
            <w:hideMark/>
          </w:tcPr>
          <w:p w14:paraId="18D8DFE0"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987" w:type="dxa"/>
            <w:tcBorders>
              <w:top w:val="nil"/>
              <w:left w:val="nil"/>
              <w:bottom w:val="single" w:sz="4" w:space="0" w:color="auto"/>
              <w:right w:val="single" w:sz="4" w:space="0" w:color="auto"/>
            </w:tcBorders>
            <w:shd w:val="clear" w:color="auto" w:fill="auto"/>
            <w:noWrap/>
            <w:vAlign w:val="center"/>
            <w:hideMark/>
          </w:tcPr>
          <w:p w14:paraId="53115723"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r>
      <w:tr w:rsidR="004865EF" w:rsidRPr="004865EF" w14:paraId="173CCB1C"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344ABD"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2</w:t>
            </w:r>
          </w:p>
        </w:tc>
        <w:tc>
          <w:tcPr>
            <w:tcW w:w="1500" w:type="dxa"/>
            <w:tcBorders>
              <w:top w:val="nil"/>
              <w:left w:val="nil"/>
              <w:bottom w:val="single" w:sz="4" w:space="0" w:color="auto"/>
              <w:right w:val="single" w:sz="4" w:space="0" w:color="auto"/>
            </w:tcBorders>
            <w:shd w:val="clear" w:color="auto" w:fill="auto"/>
            <w:noWrap/>
            <w:vAlign w:val="center"/>
            <w:hideMark/>
          </w:tcPr>
          <w:p w14:paraId="0723DC3A"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铺底流动资金</w:t>
            </w:r>
          </w:p>
        </w:tc>
        <w:tc>
          <w:tcPr>
            <w:tcW w:w="1500" w:type="dxa"/>
            <w:tcBorders>
              <w:top w:val="nil"/>
              <w:left w:val="nil"/>
              <w:bottom w:val="single" w:sz="4" w:space="0" w:color="auto"/>
              <w:right w:val="single" w:sz="4" w:space="0" w:color="auto"/>
            </w:tcBorders>
            <w:shd w:val="clear" w:color="auto" w:fill="auto"/>
            <w:noWrap/>
            <w:vAlign w:val="center"/>
            <w:hideMark/>
          </w:tcPr>
          <w:p w14:paraId="05C44CF4"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1,000.00</w:t>
            </w:r>
          </w:p>
        </w:tc>
        <w:tc>
          <w:tcPr>
            <w:tcW w:w="1086" w:type="dxa"/>
            <w:tcBorders>
              <w:top w:val="single" w:sz="4" w:space="0" w:color="auto"/>
              <w:left w:val="nil"/>
              <w:bottom w:val="single" w:sz="4" w:space="0" w:color="auto"/>
              <w:right w:val="single" w:sz="4" w:space="0" w:color="auto"/>
            </w:tcBorders>
            <w:vAlign w:val="center"/>
          </w:tcPr>
          <w:p w14:paraId="56C8E2BD"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否</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F4C0B"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107" w:type="dxa"/>
            <w:tcBorders>
              <w:top w:val="nil"/>
              <w:left w:val="nil"/>
              <w:bottom w:val="single" w:sz="4" w:space="0" w:color="auto"/>
              <w:right w:val="single" w:sz="4" w:space="0" w:color="auto"/>
            </w:tcBorders>
            <w:shd w:val="clear" w:color="auto" w:fill="auto"/>
            <w:noWrap/>
            <w:vAlign w:val="center"/>
            <w:hideMark/>
          </w:tcPr>
          <w:p w14:paraId="2705249B"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987" w:type="dxa"/>
            <w:tcBorders>
              <w:top w:val="nil"/>
              <w:left w:val="nil"/>
              <w:bottom w:val="single" w:sz="4" w:space="0" w:color="auto"/>
              <w:right w:val="single" w:sz="4" w:space="0" w:color="auto"/>
            </w:tcBorders>
            <w:shd w:val="clear" w:color="auto" w:fill="auto"/>
            <w:noWrap/>
            <w:vAlign w:val="center"/>
            <w:hideMark/>
          </w:tcPr>
          <w:p w14:paraId="0B5A034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r>
      <w:tr w:rsidR="004865EF" w:rsidRPr="004865EF" w14:paraId="604A6FCA" w14:textId="77777777" w:rsidTr="00602898">
        <w:trPr>
          <w:trHeight w:val="397"/>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9E82"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合计</w:t>
            </w:r>
          </w:p>
        </w:tc>
        <w:tc>
          <w:tcPr>
            <w:tcW w:w="1500" w:type="dxa"/>
            <w:tcBorders>
              <w:top w:val="nil"/>
              <w:left w:val="nil"/>
              <w:bottom w:val="single" w:sz="4" w:space="0" w:color="auto"/>
              <w:right w:val="single" w:sz="4" w:space="0" w:color="auto"/>
            </w:tcBorders>
            <w:shd w:val="clear" w:color="auto" w:fill="auto"/>
            <w:noWrap/>
            <w:vAlign w:val="center"/>
            <w:hideMark/>
          </w:tcPr>
          <w:p w14:paraId="06F59096" w14:textId="77777777" w:rsidR="00602898" w:rsidRPr="004865EF" w:rsidRDefault="00602898" w:rsidP="00602898">
            <w:pPr>
              <w:widowControl/>
              <w:jc w:val="right"/>
              <w:rPr>
                <w:rFonts w:ascii="Times New Roman" w:eastAsia="宋体" w:hAnsi="Times New Roman" w:cs="Times New Roman"/>
                <w:b/>
                <w:kern w:val="0"/>
                <w:szCs w:val="21"/>
              </w:rPr>
            </w:pPr>
            <w:r w:rsidRPr="004865EF">
              <w:rPr>
                <w:rFonts w:ascii="Times New Roman" w:eastAsia="宋体" w:hAnsi="Times New Roman" w:cs="Times New Roman"/>
                <w:b/>
                <w:kern w:val="0"/>
                <w:szCs w:val="21"/>
              </w:rPr>
              <w:t>122,090.28</w:t>
            </w:r>
          </w:p>
        </w:tc>
        <w:tc>
          <w:tcPr>
            <w:tcW w:w="1086" w:type="dxa"/>
            <w:tcBorders>
              <w:top w:val="single" w:sz="4" w:space="0" w:color="auto"/>
              <w:left w:val="nil"/>
              <w:bottom w:val="single" w:sz="4" w:space="0" w:color="auto"/>
              <w:right w:val="single" w:sz="4" w:space="0" w:color="auto"/>
            </w:tcBorders>
            <w:vAlign w:val="center"/>
          </w:tcPr>
          <w:p w14:paraId="15B8762E" w14:textId="77777777" w:rsidR="00602898" w:rsidRPr="004865EF" w:rsidRDefault="00602898" w:rsidP="00602898">
            <w:pPr>
              <w:widowControl/>
              <w:jc w:val="center"/>
              <w:rPr>
                <w:rFonts w:ascii="Times New Roman" w:eastAsia="宋体" w:hAnsi="Times New Roman" w:cs="Times New Roman"/>
                <w:b/>
                <w:kern w:val="0"/>
                <w:szCs w:val="21"/>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A723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17,347.68</w:t>
            </w:r>
          </w:p>
        </w:tc>
        <w:tc>
          <w:tcPr>
            <w:tcW w:w="1107" w:type="dxa"/>
            <w:tcBorders>
              <w:top w:val="nil"/>
              <w:left w:val="nil"/>
              <w:bottom w:val="single" w:sz="4" w:space="0" w:color="auto"/>
              <w:right w:val="single" w:sz="4" w:space="0" w:color="auto"/>
            </w:tcBorders>
            <w:shd w:val="clear" w:color="auto" w:fill="auto"/>
            <w:noWrap/>
            <w:vAlign w:val="center"/>
            <w:hideMark/>
          </w:tcPr>
          <w:p w14:paraId="201C87F7"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90,000.00</w:t>
            </w:r>
          </w:p>
        </w:tc>
        <w:tc>
          <w:tcPr>
            <w:tcW w:w="987" w:type="dxa"/>
            <w:tcBorders>
              <w:top w:val="nil"/>
              <w:left w:val="nil"/>
              <w:bottom w:val="single" w:sz="4" w:space="0" w:color="auto"/>
              <w:right w:val="single" w:sz="4" w:space="0" w:color="auto"/>
            </w:tcBorders>
            <w:shd w:val="clear" w:color="auto" w:fill="auto"/>
            <w:noWrap/>
            <w:vAlign w:val="center"/>
            <w:hideMark/>
          </w:tcPr>
          <w:p w14:paraId="0198DC5C"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100.00%</w:t>
            </w:r>
          </w:p>
        </w:tc>
      </w:tr>
    </w:tbl>
    <w:p w14:paraId="22AF8555" w14:textId="77777777"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房山二期项目具体投资明细、投资金额和测算依据及过程如下：</w:t>
      </w:r>
    </w:p>
    <w:tbl>
      <w:tblPr>
        <w:tblW w:w="9165" w:type="dxa"/>
        <w:jc w:val="center"/>
        <w:tblLook w:val="04A0" w:firstRow="1" w:lastRow="0" w:firstColumn="1" w:lastColumn="0" w:noHBand="0" w:noVBand="1"/>
      </w:tblPr>
      <w:tblGrid>
        <w:gridCol w:w="582"/>
        <w:gridCol w:w="1418"/>
        <w:gridCol w:w="2336"/>
        <w:gridCol w:w="1240"/>
        <w:gridCol w:w="960"/>
        <w:gridCol w:w="2629"/>
      </w:tblGrid>
      <w:tr w:rsidR="004865EF" w:rsidRPr="004865EF" w14:paraId="68183A1B" w14:textId="77777777" w:rsidTr="00A66425">
        <w:trPr>
          <w:trHeight w:val="397"/>
          <w:tblHeader/>
          <w:jc w:val="center"/>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9AD0DD"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序号</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84B96F6"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投资明细</w:t>
            </w:r>
          </w:p>
        </w:tc>
        <w:tc>
          <w:tcPr>
            <w:tcW w:w="2336" w:type="dxa"/>
            <w:tcBorders>
              <w:top w:val="single" w:sz="4" w:space="0" w:color="auto"/>
              <w:left w:val="nil"/>
              <w:bottom w:val="single" w:sz="4" w:space="0" w:color="auto"/>
              <w:right w:val="single" w:sz="4" w:space="0" w:color="auto"/>
            </w:tcBorders>
            <w:shd w:val="clear" w:color="000000" w:fill="FFFFFF"/>
            <w:noWrap/>
            <w:vAlign w:val="center"/>
          </w:tcPr>
          <w:p w14:paraId="16EB2BB1"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具体建设内容</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14:paraId="56F7F459"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金额（万元）</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14:paraId="0165EC61"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占比</w:t>
            </w:r>
          </w:p>
        </w:tc>
        <w:tc>
          <w:tcPr>
            <w:tcW w:w="2629" w:type="dxa"/>
            <w:tcBorders>
              <w:top w:val="single" w:sz="4" w:space="0" w:color="auto"/>
              <w:left w:val="nil"/>
              <w:bottom w:val="single" w:sz="4" w:space="0" w:color="auto"/>
              <w:right w:val="single" w:sz="4" w:space="0" w:color="auto"/>
            </w:tcBorders>
            <w:shd w:val="clear" w:color="000000" w:fill="FFFFFF"/>
            <w:noWrap/>
            <w:vAlign w:val="center"/>
          </w:tcPr>
          <w:p w14:paraId="3E29E3E2"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测算依据及测算过程</w:t>
            </w:r>
          </w:p>
        </w:tc>
      </w:tr>
      <w:tr w:rsidR="004865EF" w:rsidRPr="004865EF" w14:paraId="2B6EE35A"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479FD6C"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56FBC304"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项目资本支出</w:t>
            </w:r>
          </w:p>
        </w:tc>
        <w:tc>
          <w:tcPr>
            <w:tcW w:w="2336" w:type="dxa"/>
            <w:tcBorders>
              <w:top w:val="nil"/>
              <w:left w:val="nil"/>
              <w:bottom w:val="single" w:sz="4" w:space="0" w:color="auto"/>
              <w:right w:val="single" w:sz="4" w:space="0" w:color="auto"/>
            </w:tcBorders>
            <w:shd w:val="clear" w:color="auto" w:fill="auto"/>
            <w:noWrap/>
            <w:vAlign w:val="center"/>
          </w:tcPr>
          <w:p w14:paraId="137565CB"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本项目主要固定资产投资</w:t>
            </w:r>
          </w:p>
        </w:tc>
        <w:tc>
          <w:tcPr>
            <w:tcW w:w="1240" w:type="dxa"/>
            <w:tcBorders>
              <w:top w:val="nil"/>
              <w:left w:val="nil"/>
              <w:bottom w:val="single" w:sz="4" w:space="0" w:color="auto"/>
              <w:right w:val="single" w:sz="4" w:space="0" w:color="auto"/>
            </w:tcBorders>
            <w:shd w:val="clear" w:color="auto" w:fill="auto"/>
            <w:noWrap/>
            <w:vAlign w:val="center"/>
          </w:tcPr>
          <w:p w14:paraId="19CEE175"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121,090.28</w:t>
            </w:r>
          </w:p>
        </w:tc>
        <w:tc>
          <w:tcPr>
            <w:tcW w:w="960" w:type="dxa"/>
            <w:tcBorders>
              <w:top w:val="nil"/>
              <w:left w:val="nil"/>
              <w:bottom w:val="single" w:sz="4" w:space="0" w:color="auto"/>
              <w:right w:val="single" w:sz="4" w:space="0" w:color="auto"/>
            </w:tcBorders>
            <w:shd w:val="clear" w:color="auto" w:fill="auto"/>
            <w:noWrap/>
            <w:vAlign w:val="center"/>
          </w:tcPr>
          <w:p w14:paraId="30AC0EA3"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99.18%</w:t>
            </w:r>
          </w:p>
        </w:tc>
        <w:tc>
          <w:tcPr>
            <w:tcW w:w="2629" w:type="dxa"/>
            <w:tcBorders>
              <w:top w:val="nil"/>
              <w:left w:val="nil"/>
              <w:bottom w:val="single" w:sz="4" w:space="0" w:color="auto"/>
              <w:right w:val="single" w:sz="4" w:space="0" w:color="auto"/>
            </w:tcBorders>
            <w:shd w:val="clear" w:color="auto" w:fill="auto"/>
            <w:noWrap/>
            <w:vAlign w:val="center"/>
          </w:tcPr>
          <w:p w14:paraId="53BA417B"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5B19A47F"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814BB1A"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1.1</w:t>
            </w:r>
          </w:p>
        </w:tc>
        <w:tc>
          <w:tcPr>
            <w:tcW w:w="1418" w:type="dxa"/>
            <w:tcBorders>
              <w:top w:val="nil"/>
              <w:left w:val="nil"/>
              <w:bottom w:val="single" w:sz="4" w:space="0" w:color="auto"/>
              <w:right w:val="single" w:sz="4" w:space="0" w:color="auto"/>
            </w:tcBorders>
            <w:shd w:val="clear" w:color="auto" w:fill="auto"/>
            <w:noWrap/>
            <w:vAlign w:val="center"/>
          </w:tcPr>
          <w:p w14:paraId="2E5AB242"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土地成本</w:t>
            </w:r>
          </w:p>
        </w:tc>
        <w:tc>
          <w:tcPr>
            <w:tcW w:w="2336" w:type="dxa"/>
            <w:tcBorders>
              <w:top w:val="nil"/>
              <w:left w:val="nil"/>
              <w:bottom w:val="single" w:sz="4" w:space="0" w:color="auto"/>
              <w:right w:val="single" w:sz="4" w:space="0" w:color="auto"/>
            </w:tcBorders>
            <w:shd w:val="clear" w:color="auto" w:fill="auto"/>
            <w:noWrap/>
            <w:vAlign w:val="center"/>
          </w:tcPr>
          <w:p w14:paraId="68755156" w14:textId="77777777" w:rsidR="00602898" w:rsidRPr="004865EF" w:rsidRDefault="00602898" w:rsidP="00602898">
            <w:pPr>
              <w:widowControl/>
              <w:rPr>
                <w:rFonts w:ascii="Times New Roman" w:eastAsia="宋体" w:hAnsi="Times New Roman" w:cs="Times New Roman"/>
                <w:kern w:val="0"/>
                <w:sz w:val="18"/>
                <w:szCs w:val="18"/>
              </w:rPr>
            </w:pPr>
          </w:p>
        </w:tc>
        <w:tc>
          <w:tcPr>
            <w:tcW w:w="1240" w:type="dxa"/>
            <w:tcBorders>
              <w:top w:val="nil"/>
              <w:left w:val="nil"/>
              <w:bottom w:val="single" w:sz="4" w:space="0" w:color="auto"/>
              <w:right w:val="single" w:sz="4" w:space="0" w:color="auto"/>
            </w:tcBorders>
            <w:shd w:val="clear" w:color="auto" w:fill="auto"/>
            <w:noWrap/>
            <w:vAlign w:val="center"/>
          </w:tcPr>
          <w:p w14:paraId="77BE3564"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4,275.53</w:t>
            </w:r>
          </w:p>
        </w:tc>
        <w:tc>
          <w:tcPr>
            <w:tcW w:w="960" w:type="dxa"/>
            <w:tcBorders>
              <w:top w:val="nil"/>
              <w:left w:val="nil"/>
              <w:bottom w:val="single" w:sz="4" w:space="0" w:color="auto"/>
              <w:right w:val="single" w:sz="4" w:space="0" w:color="auto"/>
            </w:tcBorders>
            <w:shd w:val="clear" w:color="auto" w:fill="auto"/>
            <w:noWrap/>
            <w:vAlign w:val="center"/>
          </w:tcPr>
          <w:p w14:paraId="571345C5"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3.50%</w:t>
            </w:r>
          </w:p>
        </w:tc>
        <w:tc>
          <w:tcPr>
            <w:tcW w:w="2629" w:type="dxa"/>
            <w:tcBorders>
              <w:top w:val="nil"/>
              <w:left w:val="nil"/>
              <w:bottom w:val="single" w:sz="4" w:space="0" w:color="auto"/>
              <w:right w:val="single" w:sz="4" w:space="0" w:color="auto"/>
            </w:tcBorders>
            <w:shd w:val="clear" w:color="auto" w:fill="auto"/>
            <w:noWrap/>
            <w:vAlign w:val="center"/>
          </w:tcPr>
          <w:p w14:paraId="19688DEE"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45E5FA10"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1C88F75"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w:t>
            </w:r>
          </w:p>
        </w:tc>
        <w:tc>
          <w:tcPr>
            <w:tcW w:w="1418" w:type="dxa"/>
            <w:tcBorders>
              <w:top w:val="nil"/>
              <w:left w:val="nil"/>
              <w:bottom w:val="single" w:sz="4" w:space="0" w:color="auto"/>
              <w:right w:val="single" w:sz="4" w:space="0" w:color="auto"/>
            </w:tcBorders>
            <w:shd w:val="clear" w:color="auto" w:fill="auto"/>
            <w:noWrap/>
            <w:vAlign w:val="center"/>
          </w:tcPr>
          <w:p w14:paraId="06341D86"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工程建设</w:t>
            </w:r>
          </w:p>
        </w:tc>
        <w:tc>
          <w:tcPr>
            <w:tcW w:w="2336" w:type="dxa"/>
            <w:tcBorders>
              <w:top w:val="nil"/>
              <w:left w:val="nil"/>
              <w:bottom w:val="single" w:sz="4" w:space="0" w:color="auto"/>
              <w:right w:val="single" w:sz="4" w:space="0" w:color="auto"/>
            </w:tcBorders>
            <w:shd w:val="clear" w:color="auto" w:fill="auto"/>
            <w:noWrap/>
            <w:vAlign w:val="center"/>
          </w:tcPr>
          <w:p w14:paraId="185D62FE"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4</w:t>
            </w:r>
            <w:r w:rsidRPr="004865EF">
              <w:rPr>
                <w:rFonts w:ascii="Times New Roman" w:eastAsia="宋体" w:hAnsi="Times New Roman" w:cs="Times New Roman" w:hint="eastAsia"/>
                <w:kern w:val="0"/>
                <w:sz w:val="18"/>
                <w:szCs w:val="18"/>
              </w:rPr>
              <w:t>栋数据中心及配套楼宇</w:t>
            </w:r>
          </w:p>
        </w:tc>
        <w:tc>
          <w:tcPr>
            <w:tcW w:w="1240" w:type="dxa"/>
            <w:tcBorders>
              <w:top w:val="nil"/>
              <w:left w:val="nil"/>
              <w:bottom w:val="single" w:sz="4" w:space="0" w:color="auto"/>
              <w:right w:val="single" w:sz="4" w:space="0" w:color="auto"/>
            </w:tcBorders>
            <w:shd w:val="clear" w:color="auto" w:fill="auto"/>
            <w:noWrap/>
            <w:vAlign w:val="center"/>
          </w:tcPr>
          <w:p w14:paraId="51AB756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19,771.44</w:t>
            </w:r>
          </w:p>
        </w:tc>
        <w:tc>
          <w:tcPr>
            <w:tcW w:w="960" w:type="dxa"/>
            <w:tcBorders>
              <w:top w:val="nil"/>
              <w:left w:val="nil"/>
              <w:bottom w:val="single" w:sz="4" w:space="0" w:color="auto"/>
              <w:right w:val="single" w:sz="4" w:space="0" w:color="auto"/>
            </w:tcBorders>
            <w:shd w:val="clear" w:color="auto" w:fill="auto"/>
            <w:noWrap/>
            <w:vAlign w:val="center"/>
          </w:tcPr>
          <w:p w14:paraId="39C48991"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16.19%</w:t>
            </w:r>
          </w:p>
        </w:tc>
        <w:tc>
          <w:tcPr>
            <w:tcW w:w="2629" w:type="dxa"/>
            <w:tcBorders>
              <w:top w:val="nil"/>
              <w:left w:val="nil"/>
              <w:bottom w:val="single" w:sz="4" w:space="0" w:color="auto"/>
              <w:right w:val="single" w:sz="4" w:space="0" w:color="auto"/>
            </w:tcBorders>
            <w:shd w:val="clear" w:color="auto" w:fill="auto"/>
            <w:noWrap/>
            <w:vAlign w:val="center"/>
          </w:tcPr>
          <w:p w14:paraId="43DE656E"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根据本项目规划情况确定建筑面积，及当地市场费用单价，通过建筑面积及单价进行估算</w:t>
            </w:r>
          </w:p>
        </w:tc>
      </w:tr>
      <w:tr w:rsidR="004865EF" w:rsidRPr="004865EF" w14:paraId="6345942F"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2B70E22"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w:t>
            </w:r>
          </w:p>
        </w:tc>
        <w:tc>
          <w:tcPr>
            <w:tcW w:w="1418" w:type="dxa"/>
            <w:tcBorders>
              <w:top w:val="nil"/>
              <w:left w:val="nil"/>
              <w:bottom w:val="single" w:sz="4" w:space="0" w:color="auto"/>
              <w:right w:val="single" w:sz="4" w:space="0" w:color="auto"/>
            </w:tcBorders>
            <w:shd w:val="clear" w:color="auto" w:fill="auto"/>
            <w:noWrap/>
            <w:vAlign w:val="center"/>
          </w:tcPr>
          <w:p w14:paraId="63A5EB6B"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设备购置</w:t>
            </w:r>
          </w:p>
        </w:tc>
        <w:tc>
          <w:tcPr>
            <w:tcW w:w="2336" w:type="dxa"/>
            <w:tcBorders>
              <w:top w:val="nil"/>
              <w:left w:val="nil"/>
              <w:bottom w:val="single" w:sz="4" w:space="0" w:color="auto"/>
              <w:right w:val="single" w:sz="4" w:space="0" w:color="auto"/>
            </w:tcBorders>
            <w:shd w:val="clear" w:color="auto" w:fill="auto"/>
            <w:noWrap/>
            <w:vAlign w:val="center"/>
          </w:tcPr>
          <w:p w14:paraId="6F454322" w14:textId="77777777" w:rsidR="00602898" w:rsidRPr="004865EF" w:rsidRDefault="00602898" w:rsidP="00602898">
            <w:pPr>
              <w:widowControl/>
              <w:rPr>
                <w:rFonts w:ascii="Times New Roman" w:eastAsia="宋体" w:hAnsi="Times New Roman" w:cs="Times New Roman"/>
                <w:kern w:val="0"/>
                <w:sz w:val="18"/>
                <w:szCs w:val="18"/>
              </w:rPr>
            </w:pPr>
          </w:p>
        </w:tc>
        <w:tc>
          <w:tcPr>
            <w:tcW w:w="1240" w:type="dxa"/>
            <w:tcBorders>
              <w:top w:val="nil"/>
              <w:left w:val="nil"/>
              <w:bottom w:val="single" w:sz="4" w:space="0" w:color="auto"/>
              <w:right w:val="single" w:sz="4" w:space="0" w:color="auto"/>
            </w:tcBorders>
            <w:shd w:val="clear" w:color="auto" w:fill="auto"/>
            <w:noWrap/>
            <w:vAlign w:val="center"/>
          </w:tcPr>
          <w:p w14:paraId="4F2D5255"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95,205.00</w:t>
            </w:r>
          </w:p>
        </w:tc>
        <w:tc>
          <w:tcPr>
            <w:tcW w:w="960" w:type="dxa"/>
            <w:tcBorders>
              <w:top w:val="nil"/>
              <w:left w:val="nil"/>
              <w:bottom w:val="single" w:sz="4" w:space="0" w:color="auto"/>
              <w:right w:val="single" w:sz="4" w:space="0" w:color="auto"/>
            </w:tcBorders>
            <w:shd w:val="clear" w:color="auto" w:fill="auto"/>
            <w:noWrap/>
            <w:vAlign w:val="center"/>
          </w:tcPr>
          <w:p w14:paraId="18BC5EC6"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77.98%</w:t>
            </w:r>
          </w:p>
        </w:tc>
        <w:tc>
          <w:tcPr>
            <w:tcW w:w="2629" w:type="dxa"/>
            <w:tcBorders>
              <w:top w:val="nil"/>
              <w:left w:val="nil"/>
              <w:bottom w:val="single" w:sz="4" w:space="0" w:color="auto"/>
              <w:right w:val="single" w:sz="4" w:space="0" w:color="auto"/>
            </w:tcBorders>
            <w:shd w:val="clear" w:color="auto" w:fill="auto"/>
            <w:noWrap/>
            <w:vAlign w:val="center"/>
          </w:tcPr>
          <w:p w14:paraId="0D8C87E2"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27BCE188"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F52B9EB"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1.3.1</w:t>
            </w:r>
          </w:p>
        </w:tc>
        <w:tc>
          <w:tcPr>
            <w:tcW w:w="1418" w:type="dxa"/>
            <w:tcBorders>
              <w:top w:val="nil"/>
              <w:left w:val="nil"/>
              <w:bottom w:val="single" w:sz="4" w:space="0" w:color="auto"/>
              <w:right w:val="single" w:sz="4" w:space="0" w:color="auto"/>
            </w:tcBorders>
            <w:shd w:val="clear" w:color="auto" w:fill="auto"/>
            <w:noWrap/>
            <w:vAlign w:val="center"/>
          </w:tcPr>
          <w:p w14:paraId="23B36D53"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配电系统</w:t>
            </w:r>
          </w:p>
        </w:tc>
        <w:tc>
          <w:tcPr>
            <w:tcW w:w="2336" w:type="dxa"/>
            <w:tcBorders>
              <w:top w:val="nil"/>
              <w:left w:val="nil"/>
              <w:bottom w:val="single" w:sz="4" w:space="0" w:color="auto"/>
              <w:right w:val="single" w:sz="4" w:space="0" w:color="auto"/>
            </w:tcBorders>
            <w:shd w:val="clear" w:color="auto" w:fill="auto"/>
            <w:noWrap/>
            <w:vAlign w:val="center"/>
          </w:tcPr>
          <w:p w14:paraId="3575D3DB"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柴油发电机组、高低压配电柜、交流列头柜（箱）、</w:t>
            </w:r>
            <w:r w:rsidRPr="004865EF">
              <w:rPr>
                <w:rFonts w:ascii="Times New Roman" w:eastAsia="宋体" w:hAnsi="Times New Roman" w:cs="Times New Roman"/>
                <w:kern w:val="0"/>
                <w:sz w:val="18"/>
                <w:szCs w:val="18"/>
              </w:rPr>
              <w:t>UPS</w:t>
            </w:r>
            <w:r w:rsidRPr="004865EF">
              <w:rPr>
                <w:rFonts w:ascii="Times New Roman" w:eastAsia="宋体" w:hAnsi="Times New Roman" w:cs="Times New Roman"/>
                <w:kern w:val="0"/>
                <w:sz w:val="18"/>
                <w:szCs w:val="18"/>
              </w:rPr>
              <w:t>及蓄电池</w:t>
            </w:r>
            <w:r w:rsidRPr="004865EF">
              <w:rPr>
                <w:rFonts w:ascii="Times New Roman" w:eastAsia="宋体" w:hAnsi="Times New Roman" w:cs="Times New Roman" w:hint="eastAsia"/>
                <w:kern w:val="0"/>
                <w:sz w:val="18"/>
                <w:szCs w:val="18"/>
              </w:rPr>
              <w:t>、变压器、</w:t>
            </w:r>
            <w:r w:rsidRPr="004865EF">
              <w:rPr>
                <w:rFonts w:ascii="Times New Roman" w:eastAsia="宋体" w:hAnsi="Times New Roman" w:cs="Times New Roman" w:hint="eastAsia"/>
                <w:kern w:val="0"/>
                <w:sz w:val="18"/>
                <w:szCs w:val="18"/>
              </w:rPr>
              <w:t>PDU</w:t>
            </w:r>
            <w:r w:rsidRPr="004865EF">
              <w:rPr>
                <w:rFonts w:ascii="Times New Roman" w:eastAsia="宋体" w:hAnsi="Times New Roman" w:cs="Times New Roman" w:hint="eastAsia"/>
                <w:kern w:val="0"/>
                <w:sz w:val="18"/>
                <w:szCs w:val="18"/>
              </w:rPr>
              <w:t>、桥架、线缆、油泵及油路等设备的采购及施工</w:t>
            </w:r>
          </w:p>
        </w:tc>
        <w:tc>
          <w:tcPr>
            <w:tcW w:w="1240" w:type="dxa"/>
            <w:tcBorders>
              <w:top w:val="nil"/>
              <w:left w:val="nil"/>
              <w:bottom w:val="single" w:sz="4" w:space="0" w:color="auto"/>
              <w:right w:val="single" w:sz="4" w:space="0" w:color="auto"/>
            </w:tcBorders>
            <w:shd w:val="clear" w:color="auto" w:fill="auto"/>
            <w:noWrap/>
            <w:vAlign w:val="center"/>
          </w:tcPr>
          <w:p w14:paraId="044D5613"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65,520.00</w:t>
            </w:r>
          </w:p>
        </w:tc>
        <w:tc>
          <w:tcPr>
            <w:tcW w:w="960" w:type="dxa"/>
            <w:tcBorders>
              <w:top w:val="nil"/>
              <w:left w:val="nil"/>
              <w:bottom w:val="single" w:sz="4" w:space="0" w:color="auto"/>
              <w:right w:val="single" w:sz="4" w:space="0" w:color="auto"/>
            </w:tcBorders>
            <w:shd w:val="clear" w:color="auto" w:fill="auto"/>
            <w:noWrap/>
            <w:vAlign w:val="center"/>
          </w:tcPr>
          <w:p w14:paraId="25EBBE64"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53.67%</w:t>
            </w:r>
          </w:p>
        </w:tc>
        <w:tc>
          <w:tcPr>
            <w:tcW w:w="2629" w:type="dxa"/>
            <w:vMerge w:val="restart"/>
            <w:tcBorders>
              <w:top w:val="nil"/>
              <w:left w:val="single" w:sz="4" w:space="0" w:color="auto"/>
              <w:bottom w:val="single" w:sz="4" w:space="0" w:color="000000"/>
              <w:right w:val="single" w:sz="4" w:space="0" w:color="auto"/>
            </w:tcBorders>
            <w:shd w:val="clear" w:color="auto" w:fill="auto"/>
            <w:noWrap/>
            <w:vAlign w:val="center"/>
          </w:tcPr>
          <w:p w14:paraId="5FF3D19A"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w:t>
            </w:r>
            <w:r w:rsidRPr="004865EF">
              <w:rPr>
                <w:rFonts w:ascii="Times New Roman" w:eastAsia="宋体" w:hAnsi="Times New Roman" w:cs="Times New Roman" w:hint="eastAsia"/>
                <w:kern w:val="0"/>
                <w:sz w:val="18"/>
                <w:szCs w:val="18"/>
              </w:rPr>
              <w:t>本</w:t>
            </w:r>
            <w:r w:rsidRPr="004865EF">
              <w:rPr>
                <w:rFonts w:ascii="Times New Roman" w:eastAsia="宋体" w:hAnsi="Times New Roman" w:cs="Times New Roman"/>
                <w:kern w:val="0"/>
                <w:sz w:val="18"/>
                <w:szCs w:val="18"/>
              </w:rPr>
              <w:t>项目规划情况、</w:t>
            </w:r>
            <w:r w:rsidRPr="004865EF">
              <w:rPr>
                <w:rFonts w:ascii="Times New Roman" w:eastAsia="宋体" w:hAnsi="Times New Roman" w:cs="Times New Roman" w:hint="eastAsia"/>
                <w:kern w:val="0"/>
                <w:sz w:val="18"/>
                <w:szCs w:val="18"/>
              </w:rPr>
              <w:t>项目所需的电力及制冷总量、</w:t>
            </w:r>
            <w:r w:rsidRPr="004865EF">
              <w:rPr>
                <w:rFonts w:ascii="Times New Roman" w:eastAsia="宋体" w:hAnsi="Times New Roman" w:cs="Times New Roman"/>
                <w:kern w:val="0"/>
                <w:sz w:val="18"/>
                <w:szCs w:val="18"/>
              </w:rPr>
              <w:t>设备需求</w:t>
            </w:r>
            <w:r w:rsidRPr="004865EF">
              <w:rPr>
                <w:rFonts w:ascii="Times New Roman" w:eastAsia="宋体" w:hAnsi="Times New Roman" w:cs="Times New Roman" w:hint="eastAsia"/>
                <w:kern w:val="0"/>
                <w:sz w:val="18"/>
                <w:szCs w:val="18"/>
              </w:rPr>
              <w:t>预计数量</w:t>
            </w:r>
            <w:r w:rsidRPr="004865EF">
              <w:rPr>
                <w:rFonts w:ascii="Times New Roman" w:eastAsia="宋体" w:hAnsi="Times New Roman" w:cs="Times New Roman"/>
                <w:kern w:val="0"/>
                <w:sz w:val="18"/>
                <w:szCs w:val="18"/>
              </w:rPr>
              <w:t>、市场现行</w:t>
            </w:r>
            <w:r w:rsidRPr="004865EF">
              <w:rPr>
                <w:rFonts w:ascii="Times New Roman" w:eastAsia="宋体" w:hAnsi="Times New Roman" w:cs="Times New Roman" w:hint="eastAsia"/>
                <w:kern w:val="0"/>
                <w:sz w:val="18"/>
                <w:szCs w:val="18"/>
              </w:rPr>
              <w:t>设备通用单价</w:t>
            </w:r>
            <w:r w:rsidRPr="004865EF">
              <w:rPr>
                <w:rFonts w:ascii="Times New Roman" w:eastAsia="宋体" w:hAnsi="Times New Roman" w:cs="Times New Roman"/>
                <w:kern w:val="0"/>
                <w:sz w:val="18"/>
                <w:szCs w:val="18"/>
              </w:rPr>
              <w:t>，</w:t>
            </w:r>
            <w:r w:rsidRPr="004865EF">
              <w:rPr>
                <w:rFonts w:ascii="Times New Roman" w:eastAsia="宋体" w:hAnsi="Times New Roman" w:cs="Times New Roman" w:hint="eastAsia"/>
                <w:kern w:val="0"/>
                <w:sz w:val="18"/>
                <w:szCs w:val="18"/>
              </w:rPr>
              <w:t>并结合公司历史类似项目情况估算系统建设投资</w:t>
            </w:r>
          </w:p>
        </w:tc>
      </w:tr>
      <w:tr w:rsidR="004865EF" w:rsidRPr="004865EF" w14:paraId="5CF4F1F9"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424D70E"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1.3.2</w:t>
            </w:r>
          </w:p>
        </w:tc>
        <w:tc>
          <w:tcPr>
            <w:tcW w:w="1418" w:type="dxa"/>
            <w:tcBorders>
              <w:top w:val="nil"/>
              <w:left w:val="nil"/>
              <w:bottom w:val="single" w:sz="4" w:space="0" w:color="auto"/>
              <w:right w:val="single" w:sz="4" w:space="0" w:color="auto"/>
            </w:tcBorders>
            <w:shd w:val="clear" w:color="auto" w:fill="auto"/>
            <w:noWrap/>
            <w:vAlign w:val="center"/>
          </w:tcPr>
          <w:p w14:paraId="645AF3D9"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空调系统</w:t>
            </w:r>
          </w:p>
        </w:tc>
        <w:tc>
          <w:tcPr>
            <w:tcW w:w="2336" w:type="dxa"/>
            <w:tcBorders>
              <w:top w:val="nil"/>
              <w:left w:val="nil"/>
              <w:bottom w:val="single" w:sz="4" w:space="0" w:color="auto"/>
              <w:right w:val="single" w:sz="4" w:space="0" w:color="auto"/>
            </w:tcBorders>
            <w:shd w:val="clear" w:color="auto" w:fill="auto"/>
            <w:noWrap/>
            <w:vAlign w:val="center"/>
          </w:tcPr>
          <w:p w14:paraId="1049BBC7"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冷机、精密空调、水泵、冷却塔</w:t>
            </w:r>
            <w:r w:rsidRPr="004865EF">
              <w:rPr>
                <w:rFonts w:ascii="Times New Roman" w:eastAsia="宋体" w:hAnsi="Times New Roman" w:cs="Times New Roman" w:hint="eastAsia"/>
                <w:kern w:val="0"/>
                <w:sz w:val="18"/>
                <w:szCs w:val="18"/>
              </w:rPr>
              <w:t>、蓄冷罐、新风系统、加湿器</w:t>
            </w:r>
            <w:r w:rsidRPr="004865EF">
              <w:rPr>
                <w:rFonts w:ascii="Times New Roman" w:eastAsia="宋体" w:hAnsi="Times New Roman" w:cs="Times New Roman"/>
                <w:kern w:val="0"/>
                <w:sz w:val="18"/>
                <w:szCs w:val="18"/>
              </w:rPr>
              <w:t>等</w:t>
            </w:r>
            <w:r w:rsidRPr="004865EF">
              <w:rPr>
                <w:rFonts w:ascii="Times New Roman" w:eastAsia="宋体" w:hAnsi="Times New Roman" w:cs="Times New Roman" w:hint="eastAsia"/>
                <w:kern w:val="0"/>
                <w:sz w:val="18"/>
                <w:szCs w:val="18"/>
              </w:rPr>
              <w:t>设备的采购及施工</w:t>
            </w:r>
          </w:p>
        </w:tc>
        <w:tc>
          <w:tcPr>
            <w:tcW w:w="1240" w:type="dxa"/>
            <w:tcBorders>
              <w:top w:val="nil"/>
              <w:left w:val="nil"/>
              <w:bottom w:val="single" w:sz="4" w:space="0" w:color="auto"/>
              <w:right w:val="single" w:sz="4" w:space="0" w:color="auto"/>
            </w:tcBorders>
            <w:shd w:val="clear" w:color="auto" w:fill="auto"/>
            <w:noWrap/>
            <w:vAlign w:val="center"/>
          </w:tcPr>
          <w:p w14:paraId="77B58301"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19,680.00</w:t>
            </w:r>
          </w:p>
        </w:tc>
        <w:tc>
          <w:tcPr>
            <w:tcW w:w="960" w:type="dxa"/>
            <w:tcBorders>
              <w:top w:val="nil"/>
              <w:left w:val="nil"/>
              <w:bottom w:val="single" w:sz="4" w:space="0" w:color="auto"/>
              <w:right w:val="single" w:sz="4" w:space="0" w:color="auto"/>
            </w:tcBorders>
            <w:shd w:val="clear" w:color="auto" w:fill="auto"/>
            <w:noWrap/>
            <w:vAlign w:val="center"/>
          </w:tcPr>
          <w:p w14:paraId="096FA2A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16.12%</w:t>
            </w:r>
          </w:p>
        </w:tc>
        <w:tc>
          <w:tcPr>
            <w:tcW w:w="2629" w:type="dxa"/>
            <w:vMerge/>
            <w:tcBorders>
              <w:top w:val="nil"/>
              <w:left w:val="single" w:sz="4" w:space="0" w:color="auto"/>
              <w:bottom w:val="single" w:sz="4" w:space="0" w:color="000000"/>
              <w:right w:val="single" w:sz="4" w:space="0" w:color="auto"/>
            </w:tcBorders>
            <w:vAlign w:val="center"/>
          </w:tcPr>
          <w:p w14:paraId="1AC043C7"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73FB3DCD"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BF3BEA4"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1.3.3</w:t>
            </w:r>
          </w:p>
        </w:tc>
        <w:tc>
          <w:tcPr>
            <w:tcW w:w="1418" w:type="dxa"/>
            <w:tcBorders>
              <w:top w:val="nil"/>
              <w:left w:val="nil"/>
              <w:bottom w:val="single" w:sz="4" w:space="0" w:color="auto"/>
              <w:right w:val="single" w:sz="4" w:space="0" w:color="auto"/>
            </w:tcBorders>
            <w:shd w:val="clear" w:color="auto" w:fill="auto"/>
            <w:noWrap/>
            <w:vAlign w:val="center"/>
          </w:tcPr>
          <w:p w14:paraId="10E5639C"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弱电系统</w:t>
            </w:r>
          </w:p>
        </w:tc>
        <w:tc>
          <w:tcPr>
            <w:tcW w:w="2336" w:type="dxa"/>
            <w:tcBorders>
              <w:top w:val="nil"/>
              <w:left w:val="nil"/>
              <w:bottom w:val="single" w:sz="4" w:space="0" w:color="auto"/>
              <w:right w:val="single" w:sz="4" w:space="0" w:color="auto"/>
            </w:tcBorders>
            <w:shd w:val="clear" w:color="auto" w:fill="auto"/>
            <w:noWrap/>
            <w:vAlign w:val="center"/>
          </w:tcPr>
          <w:p w14:paraId="4B2B1CD5" w14:textId="77777777" w:rsidR="00602898" w:rsidRPr="004865EF" w:rsidRDefault="00602898" w:rsidP="00602898">
            <w:pPr>
              <w:widowControl/>
              <w:jc w:val="left"/>
              <w:rPr>
                <w:rFonts w:ascii="Times New Roman" w:eastAsia="宋体" w:hAnsi="Times New Roman" w:cs="Times New Roman"/>
                <w:kern w:val="0"/>
                <w:sz w:val="18"/>
                <w:szCs w:val="18"/>
              </w:rPr>
            </w:pPr>
            <w:proofErr w:type="gramStart"/>
            <w:r w:rsidRPr="004865EF">
              <w:rPr>
                <w:rFonts w:ascii="Times New Roman" w:eastAsia="宋体" w:hAnsi="Times New Roman" w:cs="Times New Roman" w:hint="eastAsia"/>
                <w:kern w:val="0"/>
                <w:sz w:val="18"/>
                <w:szCs w:val="18"/>
              </w:rPr>
              <w:t>动环</w:t>
            </w:r>
            <w:r w:rsidRPr="004865EF">
              <w:rPr>
                <w:rFonts w:ascii="Times New Roman" w:eastAsia="宋体" w:hAnsi="Times New Roman" w:cs="Times New Roman"/>
                <w:kern w:val="0"/>
                <w:sz w:val="18"/>
                <w:szCs w:val="18"/>
              </w:rPr>
              <w:t>系统</w:t>
            </w:r>
            <w:proofErr w:type="gramEnd"/>
            <w:r w:rsidRPr="004865EF">
              <w:rPr>
                <w:rFonts w:ascii="Times New Roman" w:eastAsia="宋体" w:hAnsi="Times New Roman" w:cs="Times New Roman" w:hint="eastAsia"/>
                <w:kern w:val="0"/>
                <w:sz w:val="18"/>
                <w:szCs w:val="18"/>
              </w:rPr>
              <w:t>及</w:t>
            </w:r>
            <w:r w:rsidRPr="004865EF">
              <w:rPr>
                <w:rFonts w:ascii="Times New Roman" w:eastAsia="宋体" w:hAnsi="Times New Roman" w:cs="Times New Roman"/>
                <w:kern w:val="0"/>
                <w:sz w:val="18"/>
                <w:szCs w:val="18"/>
              </w:rPr>
              <w:t>设备</w:t>
            </w:r>
            <w:r w:rsidRPr="004865EF">
              <w:rPr>
                <w:rFonts w:ascii="Times New Roman" w:eastAsia="宋体" w:hAnsi="Times New Roman" w:cs="Times New Roman" w:hint="eastAsia"/>
                <w:kern w:val="0"/>
                <w:sz w:val="18"/>
                <w:szCs w:val="18"/>
              </w:rPr>
              <w:t>、摄像头、门禁、电子围栏</w:t>
            </w:r>
            <w:r w:rsidRPr="004865EF">
              <w:rPr>
                <w:rFonts w:ascii="Times New Roman" w:eastAsia="宋体" w:hAnsi="Times New Roman" w:cs="Times New Roman"/>
                <w:kern w:val="0"/>
                <w:sz w:val="18"/>
                <w:szCs w:val="18"/>
              </w:rPr>
              <w:t>等</w:t>
            </w:r>
            <w:r w:rsidRPr="004865EF">
              <w:rPr>
                <w:rFonts w:ascii="Times New Roman" w:eastAsia="宋体" w:hAnsi="Times New Roman" w:cs="Times New Roman" w:hint="eastAsia"/>
                <w:kern w:val="0"/>
                <w:sz w:val="18"/>
                <w:szCs w:val="18"/>
              </w:rPr>
              <w:t>设备的采购及施工</w:t>
            </w:r>
          </w:p>
        </w:tc>
        <w:tc>
          <w:tcPr>
            <w:tcW w:w="1240" w:type="dxa"/>
            <w:tcBorders>
              <w:top w:val="nil"/>
              <w:left w:val="nil"/>
              <w:bottom w:val="single" w:sz="4" w:space="0" w:color="auto"/>
              <w:right w:val="single" w:sz="4" w:space="0" w:color="auto"/>
            </w:tcBorders>
            <w:shd w:val="clear" w:color="auto" w:fill="auto"/>
            <w:noWrap/>
            <w:vAlign w:val="center"/>
          </w:tcPr>
          <w:p w14:paraId="4FFDE3F4"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1,665.00</w:t>
            </w:r>
          </w:p>
        </w:tc>
        <w:tc>
          <w:tcPr>
            <w:tcW w:w="960" w:type="dxa"/>
            <w:tcBorders>
              <w:top w:val="nil"/>
              <w:left w:val="nil"/>
              <w:bottom w:val="single" w:sz="4" w:space="0" w:color="auto"/>
              <w:right w:val="single" w:sz="4" w:space="0" w:color="auto"/>
            </w:tcBorders>
            <w:shd w:val="clear" w:color="auto" w:fill="auto"/>
            <w:noWrap/>
            <w:vAlign w:val="center"/>
          </w:tcPr>
          <w:p w14:paraId="5A1EF9E8"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1.36%</w:t>
            </w:r>
          </w:p>
        </w:tc>
        <w:tc>
          <w:tcPr>
            <w:tcW w:w="2629" w:type="dxa"/>
            <w:vMerge/>
            <w:tcBorders>
              <w:top w:val="nil"/>
              <w:left w:val="single" w:sz="4" w:space="0" w:color="auto"/>
              <w:bottom w:val="single" w:sz="4" w:space="0" w:color="000000"/>
              <w:right w:val="single" w:sz="4" w:space="0" w:color="auto"/>
            </w:tcBorders>
            <w:vAlign w:val="center"/>
          </w:tcPr>
          <w:p w14:paraId="71661331"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21FDDBC8"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87EDD2F"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1.3.4</w:t>
            </w:r>
          </w:p>
        </w:tc>
        <w:tc>
          <w:tcPr>
            <w:tcW w:w="1418" w:type="dxa"/>
            <w:tcBorders>
              <w:top w:val="nil"/>
              <w:left w:val="nil"/>
              <w:bottom w:val="single" w:sz="4" w:space="0" w:color="auto"/>
              <w:right w:val="single" w:sz="4" w:space="0" w:color="auto"/>
            </w:tcBorders>
            <w:shd w:val="clear" w:color="auto" w:fill="auto"/>
            <w:noWrap/>
            <w:vAlign w:val="center"/>
          </w:tcPr>
          <w:p w14:paraId="05F8035C"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消防系统</w:t>
            </w:r>
          </w:p>
        </w:tc>
        <w:tc>
          <w:tcPr>
            <w:tcW w:w="2336" w:type="dxa"/>
            <w:tcBorders>
              <w:top w:val="nil"/>
              <w:left w:val="nil"/>
              <w:bottom w:val="single" w:sz="4" w:space="0" w:color="auto"/>
              <w:right w:val="single" w:sz="4" w:space="0" w:color="auto"/>
            </w:tcBorders>
            <w:shd w:val="clear" w:color="auto" w:fill="auto"/>
            <w:noWrap/>
            <w:vAlign w:val="center"/>
          </w:tcPr>
          <w:p w14:paraId="16A58524"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消防公用设施</w:t>
            </w:r>
            <w:r w:rsidRPr="004865EF">
              <w:rPr>
                <w:rFonts w:ascii="Times New Roman" w:eastAsia="宋体" w:hAnsi="Times New Roman" w:cs="Times New Roman" w:hint="eastAsia"/>
                <w:kern w:val="0"/>
                <w:sz w:val="18"/>
                <w:szCs w:val="18"/>
              </w:rPr>
              <w:t>、各模块的喷淋系统、</w:t>
            </w:r>
            <w:r w:rsidRPr="004865EF">
              <w:rPr>
                <w:rFonts w:ascii="Times New Roman" w:eastAsia="宋体" w:hAnsi="Times New Roman" w:cs="Times New Roman" w:hint="eastAsia"/>
                <w:kern w:val="0"/>
                <w:sz w:val="18"/>
                <w:szCs w:val="18"/>
              </w:rPr>
              <w:t>VESDA</w:t>
            </w:r>
            <w:r w:rsidRPr="004865EF">
              <w:rPr>
                <w:rFonts w:ascii="Times New Roman" w:eastAsia="宋体" w:hAnsi="Times New Roman" w:cs="Times New Roman" w:hint="eastAsia"/>
                <w:kern w:val="0"/>
                <w:sz w:val="18"/>
                <w:szCs w:val="18"/>
              </w:rPr>
              <w:t>、防排烟、氢气检测等设备的采购及施工</w:t>
            </w:r>
          </w:p>
        </w:tc>
        <w:tc>
          <w:tcPr>
            <w:tcW w:w="1240" w:type="dxa"/>
            <w:tcBorders>
              <w:top w:val="nil"/>
              <w:left w:val="nil"/>
              <w:bottom w:val="single" w:sz="4" w:space="0" w:color="auto"/>
              <w:right w:val="single" w:sz="4" w:space="0" w:color="auto"/>
            </w:tcBorders>
            <w:shd w:val="clear" w:color="auto" w:fill="auto"/>
            <w:noWrap/>
            <w:vAlign w:val="center"/>
          </w:tcPr>
          <w:p w14:paraId="66F169B4"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1,920.00</w:t>
            </w:r>
          </w:p>
        </w:tc>
        <w:tc>
          <w:tcPr>
            <w:tcW w:w="960" w:type="dxa"/>
            <w:tcBorders>
              <w:top w:val="nil"/>
              <w:left w:val="nil"/>
              <w:bottom w:val="single" w:sz="4" w:space="0" w:color="auto"/>
              <w:right w:val="single" w:sz="4" w:space="0" w:color="auto"/>
            </w:tcBorders>
            <w:shd w:val="clear" w:color="auto" w:fill="auto"/>
            <w:noWrap/>
            <w:vAlign w:val="center"/>
          </w:tcPr>
          <w:p w14:paraId="5670FE00"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1.57%</w:t>
            </w:r>
          </w:p>
        </w:tc>
        <w:tc>
          <w:tcPr>
            <w:tcW w:w="2629" w:type="dxa"/>
            <w:vMerge w:val="restart"/>
            <w:tcBorders>
              <w:top w:val="nil"/>
              <w:left w:val="single" w:sz="4" w:space="0" w:color="auto"/>
              <w:bottom w:val="single" w:sz="4" w:space="0" w:color="000000"/>
              <w:right w:val="single" w:sz="4" w:space="0" w:color="auto"/>
            </w:tcBorders>
            <w:shd w:val="clear" w:color="auto" w:fill="auto"/>
            <w:noWrap/>
            <w:vAlign w:val="center"/>
          </w:tcPr>
          <w:p w14:paraId="47CD1726"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根据本项目消防设施规划设计并结合公司历史类似项目估算消防工程等公用工程投资</w:t>
            </w:r>
          </w:p>
        </w:tc>
      </w:tr>
      <w:tr w:rsidR="004865EF" w:rsidRPr="004865EF" w14:paraId="39901217"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2E54C5E"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lastRenderedPageBreak/>
              <w:t>1.3.5</w:t>
            </w:r>
          </w:p>
        </w:tc>
        <w:tc>
          <w:tcPr>
            <w:tcW w:w="1418" w:type="dxa"/>
            <w:tcBorders>
              <w:top w:val="nil"/>
              <w:left w:val="nil"/>
              <w:bottom w:val="single" w:sz="4" w:space="0" w:color="auto"/>
              <w:right w:val="single" w:sz="4" w:space="0" w:color="auto"/>
            </w:tcBorders>
            <w:shd w:val="clear" w:color="auto" w:fill="auto"/>
            <w:noWrap/>
            <w:vAlign w:val="center"/>
          </w:tcPr>
          <w:p w14:paraId="51AF7B47"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模块装修</w:t>
            </w:r>
          </w:p>
        </w:tc>
        <w:tc>
          <w:tcPr>
            <w:tcW w:w="2336" w:type="dxa"/>
            <w:tcBorders>
              <w:top w:val="nil"/>
              <w:left w:val="nil"/>
              <w:bottom w:val="single" w:sz="4" w:space="0" w:color="auto"/>
              <w:right w:val="single" w:sz="4" w:space="0" w:color="auto"/>
            </w:tcBorders>
            <w:shd w:val="clear" w:color="auto" w:fill="auto"/>
            <w:noWrap/>
            <w:vAlign w:val="center"/>
          </w:tcPr>
          <w:p w14:paraId="5419376C"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保温棉、铜箔、地板</w:t>
            </w:r>
            <w:r w:rsidRPr="004865EF">
              <w:rPr>
                <w:rFonts w:ascii="Times New Roman" w:eastAsia="宋体" w:hAnsi="Times New Roman" w:cs="Times New Roman" w:hint="eastAsia"/>
                <w:kern w:val="0"/>
                <w:sz w:val="18"/>
                <w:szCs w:val="18"/>
              </w:rPr>
              <w:t>/</w:t>
            </w:r>
            <w:r w:rsidRPr="004865EF">
              <w:rPr>
                <w:rFonts w:ascii="Times New Roman" w:eastAsia="宋体" w:hAnsi="Times New Roman" w:cs="Times New Roman" w:hint="eastAsia"/>
                <w:kern w:val="0"/>
                <w:sz w:val="18"/>
                <w:szCs w:val="18"/>
              </w:rPr>
              <w:t>静电地板、灯具、围笼、冷热通道等设备的采购及施工</w:t>
            </w:r>
          </w:p>
        </w:tc>
        <w:tc>
          <w:tcPr>
            <w:tcW w:w="1240" w:type="dxa"/>
            <w:tcBorders>
              <w:top w:val="nil"/>
              <w:left w:val="nil"/>
              <w:bottom w:val="single" w:sz="4" w:space="0" w:color="auto"/>
              <w:right w:val="single" w:sz="4" w:space="0" w:color="auto"/>
            </w:tcBorders>
            <w:shd w:val="clear" w:color="auto" w:fill="auto"/>
            <w:noWrap/>
            <w:vAlign w:val="center"/>
          </w:tcPr>
          <w:p w14:paraId="667001E6"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1,920.00</w:t>
            </w:r>
          </w:p>
        </w:tc>
        <w:tc>
          <w:tcPr>
            <w:tcW w:w="960" w:type="dxa"/>
            <w:tcBorders>
              <w:top w:val="nil"/>
              <w:left w:val="nil"/>
              <w:bottom w:val="single" w:sz="4" w:space="0" w:color="auto"/>
              <w:right w:val="single" w:sz="4" w:space="0" w:color="auto"/>
            </w:tcBorders>
            <w:shd w:val="clear" w:color="auto" w:fill="auto"/>
            <w:noWrap/>
            <w:vAlign w:val="center"/>
          </w:tcPr>
          <w:p w14:paraId="7205C252"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1.57%</w:t>
            </w:r>
          </w:p>
        </w:tc>
        <w:tc>
          <w:tcPr>
            <w:tcW w:w="2629" w:type="dxa"/>
            <w:vMerge/>
            <w:tcBorders>
              <w:top w:val="nil"/>
              <w:left w:val="single" w:sz="4" w:space="0" w:color="auto"/>
              <w:bottom w:val="single" w:sz="4" w:space="0" w:color="000000"/>
              <w:right w:val="single" w:sz="4" w:space="0" w:color="auto"/>
            </w:tcBorders>
            <w:vAlign w:val="center"/>
          </w:tcPr>
          <w:p w14:paraId="61FCC7F6"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45A1B6AA"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712E182"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1.3.6</w:t>
            </w:r>
          </w:p>
        </w:tc>
        <w:tc>
          <w:tcPr>
            <w:tcW w:w="1418" w:type="dxa"/>
            <w:tcBorders>
              <w:top w:val="nil"/>
              <w:left w:val="nil"/>
              <w:bottom w:val="single" w:sz="4" w:space="0" w:color="auto"/>
              <w:right w:val="single" w:sz="4" w:space="0" w:color="auto"/>
            </w:tcBorders>
            <w:shd w:val="clear" w:color="auto" w:fill="auto"/>
            <w:noWrap/>
            <w:vAlign w:val="center"/>
          </w:tcPr>
          <w:p w14:paraId="5A621A4E"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机柜</w:t>
            </w:r>
          </w:p>
        </w:tc>
        <w:tc>
          <w:tcPr>
            <w:tcW w:w="2336" w:type="dxa"/>
            <w:tcBorders>
              <w:top w:val="nil"/>
              <w:left w:val="nil"/>
              <w:bottom w:val="single" w:sz="4" w:space="0" w:color="auto"/>
              <w:right w:val="single" w:sz="4" w:space="0" w:color="auto"/>
            </w:tcBorders>
            <w:shd w:val="clear" w:color="auto" w:fill="auto"/>
            <w:noWrap/>
            <w:vAlign w:val="center"/>
          </w:tcPr>
          <w:p w14:paraId="009819A0"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柜体设备</w:t>
            </w:r>
          </w:p>
        </w:tc>
        <w:tc>
          <w:tcPr>
            <w:tcW w:w="1240" w:type="dxa"/>
            <w:tcBorders>
              <w:top w:val="nil"/>
              <w:left w:val="nil"/>
              <w:bottom w:val="single" w:sz="4" w:space="0" w:color="auto"/>
              <w:right w:val="single" w:sz="4" w:space="0" w:color="auto"/>
            </w:tcBorders>
            <w:shd w:val="clear" w:color="auto" w:fill="auto"/>
            <w:noWrap/>
            <w:vAlign w:val="center"/>
          </w:tcPr>
          <w:p w14:paraId="661BC931"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2,000.00</w:t>
            </w:r>
          </w:p>
        </w:tc>
        <w:tc>
          <w:tcPr>
            <w:tcW w:w="960" w:type="dxa"/>
            <w:tcBorders>
              <w:top w:val="nil"/>
              <w:left w:val="nil"/>
              <w:bottom w:val="single" w:sz="4" w:space="0" w:color="auto"/>
              <w:right w:val="single" w:sz="4" w:space="0" w:color="auto"/>
            </w:tcBorders>
            <w:shd w:val="clear" w:color="auto" w:fill="auto"/>
            <w:noWrap/>
            <w:vAlign w:val="center"/>
          </w:tcPr>
          <w:p w14:paraId="5302543D"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1.64%</w:t>
            </w:r>
          </w:p>
        </w:tc>
        <w:tc>
          <w:tcPr>
            <w:tcW w:w="2629" w:type="dxa"/>
            <w:vMerge w:val="restart"/>
            <w:tcBorders>
              <w:top w:val="nil"/>
              <w:left w:val="single" w:sz="4" w:space="0" w:color="auto"/>
              <w:bottom w:val="single" w:sz="4" w:space="0" w:color="000000"/>
              <w:right w:val="single" w:sz="4" w:space="0" w:color="auto"/>
            </w:tcBorders>
            <w:shd w:val="clear" w:color="auto" w:fill="auto"/>
            <w:noWrap/>
            <w:vAlign w:val="center"/>
          </w:tcPr>
          <w:p w14:paraId="1B667BA2"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根据购置设备数量、型号并结合公司历史类似项目估算机电安装工程支出</w:t>
            </w:r>
          </w:p>
        </w:tc>
      </w:tr>
      <w:tr w:rsidR="004865EF" w:rsidRPr="004865EF" w14:paraId="00CB360C"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7E9762A"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1.3.7</w:t>
            </w:r>
          </w:p>
        </w:tc>
        <w:tc>
          <w:tcPr>
            <w:tcW w:w="1418" w:type="dxa"/>
            <w:tcBorders>
              <w:top w:val="nil"/>
              <w:left w:val="nil"/>
              <w:bottom w:val="single" w:sz="4" w:space="0" w:color="auto"/>
              <w:right w:val="single" w:sz="4" w:space="0" w:color="auto"/>
            </w:tcBorders>
            <w:shd w:val="clear" w:color="auto" w:fill="auto"/>
            <w:noWrap/>
            <w:vAlign w:val="center"/>
          </w:tcPr>
          <w:p w14:paraId="0267245E"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网络系统</w:t>
            </w:r>
          </w:p>
        </w:tc>
        <w:tc>
          <w:tcPr>
            <w:tcW w:w="2336" w:type="dxa"/>
            <w:tcBorders>
              <w:top w:val="nil"/>
              <w:left w:val="nil"/>
              <w:bottom w:val="single" w:sz="4" w:space="0" w:color="auto"/>
              <w:right w:val="single" w:sz="4" w:space="0" w:color="auto"/>
            </w:tcBorders>
            <w:shd w:val="clear" w:color="auto" w:fill="auto"/>
            <w:noWrap/>
            <w:vAlign w:val="center"/>
          </w:tcPr>
          <w:p w14:paraId="49EAEE55"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路由器、交换机、检测设备传输设备、防火墙等设备的采购及施工</w:t>
            </w:r>
          </w:p>
        </w:tc>
        <w:tc>
          <w:tcPr>
            <w:tcW w:w="1240" w:type="dxa"/>
            <w:tcBorders>
              <w:top w:val="nil"/>
              <w:left w:val="nil"/>
              <w:bottom w:val="single" w:sz="4" w:space="0" w:color="auto"/>
              <w:right w:val="single" w:sz="4" w:space="0" w:color="auto"/>
            </w:tcBorders>
            <w:shd w:val="clear" w:color="auto" w:fill="auto"/>
            <w:noWrap/>
            <w:vAlign w:val="center"/>
          </w:tcPr>
          <w:p w14:paraId="54C617F5"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2,500.00</w:t>
            </w:r>
          </w:p>
        </w:tc>
        <w:tc>
          <w:tcPr>
            <w:tcW w:w="960" w:type="dxa"/>
            <w:tcBorders>
              <w:top w:val="nil"/>
              <w:left w:val="nil"/>
              <w:bottom w:val="single" w:sz="4" w:space="0" w:color="auto"/>
              <w:right w:val="single" w:sz="4" w:space="0" w:color="auto"/>
            </w:tcBorders>
            <w:shd w:val="clear" w:color="auto" w:fill="auto"/>
            <w:noWrap/>
            <w:vAlign w:val="center"/>
          </w:tcPr>
          <w:p w14:paraId="4E92041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2.05%</w:t>
            </w:r>
          </w:p>
        </w:tc>
        <w:tc>
          <w:tcPr>
            <w:tcW w:w="2629" w:type="dxa"/>
            <w:vMerge/>
            <w:tcBorders>
              <w:top w:val="nil"/>
              <w:left w:val="single" w:sz="4" w:space="0" w:color="auto"/>
              <w:bottom w:val="single" w:sz="4" w:space="0" w:color="000000"/>
              <w:right w:val="single" w:sz="4" w:space="0" w:color="auto"/>
            </w:tcBorders>
            <w:vAlign w:val="center"/>
          </w:tcPr>
          <w:p w14:paraId="52B4E53D"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27501A55"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EE51885"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1.4</w:t>
            </w:r>
          </w:p>
        </w:tc>
        <w:tc>
          <w:tcPr>
            <w:tcW w:w="1418" w:type="dxa"/>
            <w:tcBorders>
              <w:top w:val="nil"/>
              <w:left w:val="nil"/>
              <w:bottom w:val="single" w:sz="4" w:space="0" w:color="auto"/>
              <w:right w:val="single" w:sz="4" w:space="0" w:color="auto"/>
            </w:tcBorders>
            <w:shd w:val="clear" w:color="auto" w:fill="auto"/>
            <w:noWrap/>
            <w:vAlign w:val="center"/>
          </w:tcPr>
          <w:p w14:paraId="05EA559A"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其他费用</w:t>
            </w:r>
          </w:p>
        </w:tc>
        <w:tc>
          <w:tcPr>
            <w:tcW w:w="2336" w:type="dxa"/>
            <w:tcBorders>
              <w:top w:val="nil"/>
              <w:left w:val="nil"/>
              <w:bottom w:val="single" w:sz="4" w:space="0" w:color="auto"/>
              <w:right w:val="single" w:sz="4" w:space="0" w:color="auto"/>
            </w:tcBorders>
            <w:shd w:val="clear" w:color="auto" w:fill="auto"/>
            <w:noWrap/>
            <w:vAlign w:val="center"/>
          </w:tcPr>
          <w:p w14:paraId="09E2A52A"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前期费用、设计费用、监理费用、建设单位管理费用等</w:t>
            </w:r>
          </w:p>
        </w:tc>
        <w:tc>
          <w:tcPr>
            <w:tcW w:w="1240" w:type="dxa"/>
            <w:tcBorders>
              <w:top w:val="nil"/>
              <w:left w:val="nil"/>
              <w:bottom w:val="single" w:sz="4" w:space="0" w:color="auto"/>
              <w:right w:val="single" w:sz="4" w:space="0" w:color="auto"/>
            </w:tcBorders>
            <w:shd w:val="clear" w:color="auto" w:fill="auto"/>
            <w:noWrap/>
            <w:vAlign w:val="center"/>
          </w:tcPr>
          <w:p w14:paraId="56E6FE88"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1,838.31</w:t>
            </w:r>
          </w:p>
        </w:tc>
        <w:tc>
          <w:tcPr>
            <w:tcW w:w="960" w:type="dxa"/>
            <w:tcBorders>
              <w:top w:val="nil"/>
              <w:left w:val="nil"/>
              <w:bottom w:val="single" w:sz="4" w:space="0" w:color="auto"/>
              <w:right w:val="single" w:sz="4" w:space="0" w:color="auto"/>
            </w:tcBorders>
            <w:shd w:val="clear" w:color="auto" w:fill="auto"/>
            <w:noWrap/>
            <w:vAlign w:val="center"/>
          </w:tcPr>
          <w:p w14:paraId="76BF876D"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1.51%</w:t>
            </w:r>
          </w:p>
        </w:tc>
        <w:tc>
          <w:tcPr>
            <w:tcW w:w="2629" w:type="dxa"/>
            <w:tcBorders>
              <w:top w:val="nil"/>
              <w:left w:val="nil"/>
              <w:bottom w:val="single" w:sz="4" w:space="0" w:color="auto"/>
              <w:right w:val="single" w:sz="4" w:space="0" w:color="auto"/>
            </w:tcBorders>
            <w:shd w:val="clear" w:color="auto" w:fill="auto"/>
            <w:noWrap/>
            <w:vAlign w:val="center"/>
          </w:tcPr>
          <w:p w14:paraId="2CBB44EE"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根据本项目投资规模、设计及建设特点结合公司历史类似项目估算</w:t>
            </w:r>
          </w:p>
        </w:tc>
      </w:tr>
      <w:tr w:rsidR="004865EF" w:rsidRPr="004865EF" w14:paraId="07E65D7C" w14:textId="77777777" w:rsidTr="00602898">
        <w:trPr>
          <w:trHeight w:val="397"/>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70EE760"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21CF2611"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铺底流动资金</w:t>
            </w:r>
          </w:p>
        </w:tc>
        <w:tc>
          <w:tcPr>
            <w:tcW w:w="2336" w:type="dxa"/>
            <w:tcBorders>
              <w:top w:val="nil"/>
              <w:left w:val="nil"/>
              <w:bottom w:val="single" w:sz="4" w:space="0" w:color="auto"/>
              <w:right w:val="single" w:sz="4" w:space="0" w:color="auto"/>
            </w:tcBorders>
            <w:shd w:val="clear" w:color="auto" w:fill="auto"/>
            <w:noWrap/>
            <w:vAlign w:val="center"/>
          </w:tcPr>
          <w:p w14:paraId="22F42C00" w14:textId="77777777" w:rsidR="00602898" w:rsidRPr="004865EF" w:rsidRDefault="00602898" w:rsidP="00602898">
            <w:pPr>
              <w:widowControl/>
              <w:jc w:val="left"/>
              <w:rPr>
                <w:rFonts w:ascii="Times New Roman" w:eastAsia="宋体" w:hAnsi="Times New Roman" w:cs="Times New Roman"/>
                <w:kern w:val="0"/>
                <w:sz w:val="18"/>
                <w:szCs w:val="18"/>
              </w:rPr>
            </w:pPr>
          </w:p>
        </w:tc>
        <w:tc>
          <w:tcPr>
            <w:tcW w:w="1240" w:type="dxa"/>
            <w:tcBorders>
              <w:top w:val="nil"/>
              <w:left w:val="nil"/>
              <w:bottom w:val="single" w:sz="4" w:space="0" w:color="auto"/>
              <w:right w:val="single" w:sz="4" w:space="0" w:color="auto"/>
            </w:tcBorders>
            <w:shd w:val="clear" w:color="auto" w:fill="auto"/>
            <w:noWrap/>
            <w:vAlign w:val="center"/>
          </w:tcPr>
          <w:p w14:paraId="0C48BCF7"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1,000.00</w:t>
            </w:r>
          </w:p>
        </w:tc>
        <w:tc>
          <w:tcPr>
            <w:tcW w:w="960" w:type="dxa"/>
            <w:tcBorders>
              <w:top w:val="nil"/>
              <w:left w:val="nil"/>
              <w:bottom w:val="single" w:sz="4" w:space="0" w:color="auto"/>
              <w:right w:val="single" w:sz="4" w:space="0" w:color="auto"/>
            </w:tcBorders>
            <w:shd w:val="clear" w:color="auto" w:fill="auto"/>
            <w:noWrap/>
            <w:vAlign w:val="center"/>
          </w:tcPr>
          <w:p w14:paraId="5D8615B6"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0.82%</w:t>
            </w:r>
          </w:p>
        </w:tc>
        <w:tc>
          <w:tcPr>
            <w:tcW w:w="2629" w:type="dxa"/>
            <w:tcBorders>
              <w:top w:val="nil"/>
              <w:left w:val="nil"/>
              <w:bottom w:val="single" w:sz="4" w:space="0" w:color="auto"/>
              <w:right w:val="single" w:sz="4" w:space="0" w:color="auto"/>
            </w:tcBorders>
            <w:shd w:val="clear" w:color="auto" w:fill="auto"/>
            <w:noWrap/>
            <w:vAlign w:val="center"/>
          </w:tcPr>
          <w:p w14:paraId="7BFBD9FB"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648BA3C2" w14:textId="77777777" w:rsidTr="00602898">
        <w:trPr>
          <w:trHeight w:val="397"/>
          <w:jc w:val="center"/>
        </w:trPr>
        <w:tc>
          <w:tcPr>
            <w:tcW w:w="43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B9D15B8"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合计</w:t>
            </w:r>
          </w:p>
        </w:tc>
        <w:tc>
          <w:tcPr>
            <w:tcW w:w="1240" w:type="dxa"/>
            <w:tcBorders>
              <w:top w:val="nil"/>
              <w:left w:val="nil"/>
              <w:bottom w:val="single" w:sz="4" w:space="0" w:color="auto"/>
              <w:right w:val="single" w:sz="4" w:space="0" w:color="auto"/>
            </w:tcBorders>
            <w:shd w:val="clear" w:color="auto" w:fill="auto"/>
            <w:noWrap/>
            <w:vAlign w:val="center"/>
          </w:tcPr>
          <w:p w14:paraId="44570C1C" w14:textId="77777777" w:rsidR="00602898" w:rsidRPr="004865EF" w:rsidRDefault="00602898" w:rsidP="00602898">
            <w:pPr>
              <w:widowControl/>
              <w:jc w:val="right"/>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122,090.28</w:t>
            </w:r>
          </w:p>
        </w:tc>
        <w:tc>
          <w:tcPr>
            <w:tcW w:w="960" w:type="dxa"/>
            <w:tcBorders>
              <w:top w:val="nil"/>
              <w:left w:val="nil"/>
              <w:bottom w:val="single" w:sz="4" w:space="0" w:color="auto"/>
              <w:right w:val="single" w:sz="4" w:space="0" w:color="auto"/>
            </w:tcBorders>
            <w:shd w:val="clear" w:color="auto" w:fill="auto"/>
            <w:noWrap/>
            <w:vAlign w:val="center"/>
          </w:tcPr>
          <w:p w14:paraId="5A7866F6" w14:textId="77777777" w:rsidR="00602898" w:rsidRPr="004865EF" w:rsidRDefault="00602898" w:rsidP="00602898">
            <w:pPr>
              <w:widowControl/>
              <w:jc w:val="right"/>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100.00%</w:t>
            </w:r>
          </w:p>
        </w:tc>
        <w:tc>
          <w:tcPr>
            <w:tcW w:w="2629" w:type="dxa"/>
            <w:tcBorders>
              <w:top w:val="nil"/>
              <w:left w:val="nil"/>
              <w:bottom w:val="single" w:sz="4" w:space="0" w:color="auto"/>
              <w:right w:val="single" w:sz="4" w:space="0" w:color="auto"/>
            </w:tcBorders>
            <w:shd w:val="clear" w:color="auto" w:fill="auto"/>
            <w:noWrap/>
            <w:vAlign w:val="center"/>
          </w:tcPr>
          <w:p w14:paraId="5812CE92" w14:textId="77777777" w:rsidR="00602898" w:rsidRPr="004865EF" w:rsidRDefault="00602898" w:rsidP="00602898">
            <w:pPr>
              <w:widowControl/>
              <w:jc w:val="left"/>
              <w:rPr>
                <w:rFonts w:ascii="Times New Roman" w:eastAsia="宋体" w:hAnsi="Times New Roman" w:cs="Times New Roman"/>
                <w:b/>
                <w:kern w:val="0"/>
                <w:sz w:val="18"/>
                <w:szCs w:val="18"/>
              </w:rPr>
            </w:pPr>
          </w:p>
        </w:tc>
      </w:tr>
    </w:tbl>
    <w:p w14:paraId="5C1638D2"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2</w:t>
      </w:r>
      <w:r w:rsidRPr="004865EF">
        <w:rPr>
          <w:rFonts w:ascii="Times New Roman" w:eastAsia="宋体" w:hAnsi="Times New Roman" w:cs="Times New Roman" w:hint="eastAsia"/>
          <w:sz w:val="24"/>
        </w:rPr>
        <w:t>、上海嘉定绿色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基地二期</w:t>
      </w:r>
    </w:p>
    <w:p w14:paraId="5B8EA6FB" w14:textId="277E7868"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嘉定二期项目总投资</w:t>
      </w:r>
      <w:r w:rsidRPr="004865EF">
        <w:rPr>
          <w:rFonts w:ascii="Times New Roman" w:eastAsia="宋体" w:hAnsi="Times New Roman" w:cs="Times New Roman"/>
          <w:sz w:val="24"/>
        </w:rPr>
        <w:t>130,000.00</w:t>
      </w:r>
      <w:r w:rsidRPr="004865EF">
        <w:rPr>
          <w:rFonts w:ascii="Times New Roman" w:eastAsia="宋体" w:hAnsi="Times New Roman" w:cs="Times New Roman" w:hint="eastAsia"/>
          <w:sz w:val="24"/>
        </w:rPr>
        <w:t>万元，计划建设</w:t>
      </w:r>
      <w:r w:rsidRPr="004865EF">
        <w:rPr>
          <w:rFonts w:ascii="Times New Roman" w:eastAsia="宋体" w:hAnsi="Times New Roman" w:cs="Times New Roman" w:hint="eastAsia"/>
          <w:sz w:val="24"/>
        </w:rPr>
        <w:t>5,000</w:t>
      </w:r>
      <w:r w:rsidRPr="004865EF">
        <w:rPr>
          <w:rFonts w:ascii="Times New Roman" w:eastAsia="宋体" w:hAnsi="Times New Roman" w:cs="Times New Roman" w:hint="eastAsia"/>
          <w:sz w:val="24"/>
        </w:rPr>
        <w:t>个</w:t>
      </w:r>
      <w:r w:rsidR="00BF021C" w:rsidRPr="004865EF">
        <w:rPr>
          <w:rFonts w:ascii="楷体" w:eastAsia="楷体" w:hAnsi="楷体" w:cs="Times New Roman" w:hint="eastAsia"/>
          <w:b/>
          <w:sz w:val="24"/>
        </w:rPr>
        <w:t>6KW</w:t>
      </w:r>
      <w:r w:rsidRPr="004865EF">
        <w:rPr>
          <w:rFonts w:ascii="Times New Roman" w:eastAsia="宋体" w:hAnsi="Times New Roman" w:cs="Times New Roman" w:hint="eastAsia"/>
          <w:sz w:val="24"/>
        </w:rPr>
        <w:t>机柜，其中资本性支出</w:t>
      </w:r>
      <w:r w:rsidRPr="004865EF">
        <w:rPr>
          <w:rFonts w:ascii="Times New Roman" w:eastAsia="宋体" w:hAnsi="Times New Roman" w:cs="Times New Roman"/>
          <w:sz w:val="24"/>
        </w:rPr>
        <w:t>128,000.00</w:t>
      </w:r>
      <w:r w:rsidRPr="004865EF">
        <w:rPr>
          <w:rFonts w:ascii="Times New Roman" w:eastAsia="宋体" w:hAnsi="Times New Roman" w:cs="Times New Roman" w:hint="eastAsia"/>
          <w:sz w:val="24"/>
        </w:rPr>
        <w:t>万元，具体包括土地成本、工程建设支出、设备购置支出以及其他费用支出。嘉定二期项目投资构成及募集资金预计投入情况如下：</w:t>
      </w:r>
    </w:p>
    <w:p w14:paraId="0AA8CB18" w14:textId="77777777" w:rsidR="00602898" w:rsidRPr="004865EF" w:rsidRDefault="00602898" w:rsidP="00602898">
      <w:pPr>
        <w:spacing w:beforeLines="50" w:before="156"/>
        <w:ind w:firstLineChars="200" w:firstLine="42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单位：万元</w:t>
      </w:r>
    </w:p>
    <w:tbl>
      <w:tblPr>
        <w:tblW w:w="8488" w:type="dxa"/>
        <w:tblInd w:w="93" w:type="dxa"/>
        <w:tblLook w:val="04A0" w:firstRow="1" w:lastRow="0" w:firstColumn="1" w:lastColumn="0" w:noHBand="0" w:noVBand="1"/>
      </w:tblPr>
      <w:tblGrid>
        <w:gridCol w:w="960"/>
        <w:gridCol w:w="1500"/>
        <w:gridCol w:w="1500"/>
        <w:gridCol w:w="1086"/>
        <w:gridCol w:w="1348"/>
        <w:gridCol w:w="1107"/>
        <w:gridCol w:w="987"/>
      </w:tblGrid>
      <w:tr w:rsidR="004865EF" w:rsidRPr="004865EF" w14:paraId="078AE7AC" w14:textId="77777777" w:rsidTr="00602898">
        <w:trPr>
          <w:trHeight w:val="397"/>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1E61"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序号</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E2DBA"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内容</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2525"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金额</w:t>
            </w:r>
          </w:p>
        </w:tc>
        <w:tc>
          <w:tcPr>
            <w:tcW w:w="1086" w:type="dxa"/>
            <w:vMerge w:val="restart"/>
            <w:tcBorders>
              <w:top w:val="single" w:sz="4" w:space="0" w:color="auto"/>
              <w:left w:val="single" w:sz="4" w:space="0" w:color="auto"/>
              <w:right w:val="single" w:sz="4" w:space="0" w:color="auto"/>
            </w:tcBorders>
            <w:vAlign w:val="center"/>
          </w:tcPr>
          <w:p w14:paraId="0806B77D"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是否为资本性支出</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9EEFC"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董事会日</w:t>
            </w:r>
            <w:r w:rsidRPr="004865EF">
              <w:rPr>
                <w:rFonts w:ascii="Times New Roman" w:eastAsia="宋体" w:hAnsi="Times New Roman" w:cs="Times New Roman"/>
                <w:b/>
                <w:kern w:val="0"/>
                <w:szCs w:val="21"/>
              </w:rPr>
              <w:t>前已投入</w:t>
            </w:r>
          </w:p>
        </w:tc>
        <w:tc>
          <w:tcPr>
            <w:tcW w:w="20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11F257"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募集资金投入</w:t>
            </w:r>
          </w:p>
        </w:tc>
      </w:tr>
      <w:tr w:rsidR="004865EF" w:rsidRPr="004865EF" w14:paraId="19223FCD" w14:textId="77777777" w:rsidTr="00602898">
        <w:trPr>
          <w:trHeight w:val="397"/>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6E672E5" w14:textId="77777777" w:rsidR="00602898" w:rsidRPr="004865EF" w:rsidRDefault="00602898" w:rsidP="00602898">
            <w:pPr>
              <w:widowControl/>
              <w:jc w:val="center"/>
              <w:rPr>
                <w:rFonts w:ascii="Times New Roman" w:eastAsia="宋体" w:hAnsi="Times New Roman" w:cs="Times New Roman"/>
                <w:b/>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1D2AAFD" w14:textId="77777777" w:rsidR="00602898" w:rsidRPr="004865EF" w:rsidRDefault="00602898" w:rsidP="00602898">
            <w:pPr>
              <w:widowControl/>
              <w:jc w:val="center"/>
              <w:rPr>
                <w:rFonts w:ascii="Times New Roman" w:eastAsia="宋体" w:hAnsi="Times New Roman" w:cs="Times New Roman"/>
                <w:b/>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9F65FB0" w14:textId="77777777" w:rsidR="00602898" w:rsidRPr="004865EF" w:rsidRDefault="00602898" w:rsidP="00602898">
            <w:pPr>
              <w:widowControl/>
              <w:jc w:val="center"/>
              <w:rPr>
                <w:rFonts w:ascii="Times New Roman" w:eastAsia="宋体" w:hAnsi="Times New Roman" w:cs="Times New Roman"/>
                <w:b/>
                <w:kern w:val="0"/>
                <w:szCs w:val="21"/>
              </w:rPr>
            </w:pPr>
          </w:p>
        </w:tc>
        <w:tc>
          <w:tcPr>
            <w:tcW w:w="1086" w:type="dxa"/>
            <w:vMerge/>
            <w:tcBorders>
              <w:left w:val="single" w:sz="4" w:space="0" w:color="auto"/>
              <w:bottom w:val="single" w:sz="4" w:space="0" w:color="auto"/>
              <w:right w:val="single" w:sz="4" w:space="0" w:color="auto"/>
            </w:tcBorders>
            <w:vAlign w:val="center"/>
          </w:tcPr>
          <w:p w14:paraId="4BC1AA1F" w14:textId="77777777" w:rsidR="00602898" w:rsidRPr="004865EF" w:rsidRDefault="00602898" w:rsidP="00602898">
            <w:pPr>
              <w:widowControl/>
              <w:jc w:val="center"/>
              <w:rPr>
                <w:rFonts w:ascii="Times New Roman" w:eastAsia="宋体" w:hAnsi="Times New Roman" w:cs="Times New Roman"/>
                <w:b/>
                <w:kern w:val="0"/>
                <w:szCs w:val="21"/>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5FA84729" w14:textId="77777777" w:rsidR="00602898" w:rsidRPr="004865EF" w:rsidRDefault="00602898" w:rsidP="00602898">
            <w:pPr>
              <w:widowControl/>
              <w:jc w:val="center"/>
              <w:rPr>
                <w:rFonts w:ascii="Times New Roman" w:eastAsia="宋体" w:hAnsi="Times New Roman" w:cs="Times New Roman"/>
                <w:b/>
                <w:kern w:val="0"/>
                <w:szCs w:val="21"/>
              </w:rPr>
            </w:pPr>
          </w:p>
        </w:tc>
        <w:tc>
          <w:tcPr>
            <w:tcW w:w="1107" w:type="dxa"/>
            <w:tcBorders>
              <w:top w:val="nil"/>
              <w:left w:val="nil"/>
              <w:bottom w:val="single" w:sz="4" w:space="0" w:color="auto"/>
              <w:right w:val="single" w:sz="4" w:space="0" w:color="auto"/>
            </w:tcBorders>
            <w:shd w:val="clear" w:color="auto" w:fill="auto"/>
            <w:noWrap/>
            <w:vAlign w:val="center"/>
            <w:hideMark/>
          </w:tcPr>
          <w:p w14:paraId="55BECDA1"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金额</w:t>
            </w:r>
          </w:p>
        </w:tc>
        <w:tc>
          <w:tcPr>
            <w:tcW w:w="987" w:type="dxa"/>
            <w:tcBorders>
              <w:top w:val="nil"/>
              <w:left w:val="nil"/>
              <w:bottom w:val="single" w:sz="4" w:space="0" w:color="auto"/>
              <w:right w:val="single" w:sz="4" w:space="0" w:color="auto"/>
            </w:tcBorders>
            <w:shd w:val="clear" w:color="auto" w:fill="auto"/>
            <w:noWrap/>
            <w:vAlign w:val="center"/>
            <w:hideMark/>
          </w:tcPr>
          <w:p w14:paraId="13E37C3F"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占比</w:t>
            </w:r>
          </w:p>
        </w:tc>
      </w:tr>
      <w:tr w:rsidR="004865EF" w:rsidRPr="004865EF" w14:paraId="43727123"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F656D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w:t>
            </w:r>
          </w:p>
        </w:tc>
        <w:tc>
          <w:tcPr>
            <w:tcW w:w="1500" w:type="dxa"/>
            <w:tcBorders>
              <w:top w:val="nil"/>
              <w:left w:val="nil"/>
              <w:bottom w:val="single" w:sz="4" w:space="0" w:color="auto"/>
              <w:right w:val="single" w:sz="4" w:space="0" w:color="auto"/>
            </w:tcBorders>
            <w:shd w:val="clear" w:color="auto" w:fill="auto"/>
            <w:noWrap/>
            <w:vAlign w:val="center"/>
            <w:hideMark/>
          </w:tcPr>
          <w:p w14:paraId="726D645E"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项目资本支出</w:t>
            </w:r>
          </w:p>
        </w:tc>
        <w:tc>
          <w:tcPr>
            <w:tcW w:w="1500" w:type="dxa"/>
            <w:tcBorders>
              <w:top w:val="nil"/>
              <w:left w:val="nil"/>
              <w:bottom w:val="single" w:sz="4" w:space="0" w:color="auto"/>
              <w:right w:val="single" w:sz="4" w:space="0" w:color="auto"/>
            </w:tcBorders>
            <w:shd w:val="clear" w:color="auto" w:fill="auto"/>
            <w:noWrap/>
            <w:vAlign w:val="center"/>
            <w:hideMark/>
          </w:tcPr>
          <w:p w14:paraId="69B05F2F"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128,000.00</w:t>
            </w:r>
          </w:p>
        </w:tc>
        <w:tc>
          <w:tcPr>
            <w:tcW w:w="1086" w:type="dxa"/>
            <w:tcBorders>
              <w:top w:val="single" w:sz="4" w:space="0" w:color="auto"/>
              <w:left w:val="nil"/>
              <w:bottom w:val="single" w:sz="4" w:space="0" w:color="auto"/>
              <w:right w:val="single" w:sz="4" w:space="0" w:color="auto"/>
            </w:tcBorders>
            <w:vAlign w:val="center"/>
          </w:tcPr>
          <w:p w14:paraId="2E4083A3"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DDD3"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14,546.50</w:t>
            </w:r>
          </w:p>
        </w:tc>
        <w:tc>
          <w:tcPr>
            <w:tcW w:w="1107" w:type="dxa"/>
            <w:tcBorders>
              <w:top w:val="nil"/>
              <w:left w:val="nil"/>
              <w:bottom w:val="single" w:sz="4" w:space="0" w:color="auto"/>
              <w:right w:val="single" w:sz="4" w:space="0" w:color="auto"/>
            </w:tcBorders>
            <w:shd w:val="clear" w:color="auto" w:fill="auto"/>
            <w:noWrap/>
            <w:vAlign w:val="center"/>
            <w:hideMark/>
          </w:tcPr>
          <w:p w14:paraId="2E78F126"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90,000.00</w:t>
            </w:r>
          </w:p>
        </w:tc>
        <w:tc>
          <w:tcPr>
            <w:tcW w:w="987" w:type="dxa"/>
            <w:tcBorders>
              <w:top w:val="nil"/>
              <w:left w:val="nil"/>
              <w:bottom w:val="single" w:sz="4" w:space="0" w:color="auto"/>
              <w:right w:val="single" w:sz="4" w:space="0" w:color="auto"/>
            </w:tcBorders>
            <w:shd w:val="clear" w:color="auto" w:fill="auto"/>
            <w:noWrap/>
            <w:vAlign w:val="center"/>
            <w:hideMark/>
          </w:tcPr>
          <w:p w14:paraId="70C7FE44"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100.00%</w:t>
            </w:r>
          </w:p>
        </w:tc>
      </w:tr>
      <w:tr w:rsidR="004865EF" w:rsidRPr="004865EF" w14:paraId="08122DE7"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B1DEA"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1.1</w:t>
            </w:r>
          </w:p>
        </w:tc>
        <w:tc>
          <w:tcPr>
            <w:tcW w:w="1500" w:type="dxa"/>
            <w:tcBorders>
              <w:top w:val="nil"/>
              <w:left w:val="nil"/>
              <w:bottom w:val="single" w:sz="4" w:space="0" w:color="auto"/>
              <w:right w:val="single" w:sz="4" w:space="0" w:color="auto"/>
            </w:tcBorders>
            <w:shd w:val="clear" w:color="auto" w:fill="auto"/>
            <w:noWrap/>
            <w:vAlign w:val="center"/>
            <w:hideMark/>
          </w:tcPr>
          <w:p w14:paraId="60675773"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土地成本</w:t>
            </w:r>
          </w:p>
        </w:tc>
        <w:tc>
          <w:tcPr>
            <w:tcW w:w="1500" w:type="dxa"/>
            <w:tcBorders>
              <w:top w:val="nil"/>
              <w:left w:val="nil"/>
              <w:bottom w:val="single" w:sz="4" w:space="0" w:color="auto"/>
              <w:right w:val="single" w:sz="4" w:space="0" w:color="auto"/>
            </w:tcBorders>
            <w:shd w:val="clear" w:color="auto" w:fill="auto"/>
            <w:noWrap/>
            <w:vAlign w:val="center"/>
            <w:hideMark/>
          </w:tcPr>
          <w:p w14:paraId="7792AE84"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13,980.00</w:t>
            </w:r>
          </w:p>
        </w:tc>
        <w:tc>
          <w:tcPr>
            <w:tcW w:w="1086" w:type="dxa"/>
            <w:tcBorders>
              <w:top w:val="single" w:sz="4" w:space="0" w:color="auto"/>
              <w:left w:val="nil"/>
              <w:bottom w:val="single" w:sz="4" w:space="0" w:color="auto"/>
              <w:right w:val="single" w:sz="4" w:space="0" w:color="auto"/>
            </w:tcBorders>
            <w:vAlign w:val="center"/>
          </w:tcPr>
          <w:p w14:paraId="513DF2B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449F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13,980.00</w:t>
            </w:r>
          </w:p>
        </w:tc>
        <w:tc>
          <w:tcPr>
            <w:tcW w:w="1107" w:type="dxa"/>
            <w:tcBorders>
              <w:top w:val="nil"/>
              <w:left w:val="nil"/>
              <w:bottom w:val="single" w:sz="4" w:space="0" w:color="auto"/>
              <w:right w:val="single" w:sz="4" w:space="0" w:color="auto"/>
            </w:tcBorders>
            <w:shd w:val="clear" w:color="auto" w:fill="auto"/>
            <w:noWrap/>
            <w:vAlign w:val="center"/>
            <w:hideMark/>
          </w:tcPr>
          <w:p w14:paraId="63E75902"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987" w:type="dxa"/>
            <w:tcBorders>
              <w:top w:val="nil"/>
              <w:left w:val="nil"/>
              <w:bottom w:val="single" w:sz="4" w:space="0" w:color="auto"/>
              <w:right w:val="single" w:sz="4" w:space="0" w:color="auto"/>
            </w:tcBorders>
            <w:shd w:val="clear" w:color="auto" w:fill="auto"/>
            <w:noWrap/>
            <w:vAlign w:val="center"/>
            <w:hideMark/>
          </w:tcPr>
          <w:p w14:paraId="3D4E835C"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r>
      <w:tr w:rsidR="004865EF" w:rsidRPr="004865EF" w14:paraId="7B5B3DCF"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77A35A"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1.2</w:t>
            </w:r>
          </w:p>
        </w:tc>
        <w:tc>
          <w:tcPr>
            <w:tcW w:w="1500" w:type="dxa"/>
            <w:tcBorders>
              <w:top w:val="nil"/>
              <w:left w:val="nil"/>
              <w:bottom w:val="single" w:sz="4" w:space="0" w:color="auto"/>
              <w:right w:val="single" w:sz="4" w:space="0" w:color="auto"/>
            </w:tcBorders>
            <w:shd w:val="clear" w:color="auto" w:fill="auto"/>
            <w:noWrap/>
            <w:vAlign w:val="center"/>
            <w:hideMark/>
          </w:tcPr>
          <w:p w14:paraId="54C28285"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工程建设</w:t>
            </w:r>
          </w:p>
        </w:tc>
        <w:tc>
          <w:tcPr>
            <w:tcW w:w="1500" w:type="dxa"/>
            <w:tcBorders>
              <w:top w:val="nil"/>
              <w:left w:val="nil"/>
              <w:bottom w:val="single" w:sz="4" w:space="0" w:color="auto"/>
              <w:right w:val="single" w:sz="4" w:space="0" w:color="auto"/>
            </w:tcBorders>
            <w:shd w:val="clear" w:color="auto" w:fill="auto"/>
            <w:noWrap/>
            <w:vAlign w:val="center"/>
            <w:hideMark/>
          </w:tcPr>
          <w:p w14:paraId="45160574"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27,885.00</w:t>
            </w:r>
          </w:p>
        </w:tc>
        <w:tc>
          <w:tcPr>
            <w:tcW w:w="1086" w:type="dxa"/>
            <w:tcBorders>
              <w:top w:val="single" w:sz="4" w:space="0" w:color="auto"/>
              <w:left w:val="nil"/>
              <w:bottom w:val="single" w:sz="4" w:space="0" w:color="auto"/>
              <w:right w:val="single" w:sz="4" w:space="0" w:color="auto"/>
            </w:tcBorders>
            <w:vAlign w:val="center"/>
          </w:tcPr>
          <w:p w14:paraId="78DC0482"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5F97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10.00</w:t>
            </w:r>
          </w:p>
        </w:tc>
        <w:tc>
          <w:tcPr>
            <w:tcW w:w="1107" w:type="dxa"/>
            <w:tcBorders>
              <w:top w:val="nil"/>
              <w:left w:val="nil"/>
              <w:bottom w:val="single" w:sz="4" w:space="0" w:color="auto"/>
              <w:right w:val="single" w:sz="4" w:space="0" w:color="auto"/>
            </w:tcBorders>
            <w:shd w:val="clear" w:color="auto" w:fill="auto"/>
            <w:noWrap/>
            <w:vAlign w:val="center"/>
            <w:hideMark/>
          </w:tcPr>
          <w:p w14:paraId="19604F61"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27,875.00</w:t>
            </w:r>
          </w:p>
        </w:tc>
        <w:tc>
          <w:tcPr>
            <w:tcW w:w="987" w:type="dxa"/>
            <w:tcBorders>
              <w:top w:val="nil"/>
              <w:left w:val="nil"/>
              <w:bottom w:val="single" w:sz="4" w:space="0" w:color="auto"/>
              <w:right w:val="single" w:sz="4" w:space="0" w:color="auto"/>
            </w:tcBorders>
            <w:shd w:val="clear" w:color="auto" w:fill="auto"/>
            <w:noWrap/>
            <w:vAlign w:val="center"/>
            <w:hideMark/>
          </w:tcPr>
          <w:p w14:paraId="1ED20D7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30.97%</w:t>
            </w:r>
          </w:p>
        </w:tc>
      </w:tr>
      <w:tr w:rsidR="004865EF" w:rsidRPr="004865EF" w14:paraId="58C840FB"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5F1526"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1.3</w:t>
            </w:r>
          </w:p>
        </w:tc>
        <w:tc>
          <w:tcPr>
            <w:tcW w:w="1500" w:type="dxa"/>
            <w:tcBorders>
              <w:top w:val="nil"/>
              <w:left w:val="nil"/>
              <w:bottom w:val="single" w:sz="4" w:space="0" w:color="auto"/>
              <w:right w:val="single" w:sz="4" w:space="0" w:color="auto"/>
            </w:tcBorders>
            <w:shd w:val="clear" w:color="auto" w:fill="auto"/>
            <w:noWrap/>
            <w:vAlign w:val="center"/>
            <w:hideMark/>
          </w:tcPr>
          <w:p w14:paraId="38BB42AC"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设备购置</w:t>
            </w:r>
          </w:p>
        </w:tc>
        <w:tc>
          <w:tcPr>
            <w:tcW w:w="1500" w:type="dxa"/>
            <w:tcBorders>
              <w:top w:val="nil"/>
              <w:left w:val="nil"/>
              <w:bottom w:val="single" w:sz="4" w:space="0" w:color="auto"/>
              <w:right w:val="single" w:sz="4" w:space="0" w:color="auto"/>
            </w:tcBorders>
            <w:shd w:val="clear" w:color="auto" w:fill="auto"/>
            <w:noWrap/>
            <w:vAlign w:val="center"/>
            <w:hideMark/>
          </w:tcPr>
          <w:p w14:paraId="02F9A1AC"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85,408.20</w:t>
            </w:r>
          </w:p>
        </w:tc>
        <w:tc>
          <w:tcPr>
            <w:tcW w:w="1086" w:type="dxa"/>
            <w:tcBorders>
              <w:top w:val="single" w:sz="4" w:space="0" w:color="auto"/>
              <w:left w:val="nil"/>
              <w:bottom w:val="single" w:sz="4" w:space="0" w:color="auto"/>
              <w:right w:val="single" w:sz="4" w:space="0" w:color="auto"/>
            </w:tcBorders>
            <w:vAlign w:val="center"/>
          </w:tcPr>
          <w:p w14:paraId="3DBBE727"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8854"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1107" w:type="dxa"/>
            <w:tcBorders>
              <w:top w:val="nil"/>
              <w:left w:val="nil"/>
              <w:bottom w:val="single" w:sz="4" w:space="0" w:color="auto"/>
              <w:right w:val="single" w:sz="4" w:space="0" w:color="auto"/>
            </w:tcBorders>
            <w:shd w:val="clear" w:color="auto" w:fill="auto"/>
            <w:noWrap/>
            <w:vAlign w:val="center"/>
            <w:hideMark/>
          </w:tcPr>
          <w:p w14:paraId="3F3DE21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62,125.00</w:t>
            </w:r>
          </w:p>
        </w:tc>
        <w:tc>
          <w:tcPr>
            <w:tcW w:w="987" w:type="dxa"/>
            <w:tcBorders>
              <w:top w:val="nil"/>
              <w:left w:val="nil"/>
              <w:bottom w:val="single" w:sz="4" w:space="0" w:color="auto"/>
              <w:right w:val="single" w:sz="4" w:space="0" w:color="auto"/>
            </w:tcBorders>
            <w:shd w:val="clear" w:color="auto" w:fill="auto"/>
            <w:noWrap/>
            <w:vAlign w:val="center"/>
            <w:hideMark/>
          </w:tcPr>
          <w:p w14:paraId="44179BFE"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69.03%</w:t>
            </w:r>
          </w:p>
        </w:tc>
      </w:tr>
      <w:tr w:rsidR="004865EF" w:rsidRPr="004865EF" w14:paraId="10566870"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71B1A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1.4</w:t>
            </w:r>
          </w:p>
        </w:tc>
        <w:tc>
          <w:tcPr>
            <w:tcW w:w="1500" w:type="dxa"/>
            <w:tcBorders>
              <w:top w:val="nil"/>
              <w:left w:val="nil"/>
              <w:bottom w:val="single" w:sz="4" w:space="0" w:color="auto"/>
              <w:right w:val="single" w:sz="4" w:space="0" w:color="auto"/>
            </w:tcBorders>
            <w:shd w:val="clear" w:color="auto" w:fill="auto"/>
            <w:noWrap/>
            <w:vAlign w:val="center"/>
            <w:hideMark/>
          </w:tcPr>
          <w:p w14:paraId="45B83C2A"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其他费用</w:t>
            </w:r>
          </w:p>
        </w:tc>
        <w:tc>
          <w:tcPr>
            <w:tcW w:w="1500" w:type="dxa"/>
            <w:tcBorders>
              <w:top w:val="nil"/>
              <w:left w:val="nil"/>
              <w:bottom w:val="single" w:sz="4" w:space="0" w:color="auto"/>
              <w:right w:val="single" w:sz="4" w:space="0" w:color="auto"/>
            </w:tcBorders>
            <w:shd w:val="clear" w:color="auto" w:fill="auto"/>
            <w:noWrap/>
            <w:vAlign w:val="center"/>
            <w:hideMark/>
          </w:tcPr>
          <w:p w14:paraId="47E8E675"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726.80</w:t>
            </w:r>
          </w:p>
        </w:tc>
        <w:tc>
          <w:tcPr>
            <w:tcW w:w="1086" w:type="dxa"/>
            <w:tcBorders>
              <w:top w:val="single" w:sz="4" w:space="0" w:color="auto"/>
              <w:left w:val="nil"/>
              <w:bottom w:val="single" w:sz="4" w:space="0" w:color="auto"/>
              <w:right w:val="single" w:sz="4" w:space="0" w:color="auto"/>
            </w:tcBorders>
            <w:vAlign w:val="center"/>
          </w:tcPr>
          <w:p w14:paraId="4CDDF01E"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1920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556.50</w:t>
            </w:r>
          </w:p>
        </w:tc>
        <w:tc>
          <w:tcPr>
            <w:tcW w:w="1107" w:type="dxa"/>
            <w:tcBorders>
              <w:top w:val="nil"/>
              <w:left w:val="nil"/>
              <w:bottom w:val="single" w:sz="4" w:space="0" w:color="auto"/>
              <w:right w:val="single" w:sz="4" w:space="0" w:color="auto"/>
            </w:tcBorders>
            <w:shd w:val="clear" w:color="auto" w:fill="auto"/>
            <w:noWrap/>
            <w:vAlign w:val="center"/>
            <w:hideMark/>
          </w:tcPr>
          <w:p w14:paraId="495BFC4C"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987" w:type="dxa"/>
            <w:tcBorders>
              <w:top w:val="nil"/>
              <w:left w:val="nil"/>
              <w:bottom w:val="single" w:sz="4" w:space="0" w:color="auto"/>
              <w:right w:val="single" w:sz="4" w:space="0" w:color="auto"/>
            </w:tcBorders>
            <w:shd w:val="clear" w:color="auto" w:fill="auto"/>
            <w:noWrap/>
            <w:vAlign w:val="center"/>
            <w:hideMark/>
          </w:tcPr>
          <w:p w14:paraId="68EABCB5"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r>
      <w:tr w:rsidR="004865EF" w:rsidRPr="004865EF" w14:paraId="47E09AE6"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F14DC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2</w:t>
            </w:r>
          </w:p>
        </w:tc>
        <w:tc>
          <w:tcPr>
            <w:tcW w:w="1500" w:type="dxa"/>
            <w:tcBorders>
              <w:top w:val="nil"/>
              <w:left w:val="nil"/>
              <w:bottom w:val="single" w:sz="4" w:space="0" w:color="auto"/>
              <w:right w:val="single" w:sz="4" w:space="0" w:color="auto"/>
            </w:tcBorders>
            <w:shd w:val="clear" w:color="auto" w:fill="auto"/>
            <w:noWrap/>
            <w:vAlign w:val="center"/>
            <w:hideMark/>
          </w:tcPr>
          <w:p w14:paraId="0D40C061"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铺底流动资金</w:t>
            </w:r>
          </w:p>
        </w:tc>
        <w:tc>
          <w:tcPr>
            <w:tcW w:w="1500" w:type="dxa"/>
            <w:tcBorders>
              <w:top w:val="nil"/>
              <w:left w:val="nil"/>
              <w:bottom w:val="single" w:sz="4" w:space="0" w:color="auto"/>
              <w:right w:val="single" w:sz="4" w:space="0" w:color="auto"/>
            </w:tcBorders>
            <w:shd w:val="clear" w:color="auto" w:fill="auto"/>
            <w:noWrap/>
            <w:vAlign w:val="center"/>
            <w:hideMark/>
          </w:tcPr>
          <w:p w14:paraId="082105DC"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2,000.00</w:t>
            </w:r>
          </w:p>
        </w:tc>
        <w:tc>
          <w:tcPr>
            <w:tcW w:w="1086" w:type="dxa"/>
            <w:tcBorders>
              <w:top w:val="single" w:sz="4" w:space="0" w:color="auto"/>
              <w:left w:val="nil"/>
              <w:bottom w:val="single" w:sz="4" w:space="0" w:color="auto"/>
              <w:right w:val="single" w:sz="4" w:space="0" w:color="auto"/>
            </w:tcBorders>
            <w:vAlign w:val="center"/>
          </w:tcPr>
          <w:p w14:paraId="75EA7A5F"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否</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58A38"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1107" w:type="dxa"/>
            <w:tcBorders>
              <w:top w:val="nil"/>
              <w:left w:val="nil"/>
              <w:bottom w:val="single" w:sz="4" w:space="0" w:color="auto"/>
              <w:right w:val="single" w:sz="4" w:space="0" w:color="auto"/>
            </w:tcBorders>
            <w:shd w:val="clear" w:color="auto" w:fill="auto"/>
            <w:noWrap/>
            <w:vAlign w:val="center"/>
            <w:hideMark/>
          </w:tcPr>
          <w:p w14:paraId="35745BF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987" w:type="dxa"/>
            <w:tcBorders>
              <w:top w:val="nil"/>
              <w:left w:val="nil"/>
              <w:bottom w:val="single" w:sz="4" w:space="0" w:color="auto"/>
              <w:right w:val="single" w:sz="4" w:space="0" w:color="auto"/>
            </w:tcBorders>
            <w:shd w:val="clear" w:color="auto" w:fill="auto"/>
            <w:noWrap/>
            <w:vAlign w:val="center"/>
            <w:hideMark/>
          </w:tcPr>
          <w:p w14:paraId="4BF9C3F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r>
      <w:tr w:rsidR="004865EF" w:rsidRPr="004865EF" w14:paraId="453D7901" w14:textId="77777777" w:rsidTr="00602898">
        <w:trPr>
          <w:trHeight w:val="397"/>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3492B"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合计</w:t>
            </w:r>
          </w:p>
        </w:tc>
        <w:tc>
          <w:tcPr>
            <w:tcW w:w="1500" w:type="dxa"/>
            <w:tcBorders>
              <w:top w:val="nil"/>
              <w:left w:val="nil"/>
              <w:bottom w:val="single" w:sz="4" w:space="0" w:color="auto"/>
              <w:right w:val="single" w:sz="4" w:space="0" w:color="auto"/>
            </w:tcBorders>
            <w:shd w:val="clear" w:color="auto" w:fill="auto"/>
            <w:noWrap/>
            <w:vAlign w:val="center"/>
            <w:hideMark/>
          </w:tcPr>
          <w:p w14:paraId="293AA168" w14:textId="77777777" w:rsidR="00602898" w:rsidRPr="004865EF" w:rsidRDefault="00602898" w:rsidP="00602898">
            <w:pPr>
              <w:jc w:val="right"/>
              <w:rPr>
                <w:rFonts w:ascii="Times New Roman" w:eastAsia="宋体" w:hAnsi="Times New Roman" w:cs="Times New Roman"/>
                <w:b/>
                <w:szCs w:val="21"/>
              </w:rPr>
            </w:pPr>
            <w:r w:rsidRPr="004865EF">
              <w:rPr>
                <w:rFonts w:ascii="Times New Roman" w:eastAsia="宋体" w:hAnsi="Times New Roman" w:cs="Times New Roman"/>
                <w:b/>
                <w:szCs w:val="21"/>
              </w:rPr>
              <w:t>130,000.00</w:t>
            </w:r>
          </w:p>
        </w:tc>
        <w:tc>
          <w:tcPr>
            <w:tcW w:w="1086" w:type="dxa"/>
            <w:tcBorders>
              <w:top w:val="single" w:sz="4" w:space="0" w:color="auto"/>
              <w:left w:val="nil"/>
              <w:bottom w:val="single" w:sz="4" w:space="0" w:color="auto"/>
              <w:right w:val="single" w:sz="4" w:space="0" w:color="auto"/>
            </w:tcBorders>
            <w:vAlign w:val="center"/>
          </w:tcPr>
          <w:p w14:paraId="494EE1C1" w14:textId="77777777" w:rsidR="00602898" w:rsidRPr="004865EF" w:rsidRDefault="00602898" w:rsidP="00602898">
            <w:pPr>
              <w:widowControl/>
              <w:jc w:val="center"/>
              <w:rPr>
                <w:rFonts w:ascii="Times New Roman" w:eastAsia="宋体" w:hAnsi="Times New Roman" w:cs="Times New Roman"/>
                <w:b/>
                <w:kern w:val="0"/>
                <w:szCs w:val="21"/>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7942F"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14,546.50</w:t>
            </w:r>
          </w:p>
        </w:tc>
        <w:tc>
          <w:tcPr>
            <w:tcW w:w="1107" w:type="dxa"/>
            <w:tcBorders>
              <w:top w:val="nil"/>
              <w:left w:val="nil"/>
              <w:bottom w:val="single" w:sz="4" w:space="0" w:color="auto"/>
              <w:right w:val="single" w:sz="4" w:space="0" w:color="auto"/>
            </w:tcBorders>
            <w:shd w:val="clear" w:color="auto" w:fill="auto"/>
            <w:noWrap/>
            <w:vAlign w:val="center"/>
            <w:hideMark/>
          </w:tcPr>
          <w:p w14:paraId="593CBE91"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90,000.00</w:t>
            </w:r>
          </w:p>
        </w:tc>
        <w:tc>
          <w:tcPr>
            <w:tcW w:w="987" w:type="dxa"/>
            <w:tcBorders>
              <w:top w:val="nil"/>
              <w:left w:val="nil"/>
              <w:bottom w:val="single" w:sz="4" w:space="0" w:color="auto"/>
              <w:right w:val="single" w:sz="4" w:space="0" w:color="auto"/>
            </w:tcBorders>
            <w:shd w:val="clear" w:color="auto" w:fill="auto"/>
            <w:noWrap/>
            <w:vAlign w:val="center"/>
            <w:hideMark/>
          </w:tcPr>
          <w:p w14:paraId="0A67A54F"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100.00%</w:t>
            </w:r>
          </w:p>
        </w:tc>
      </w:tr>
    </w:tbl>
    <w:p w14:paraId="6257E2C5" w14:textId="77777777"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嘉定二期项目具体投资明细、投资金额和测算依据及过程如下：</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8"/>
        <w:gridCol w:w="2336"/>
        <w:gridCol w:w="1240"/>
        <w:gridCol w:w="960"/>
        <w:gridCol w:w="2629"/>
      </w:tblGrid>
      <w:tr w:rsidR="004865EF" w:rsidRPr="004865EF" w14:paraId="5CC22B96" w14:textId="77777777" w:rsidTr="00A66425">
        <w:trPr>
          <w:trHeight w:val="397"/>
          <w:tblHeader/>
          <w:jc w:val="center"/>
        </w:trPr>
        <w:tc>
          <w:tcPr>
            <w:tcW w:w="582" w:type="dxa"/>
            <w:shd w:val="clear" w:color="000000" w:fill="FFFFFF"/>
            <w:noWrap/>
            <w:vAlign w:val="center"/>
          </w:tcPr>
          <w:p w14:paraId="60A37D60"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序号</w:t>
            </w:r>
          </w:p>
        </w:tc>
        <w:tc>
          <w:tcPr>
            <w:tcW w:w="1418" w:type="dxa"/>
            <w:shd w:val="clear" w:color="000000" w:fill="FFFFFF"/>
            <w:noWrap/>
            <w:vAlign w:val="center"/>
          </w:tcPr>
          <w:p w14:paraId="7B0DB598"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投资明细</w:t>
            </w:r>
          </w:p>
        </w:tc>
        <w:tc>
          <w:tcPr>
            <w:tcW w:w="2336" w:type="dxa"/>
            <w:shd w:val="clear" w:color="000000" w:fill="FFFFFF"/>
            <w:noWrap/>
            <w:vAlign w:val="center"/>
          </w:tcPr>
          <w:p w14:paraId="57FC93BC"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具体建设内容</w:t>
            </w:r>
          </w:p>
        </w:tc>
        <w:tc>
          <w:tcPr>
            <w:tcW w:w="1240" w:type="dxa"/>
            <w:shd w:val="clear" w:color="000000" w:fill="FFFFFF"/>
            <w:noWrap/>
            <w:vAlign w:val="center"/>
          </w:tcPr>
          <w:p w14:paraId="0FBC7562"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金额（万元）</w:t>
            </w:r>
          </w:p>
        </w:tc>
        <w:tc>
          <w:tcPr>
            <w:tcW w:w="960" w:type="dxa"/>
            <w:shd w:val="clear" w:color="000000" w:fill="FFFFFF"/>
            <w:noWrap/>
            <w:vAlign w:val="center"/>
          </w:tcPr>
          <w:p w14:paraId="4BEFDB29"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占比</w:t>
            </w:r>
          </w:p>
        </w:tc>
        <w:tc>
          <w:tcPr>
            <w:tcW w:w="2629" w:type="dxa"/>
            <w:shd w:val="clear" w:color="000000" w:fill="FFFFFF"/>
            <w:noWrap/>
            <w:vAlign w:val="center"/>
          </w:tcPr>
          <w:p w14:paraId="4BB79454"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测算依据及测算过程</w:t>
            </w:r>
          </w:p>
        </w:tc>
      </w:tr>
      <w:tr w:rsidR="004865EF" w:rsidRPr="004865EF" w14:paraId="59A8D625" w14:textId="77777777" w:rsidTr="00602898">
        <w:trPr>
          <w:trHeight w:val="397"/>
          <w:jc w:val="center"/>
        </w:trPr>
        <w:tc>
          <w:tcPr>
            <w:tcW w:w="582" w:type="dxa"/>
            <w:shd w:val="clear" w:color="auto" w:fill="auto"/>
            <w:noWrap/>
            <w:vAlign w:val="center"/>
          </w:tcPr>
          <w:p w14:paraId="200F07DD"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w:t>
            </w:r>
          </w:p>
        </w:tc>
        <w:tc>
          <w:tcPr>
            <w:tcW w:w="1418" w:type="dxa"/>
            <w:shd w:val="clear" w:color="auto" w:fill="auto"/>
            <w:noWrap/>
            <w:vAlign w:val="center"/>
          </w:tcPr>
          <w:p w14:paraId="7BAD721D"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项目资本支出</w:t>
            </w:r>
          </w:p>
        </w:tc>
        <w:tc>
          <w:tcPr>
            <w:tcW w:w="2336" w:type="dxa"/>
            <w:shd w:val="clear" w:color="auto" w:fill="auto"/>
            <w:noWrap/>
            <w:vAlign w:val="center"/>
          </w:tcPr>
          <w:p w14:paraId="47FFB1A7"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本项目主要固定资产投资</w:t>
            </w:r>
          </w:p>
        </w:tc>
        <w:tc>
          <w:tcPr>
            <w:tcW w:w="1240" w:type="dxa"/>
            <w:shd w:val="clear" w:color="auto" w:fill="auto"/>
            <w:noWrap/>
            <w:vAlign w:val="center"/>
          </w:tcPr>
          <w:p w14:paraId="374F3BE5"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128,000.00</w:t>
            </w:r>
          </w:p>
        </w:tc>
        <w:tc>
          <w:tcPr>
            <w:tcW w:w="960" w:type="dxa"/>
            <w:shd w:val="clear" w:color="auto" w:fill="auto"/>
            <w:noWrap/>
            <w:vAlign w:val="center"/>
          </w:tcPr>
          <w:p w14:paraId="75B98D11"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98.46%</w:t>
            </w:r>
          </w:p>
        </w:tc>
        <w:tc>
          <w:tcPr>
            <w:tcW w:w="2629" w:type="dxa"/>
            <w:shd w:val="clear" w:color="auto" w:fill="auto"/>
            <w:noWrap/>
            <w:vAlign w:val="center"/>
          </w:tcPr>
          <w:p w14:paraId="6A65ACF3"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47583326" w14:textId="77777777" w:rsidTr="00602898">
        <w:trPr>
          <w:trHeight w:val="397"/>
          <w:jc w:val="center"/>
        </w:trPr>
        <w:tc>
          <w:tcPr>
            <w:tcW w:w="582" w:type="dxa"/>
            <w:shd w:val="clear" w:color="auto" w:fill="auto"/>
            <w:noWrap/>
            <w:vAlign w:val="center"/>
          </w:tcPr>
          <w:p w14:paraId="3D2C2A8D"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1.1</w:t>
            </w:r>
          </w:p>
        </w:tc>
        <w:tc>
          <w:tcPr>
            <w:tcW w:w="1418" w:type="dxa"/>
            <w:shd w:val="clear" w:color="auto" w:fill="auto"/>
            <w:noWrap/>
            <w:vAlign w:val="center"/>
          </w:tcPr>
          <w:p w14:paraId="62692648"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土地成本</w:t>
            </w:r>
          </w:p>
        </w:tc>
        <w:tc>
          <w:tcPr>
            <w:tcW w:w="2336" w:type="dxa"/>
            <w:shd w:val="clear" w:color="auto" w:fill="auto"/>
            <w:noWrap/>
            <w:vAlign w:val="center"/>
          </w:tcPr>
          <w:p w14:paraId="76EE87CC" w14:textId="77777777" w:rsidR="00602898" w:rsidRPr="004865EF" w:rsidRDefault="00602898" w:rsidP="00602898">
            <w:pPr>
              <w:widowControl/>
              <w:rPr>
                <w:rFonts w:ascii="Times New Roman" w:eastAsia="宋体" w:hAnsi="Times New Roman" w:cs="Times New Roman"/>
                <w:kern w:val="0"/>
                <w:sz w:val="18"/>
                <w:szCs w:val="18"/>
              </w:rPr>
            </w:pPr>
          </w:p>
        </w:tc>
        <w:tc>
          <w:tcPr>
            <w:tcW w:w="1240" w:type="dxa"/>
            <w:shd w:val="clear" w:color="auto" w:fill="auto"/>
            <w:noWrap/>
            <w:vAlign w:val="center"/>
          </w:tcPr>
          <w:p w14:paraId="37DC8FAD"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13,980.00</w:t>
            </w:r>
          </w:p>
        </w:tc>
        <w:tc>
          <w:tcPr>
            <w:tcW w:w="960" w:type="dxa"/>
            <w:shd w:val="clear" w:color="auto" w:fill="auto"/>
            <w:noWrap/>
            <w:vAlign w:val="center"/>
          </w:tcPr>
          <w:p w14:paraId="2380AF59"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10.75%</w:t>
            </w:r>
          </w:p>
        </w:tc>
        <w:tc>
          <w:tcPr>
            <w:tcW w:w="2629" w:type="dxa"/>
            <w:shd w:val="clear" w:color="auto" w:fill="auto"/>
            <w:noWrap/>
            <w:vAlign w:val="center"/>
          </w:tcPr>
          <w:p w14:paraId="1AD3B875"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0C4D4603" w14:textId="77777777" w:rsidTr="00602898">
        <w:trPr>
          <w:trHeight w:val="397"/>
          <w:jc w:val="center"/>
        </w:trPr>
        <w:tc>
          <w:tcPr>
            <w:tcW w:w="582" w:type="dxa"/>
            <w:shd w:val="clear" w:color="auto" w:fill="auto"/>
            <w:noWrap/>
            <w:vAlign w:val="center"/>
          </w:tcPr>
          <w:p w14:paraId="1DAF200F"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w:t>
            </w:r>
          </w:p>
        </w:tc>
        <w:tc>
          <w:tcPr>
            <w:tcW w:w="1418" w:type="dxa"/>
            <w:shd w:val="clear" w:color="auto" w:fill="auto"/>
            <w:noWrap/>
            <w:vAlign w:val="center"/>
          </w:tcPr>
          <w:p w14:paraId="626D9E76"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工程建设</w:t>
            </w:r>
          </w:p>
        </w:tc>
        <w:tc>
          <w:tcPr>
            <w:tcW w:w="2336" w:type="dxa"/>
            <w:shd w:val="clear" w:color="auto" w:fill="auto"/>
            <w:noWrap/>
            <w:vAlign w:val="center"/>
          </w:tcPr>
          <w:p w14:paraId="22650BDB"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2</w:t>
            </w:r>
            <w:r w:rsidRPr="004865EF">
              <w:rPr>
                <w:rFonts w:ascii="Times New Roman" w:eastAsia="宋体" w:hAnsi="Times New Roman" w:cs="Times New Roman" w:hint="eastAsia"/>
                <w:kern w:val="0"/>
                <w:sz w:val="18"/>
                <w:szCs w:val="18"/>
              </w:rPr>
              <w:t>栋数据中心及配套楼宇</w:t>
            </w:r>
          </w:p>
        </w:tc>
        <w:tc>
          <w:tcPr>
            <w:tcW w:w="1240" w:type="dxa"/>
            <w:shd w:val="clear" w:color="auto" w:fill="auto"/>
            <w:noWrap/>
            <w:vAlign w:val="center"/>
          </w:tcPr>
          <w:p w14:paraId="1984951F"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27,885.00</w:t>
            </w:r>
          </w:p>
        </w:tc>
        <w:tc>
          <w:tcPr>
            <w:tcW w:w="960" w:type="dxa"/>
            <w:shd w:val="clear" w:color="auto" w:fill="auto"/>
            <w:noWrap/>
            <w:vAlign w:val="center"/>
          </w:tcPr>
          <w:p w14:paraId="0E598175"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21.45%</w:t>
            </w:r>
          </w:p>
        </w:tc>
        <w:tc>
          <w:tcPr>
            <w:tcW w:w="2629" w:type="dxa"/>
            <w:shd w:val="clear" w:color="auto" w:fill="auto"/>
            <w:noWrap/>
            <w:vAlign w:val="center"/>
          </w:tcPr>
          <w:p w14:paraId="1AC82C04"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根据本项目规划情况确定建筑面积，及当地市场费用单价，通过建筑面积及单价进行估算</w:t>
            </w:r>
          </w:p>
        </w:tc>
      </w:tr>
      <w:tr w:rsidR="004865EF" w:rsidRPr="004865EF" w14:paraId="5B6542ED" w14:textId="77777777" w:rsidTr="00602898">
        <w:trPr>
          <w:trHeight w:val="397"/>
          <w:jc w:val="center"/>
        </w:trPr>
        <w:tc>
          <w:tcPr>
            <w:tcW w:w="582" w:type="dxa"/>
            <w:shd w:val="clear" w:color="auto" w:fill="auto"/>
            <w:noWrap/>
            <w:vAlign w:val="center"/>
          </w:tcPr>
          <w:p w14:paraId="0B83892E"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lastRenderedPageBreak/>
              <w:t>1.3</w:t>
            </w:r>
          </w:p>
        </w:tc>
        <w:tc>
          <w:tcPr>
            <w:tcW w:w="1418" w:type="dxa"/>
            <w:shd w:val="clear" w:color="auto" w:fill="auto"/>
            <w:noWrap/>
            <w:vAlign w:val="center"/>
          </w:tcPr>
          <w:p w14:paraId="50326401"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设备购置</w:t>
            </w:r>
          </w:p>
        </w:tc>
        <w:tc>
          <w:tcPr>
            <w:tcW w:w="2336" w:type="dxa"/>
            <w:shd w:val="clear" w:color="auto" w:fill="auto"/>
            <w:noWrap/>
            <w:vAlign w:val="center"/>
          </w:tcPr>
          <w:p w14:paraId="38336057" w14:textId="77777777" w:rsidR="00602898" w:rsidRPr="004865EF" w:rsidRDefault="00602898" w:rsidP="00602898">
            <w:pPr>
              <w:widowControl/>
              <w:rPr>
                <w:rFonts w:ascii="Times New Roman" w:eastAsia="宋体" w:hAnsi="Times New Roman" w:cs="Times New Roman"/>
                <w:kern w:val="0"/>
                <w:sz w:val="18"/>
                <w:szCs w:val="18"/>
              </w:rPr>
            </w:pPr>
          </w:p>
        </w:tc>
        <w:tc>
          <w:tcPr>
            <w:tcW w:w="1240" w:type="dxa"/>
            <w:shd w:val="clear" w:color="auto" w:fill="auto"/>
            <w:noWrap/>
            <w:vAlign w:val="center"/>
          </w:tcPr>
          <w:p w14:paraId="2603CB9D"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85,408.20</w:t>
            </w:r>
          </w:p>
        </w:tc>
        <w:tc>
          <w:tcPr>
            <w:tcW w:w="960" w:type="dxa"/>
            <w:shd w:val="clear" w:color="auto" w:fill="auto"/>
            <w:noWrap/>
            <w:vAlign w:val="center"/>
          </w:tcPr>
          <w:p w14:paraId="7AA70FF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65.70%</w:t>
            </w:r>
          </w:p>
        </w:tc>
        <w:tc>
          <w:tcPr>
            <w:tcW w:w="2629" w:type="dxa"/>
            <w:shd w:val="clear" w:color="auto" w:fill="auto"/>
            <w:noWrap/>
            <w:vAlign w:val="center"/>
          </w:tcPr>
          <w:p w14:paraId="761D4176"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3FA1A09F" w14:textId="77777777" w:rsidTr="00602898">
        <w:trPr>
          <w:trHeight w:val="397"/>
          <w:jc w:val="center"/>
        </w:trPr>
        <w:tc>
          <w:tcPr>
            <w:tcW w:w="582" w:type="dxa"/>
            <w:shd w:val="clear" w:color="auto" w:fill="auto"/>
            <w:noWrap/>
            <w:vAlign w:val="center"/>
          </w:tcPr>
          <w:p w14:paraId="56C57010"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1.3.1</w:t>
            </w:r>
          </w:p>
        </w:tc>
        <w:tc>
          <w:tcPr>
            <w:tcW w:w="1418" w:type="dxa"/>
            <w:shd w:val="clear" w:color="auto" w:fill="auto"/>
            <w:noWrap/>
            <w:vAlign w:val="center"/>
          </w:tcPr>
          <w:p w14:paraId="6F68FA37"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配电系统</w:t>
            </w:r>
          </w:p>
        </w:tc>
        <w:tc>
          <w:tcPr>
            <w:tcW w:w="2336" w:type="dxa"/>
            <w:shd w:val="clear" w:color="auto" w:fill="auto"/>
            <w:noWrap/>
            <w:vAlign w:val="center"/>
          </w:tcPr>
          <w:p w14:paraId="2953F91B"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柴油发电机组、高低压配电柜、交流列头柜（箱）、</w:t>
            </w:r>
            <w:r w:rsidRPr="004865EF">
              <w:rPr>
                <w:rFonts w:ascii="Times New Roman" w:eastAsia="宋体" w:hAnsi="Times New Roman" w:cs="Times New Roman"/>
                <w:kern w:val="0"/>
                <w:sz w:val="18"/>
                <w:szCs w:val="18"/>
              </w:rPr>
              <w:t>UPS</w:t>
            </w:r>
            <w:r w:rsidRPr="004865EF">
              <w:rPr>
                <w:rFonts w:ascii="Times New Roman" w:eastAsia="宋体" w:hAnsi="Times New Roman" w:cs="Times New Roman"/>
                <w:kern w:val="0"/>
                <w:sz w:val="18"/>
                <w:szCs w:val="18"/>
              </w:rPr>
              <w:t>及蓄电池</w:t>
            </w:r>
            <w:r w:rsidRPr="004865EF">
              <w:rPr>
                <w:rFonts w:ascii="Times New Roman" w:eastAsia="宋体" w:hAnsi="Times New Roman" w:cs="Times New Roman" w:hint="eastAsia"/>
                <w:kern w:val="0"/>
                <w:sz w:val="18"/>
                <w:szCs w:val="18"/>
              </w:rPr>
              <w:t>、变压器、</w:t>
            </w:r>
            <w:r w:rsidRPr="004865EF">
              <w:rPr>
                <w:rFonts w:ascii="Times New Roman" w:eastAsia="宋体" w:hAnsi="Times New Roman" w:cs="Times New Roman" w:hint="eastAsia"/>
                <w:kern w:val="0"/>
                <w:sz w:val="18"/>
                <w:szCs w:val="18"/>
              </w:rPr>
              <w:t>PDU</w:t>
            </w:r>
            <w:r w:rsidRPr="004865EF">
              <w:rPr>
                <w:rFonts w:ascii="Times New Roman" w:eastAsia="宋体" w:hAnsi="Times New Roman" w:cs="Times New Roman" w:hint="eastAsia"/>
                <w:kern w:val="0"/>
                <w:sz w:val="18"/>
                <w:szCs w:val="18"/>
              </w:rPr>
              <w:t>、桥架、线缆、油泵及油路等设备的采购及施工</w:t>
            </w:r>
          </w:p>
        </w:tc>
        <w:tc>
          <w:tcPr>
            <w:tcW w:w="1240" w:type="dxa"/>
            <w:shd w:val="clear" w:color="auto" w:fill="auto"/>
            <w:noWrap/>
            <w:vAlign w:val="center"/>
          </w:tcPr>
          <w:p w14:paraId="158854A8"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57,720.00</w:t>
            </w:r>
          </w:p>
        </w:tc>
        <w:tc>
          <w:tcPr>
            <w:tcW w:w="960" w:type="dxa"/>
            <w:shd w:val="clear" w:color="auto" w:fill="auto"/>
            <w:noWrap/>
            <w:vAlign w:val="center"/>
          </w:tcPr>
          <w:p w14:paraId="2A246E53"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44.40%</w:t>
            </w:r>
          </w:p>
        </w:tc>
        <w:tc>
          <w:tcPr>
            <w:tcW w:w="2629" w:type="dxa"/>
            <w:vMerge w:val="restart"/>
            <w:shd w:val="clear" w:color="auto" w:fill="auto"/>
            <w:noWrap/>
            <w:vAlign w:val="center"/>
          </w:tcPr>
          <w:p w14:paraId="52A92FF5"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w:t>
            </w:r>
            <w:r w:rsidRPr="004865EF">
              <w:rPr>
                <w:rFonts w:ascii="Times New Roman" w:eastAsia="宋体" w:hAnsi="Times New Roman" w:cs="Times New Roman" w:hint="eastAsia"/>
                <w:kern w:val="0"/>
                <w:sz w:val="18"/>
                <w:szCs w:val="18"/>
              </w:rPr>
              <w:t>本</w:t>
            </w:r>
            <w:r w:rsidRPr="004865EF">
              <w:rPr>
                <w:rFonts w:ascii="Times New Roman" w:eastAsia="宋体" w:hAnsi="Times New Roman" w:cs="Times New Roman"/>
                <w:kern w:val="0"/>
                <w:sz w:val="18"/>
                <w:szCs w:val="18"/>
              </w:rPr>
              <w:t>项目规划情况、</w:t>
            </w:r>
            <w:r w:rsidRPr="004865EF">
              <w:rPr>
                <w:rFonts w:ascii="Times New Roman" w:eastAsia="宋体" w:hAnsi="Times New Roman" w:cs="Times New Roman" w:hint="eastAsia"/>
                <w:kern w:val="0"/>
                <w:sz w:val="18"/>
                <w:szCs w:val="18"/>
              </w:rPr>
              <w:t>项目所需的电力及制冷总量、</w:t>
            </w:r>
            <w:r w:rsidRPr="004865EF">
              <w:rPr>
                <w:rFonts w:ascii="Times New Roman" w:eastAsia="宋体" w:hAnsi="Times New Roman" w:cs="Times New Roman"/>
                <w:kern w:val="0"/>
                <w:sz w:val="18"/>
                <w:szCs w:val="18"/>
              </w:rPr>
              <w:t>设备需求</w:t>
            </w:r>
            <w:r w:rsidRPr="004865EF">
              <w:rPr>
                <w:rFonts w:ascii="Times New Roman" w:eastAsia="宋体" w:hAnsi="Times New Roman" w:cs="Times New Roman" w:hint="eastAsia"/>
                <w:kern w:val="0"/>
                <w:sz w:val="18"/>
                <w:szCs w:val="18"/>
              </w:rPr>
              <w:t>预计数量</w:t>
            </w:r>
            <w:r w:rsidRPr="004865EF">
              <w:rPr>
                <w:rFonts w:ascii="Times New Roman" w:eastAsia="宋体" w:hAnsi="Times New Roman" w:cs="Times New Roman"/>
                <w:kern w:val="0"/>
                <w:sz w:val="18"/>
                <w:szCs w:val="18"/>
              </w:rPr>
              <w:t>、市场现行</w:t>
            </w:r>
            <w:r w:rsidRPr="004865EF">
              <w:rPr>
                <w:rFonts w:ascii="Times New Roman" w:eastAsia="宋体" w:hAnsi="Times New Roman" w:cs="Times New Roman" w:hint="eastAsia"/>
                <w:kern w:val="0"/>
                <w:sz w:val="18"/>
                <w:szCs w:val="18"/>
              </w:rPr>
              <w:t>设备通用单价</w:t>
            </w:r>
            <w:r w:rsidRPr="004865EF">
              <w:rPr>
                <w:rFonts w:ascii="Times New Roman" w:eastAsia="宋体" w:hAnsi="Times New Roman" w:cs="Times New Roman"/>
                <w:kern w:val="0"/>
                <w:sz w:val="18"/>
                <w:szCs w:val="18"/>
              </w:rPr>
              <w:t>，</w:t>
            </w:r>
            <w:r w:rsidRPr="004865EF">
              <w:rPr>
                <w:rFonts w:ascii="Times New Roman" w:eastAsia="宋体" w:hAnsi="Times New Roman" w:cs="Times New Roman" w:hint="eastAsia"/>
                <w:kern w:val="0"/>
                <w:sz w:val="18"/>
                <w:szCs w:val="18"/>
              </w:rPr>
              <w:t>并结合公司历史类似项目情况估算系统建设投资</w:t>
            </w:r>
          </w:p>
        </w:tc>
      </w:tr>
      <w:tr w:rsidR="004865EF" w:rsidRPr="004865EF" w14:paraId="5C203A6E" w14:textId="77777777" w:rsidTr="00602898">
        <w:trPr>
          <w:trHeight w:val="397"/>
          <w:jc w:val="center"/>
        </w:trPr>
        <w:tc>
          <w:tcPr>
            <w:tcW w:w="582" w:type="dxa"/>
            <w:shd w:val="clear" w:color="auto" w:fill="auto"/>
            <w:noWrap/>
            <w:vAlign w:val="center"/>
          </w:tcPr>
          <w:p w14:paraId="369BCCB4"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1.3.2</w:t>
            </w:r>
          </w:p>
        </w:tc>
        <w:tc>
          <w:tcPr>
            <w:tcW w:w="1418" w:type="dxa"/>
            <w:shd w:val="clear" w:color="auto" w:fill="auto"/>
            <w:noWrap/>
            <w:vAlign w:val="center"/>
          </w:tcPr>
          <w:p w14:paraId="1208E02C"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空调系统</w:t>
            </w:r>
          </w:p>
        </w:tc>
        <w:tc>
          <w:tcPr>
            <w:tcW w:w="2336" w:type="dxa"/>
            <w:shd w:val="clear" w:color="auto" w:fill="auto"/>
            <w:noWrap/>
            <w:vAlign w:val="center"/>
          </w:tcPr>
          <w:p w14:paraId="798CB619"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冷机、精密空调、水泵、冷却塔</w:t>
            </w:r>
            <w:r w:rsidRPr="004865EF">
              <w:rPr>
                <w:rFonts w:ascii="Times New Roman" w:eastAsia="宋体" w:hAnsi="Times New Roman" w:cs="Times New Roman" w:hint="eastAsia"/>
                <w:kern w:val="0"/>
                <w:sz w:val="18"/>
                <w:szCs w:val="18"/>
              </w:rPr>
              <w:t>、蓄冷罐、新风系统、加湿器</w:t>
            </w:r>
            <w:r w:rsidRPr="004865EF">
              <w:rPr>
                <w:rFonts w:ascii="Times New Roman" w:eastAsia="宋体" w:hAnsi="Times New Roman" w:cs="Times New Roman"/>
                <w:kern w:val="0"/>
                <w:sz w:val="18"/>
                <w:szCs w:val="18"/>
              </w:rPr>
              <w:t>等</w:t>
            </w:r>
            <w:r w:rsidRPr="004865EF">
              <w:rPr>
                <w:rFonts w:ascii="Times New Roman" w:eastAsia="宋体" w:hAnsi="Times New Roman" w:cs="Times New Roman" w:hint="eastAsia"/>
                <w:kern w:val="0"/>
                <w:sz w:val="18"/>
                <w:szCs w:val="18"/>
              </w:rPr>
              <w:t>设备的采购及施工</w:t>
            </w:r>
          </w:p>
        </w:tc>
        <w:tc>
          <w:tcPr>
            <w:tcW w:w="1240" w:type="dxa"/>
            <w:shd w:val="clear" w:color="auto" w:fill="auto"/>
            <w:noWrap/>
            <w:vAlign w:val="center"/>
          </w:tcPr>
          <w:p w14:paraId="2632CD2D"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16,800.00</w:t>
            </w:r>
          </w:p>
        </w:tc>
        <w:tc>
          <w:tcPr>
            <w:tcW w:w="960" w:type="dxa"/>
            <w:shd w:val="clear" w:color="auto" w:fill="auto"/>
            <w:noWrap/>
            <w:vAlign w:val="center"/>
          </w:tcPr>
          <w:p w14:paraId="05F60700"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12.92%</w:t>
            </w:r>
          </w:p>
        </w:tc>
        <w:tc>
          <w:tcPr>
            <w:tcW w:w="2629" w:type="dxa"/>
            <w:vMerge/>
            <w:vAlign w:val="center"/>
          </w:tcPr>
          <w:p w14:paraId="4A7741B3"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640DE238" w14:textId="77777777" w:rsidTr="00602898">
        <w:trPr>
          <w:trHeight w:val="397"/>
          <w:jc w:val="center"/>
        </w:trPr>
        <w:tc>
          <w:tcPr>
            <w:tcW w:w="582" w:type="dxa"/>
            <w:shd w:val="clear" w:color="auto" w:fill="auto"/>
            <w:noWrap/>
            <w:vAlign w:val="center"/>
          </w:tcPr>
          <w:p w14:paraId="5B6E75F6"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1.3.3</w:t>
            </w:r>
          </w:p>
        </w:tc>
        <w:tc>
          <w:tcPr>
            <w:tcW w:w="1418" w:type="dxa"/>
            <w:shd w:val="clear" w:color="auto" w:fill="auto"/>
            <w:noWrap/>
            <w:vAlign w:val="center"/>
          </w:tcPr>
          <w:p w14:paraId="37B03CB4"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弱电系统</w:t>
            </w:r>
          </w:p>
        </w:tc>
        <w:tc>
          <w:tcPr>
            <w:tcW w:w="2336" w:type="dxa"/>
            <w:shd w:val="clear" w:color="auto" w:fill="auto"/>
            <w:noWrap/>
            <w:vAlign w:val="center"/>
          </w:tcPr>
          <w:p w14:paraId="7F15932A" w14:textId="77777777" w:rsidR="00602898" w:rsidRPr="004865EF" w:rsidRDefault="00602898" w:rsidP="00602898">
            <w:pPr>
              <w:widowControl/>
              <w:jc w:val="left"/>
              <w:rPr>
                <w:rFonts w:ascii="Times New Roman" w:eastAsia="宋体" w:hAnsi="Times New Roman" w:cs="Times New Roman"/>
                <w:kern w:val="0"/>
                <w:sz w:val="18"/>
                <w:szCs w:val="18"/>
              </w:rPr>
            </w:pPr>
            <w:proofErr w:type="gramStart"/>
            <w:r w:rsidRPr="004865EF">
              <w:rPr>
                <w:rFonts w:ascii="Times New Roman" w:eastAsia="宋体" w:hAnsi="Times New Roman" w:cs="Times New Roman" w:hint="eastAsia"/>
                <w:kern w:val="0"/>
                <w:sz w:val="18"/>
                <w:szCs w:val="18"/>
              </w:rPr>
              <w:t>动环</w:t>
            </w:r>
            <w:r w:rsidRPr="004865EF">
              <w:rPr>
                <w:rFonts w:ascii="Times New Roman" w:eastAsia="宋体" w:hAnsi="Times New Roman" w:cs="Times New Roman"/>
                <w:kern w:val="0"/>
                <w:sz w:val="18"/>
                <w:szCs w:val="18"/>
              </w:rPr>
              <w:t>系统</w:t>
            </w:r>
            <w:proofErr w:type="gramEnd"/>
            <w:r w:rsidRPr="004865EF">
              <w:rPr>
                <w:rFonts w:ascii="Times New Roman" w:eastAsia="宋体" w:hAnsi="Times New Roman" w:cs="Times New Roman" w:hint="eastAsia"/>
                <w:kern w:val="0"/>
                <w:sz w:val="18"/>
                <w:szCs w:val="18"/>
              </w:rPr>
              <w:t>及</w:t>
            </w:r>
            <w:r w:rsidRPr="004865EF">
              <w:rPr>
                <w:rFonts w:ascii="Times New Roman" w:eastAsia="宋体" w:hAnsi="Times New Roman" w:cs="Times New Roman"/>
                <w:kern w:val="0"/>
                <w:sz w:val="18"/>
                <w:szCs w:val="18"/>
              </w:rPr>
              <w:t>设备</w:t>
            </w:r>
            <w:r w:rsidRPr="004865EF">
              <w:rPr>
                <w:rFonts w:ascii="Times New Roman" w:eastAsia="宋体" w:hAnsi="Times New Roman" w:cs="Times New Roman" w:hint="eastAsia"/>
                <w:kern w:val="0"/>
                <w:sz w:val="18"/>
                <w:szCs w:val="18"/>
              </w:rPr>
              <w:t>、摄像头、门禁、电子围栏</w:t>
            </w:r>
            <w:r w:rsidRPr="004865EF">
              <w:rPr>
                <w:rFonts w:ascii="Times New Roman" w:eastAsia="宋体" w:hAnsi="Times New Roman" w:cs="Times New Roman"/>
                <w:kern w:val="0"/>
                <w:sz w:val="18"/>
                <w:szCs w:val="18"/>
              </w:rPr>
              <w:t>等</w:t>
            </w:r>
            <w:r w:rsidRPr="004865EF">
              <w:rPr>
                <w:rFonts w:ascii="Times New Roman" w:eastAsia="宋体" w:hAnsi="Times New Roman" w:cs="Times New Roman" w:hint="eastAsia"/>
                <w:kern w:val="0"/>
                <w:sz w:val="18"/>
                <w:szCs w:val="18"/>
              </w:rPr>
              <w:t>设备的采购及施工</w:t>
            </w:r>
          </w:p>
        </w:tc>
        <w:tc>
          <w:tcPr>
            <w:tcW w:w="1240" w:type="dxa"/>
            <w:shd w:val="clear" w:color="auto" w:fill="auto"/>
            <w:noWrap/>
            <w:vAlign w:val="center"/>
          </w:tcPr>
          <w:p w14:paraId="79BBA0E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2,078.70</w:t>
            </w:r>
          </w:p>
        </w:tc>
        <w:tc>
          <w:tcPr>
            <w:tcW w:w="960" w:type="dxa"/>
            <w:shd w:val="clear" w:color="auto" w:fill="auto"/>
            <w:noWrap/>
            <w:vAlign w:val="center"/>
          </w:tcPr>
          <w:p w14:paraId="2E1988E1"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1.60%</w:t>
            </w:r>
          </w:p>
        </w:tc>
        <w:tc>
          <w:tcPr>
            <w:tcW w:w="2629" w:type="dxa"/>
            <w:vMerge/>
            <w:vAlign w:val="center"/>
          </w:tcPr>
          <w:p w14:paraId="24A4DF0E"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2C5ED613" w14:textId="77777777" w:rsidTr="00602898">
        <w:trPr>
          <w:trHeight w:val="397"/>
          <w:jc w:val="center"/>
        </w:trPr>
        <w:tc>
          <w:tcPr>
            <w:tcW w:w="582" w:type="dxa"/>
            <w:shd w:val="clear" w:color="auto" w:fill="auto"/>
            <w:noWrap/>
            <w:vAlign w:val="center"/>
          </w:tcPr>
          <w:p w14:paraId="03AC58C9"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1.3.4</w:t>
            </w:r>
          </w:p>
        </w:tc>
        <w:tc>
          <w:tcPr>
            <w:tcW w:w="1418" w:type="dxa"/>
            <w:shd w:val="clear" w:color="auto" w:fill="auto"/>
            <w:noWrap/>
            <w:vAlign w:val="center"/>
          </w:tcPr>
          <w:p w14:paraId="05D6D3B7"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消防系统</w:t>
            </w:r>
          </w:p>
        </w:tc>
        <w:tc>
          <w:tcPr>
            <w:tcW w:w="2336" w:type="dxa"/>
            <w:shd w:val="clear" w:color="auto" w:fill="auto"/>
            <w:noWrap/>
            <w:vAlign w:val="center"/>
          </w:tcPr>
          <w:p w14:paraId="1D84CBE7"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消防公用设施</w:t>
            </w:r>
            <w:r w:rsidRPr="004865EF">
              <w:rPr>
                <w:rFonts w:ascii="Times New Roman" w:eastAsia="宋体" w:hAnsi="Times New Roman" w:cs="Times New Roman" w:hint="eastAsia"/>
                <w:kern w:val="0"/>
                <w:sz w:val="18"/>
                <w:szCs w:val="18"/>
              </w:rPr>
              <w:t>、各模块的喷淋系统、</w:t>
            </w:r>
            <w:r w:rsidRPr="004865EF">
              <w:rPr>
                <w:rFonts w:ascii="Times New Roman" w:eastAsia="宋体" w:hAnsi="Times New Roman" w:cs="Times New Roman" w:hint="eastAsia"/>
                <w:kern w:val="0"/>
                <w:sz w:val="18"/>
                <w:szCs w:val="18"/>
              </w:rPr>
              <w:t>VESDA</w:t>
            </w:r>
            <w:r w:rsidRPr="004865EF">
              <w:rPr>
                <w:rFonts w:ascii="Times New Roman" w:eastAsia="宋体" w:hAnsi="Times New Roman" w:cs="Times New Roman" w:hint="eastAsia"/>
                <w:kern w:val="0"/>
                <w:sz w:val="18"/>
                <w:szCs w:val="18"/>
              </w:rPr>
              <w:t>、防排烟、氢气检测等设备的采购及施工</w:t>
            </w:r>
          </w:p>
        </w:tc>
        <w:tc>
          <w:tcPr>
            <w:tcW w:w="1240" w:type="dxa"/>
            <w:shd w:val="clear" w:color="auto" w:fill="auto"/>
            <w:noWrap/>
            <w:vAlign w:val="center"/>
          </w:tcPr>
          <w:p w14:paraId="0A8F2E25"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2,281.50</w:t>
            </w:r>
          </w:p>
        </w:tc>
        <w:tc>
          <w:tcPr>
            <w:tcW w:w="960" w:type="dxa"/>
            <w:shd w:val="clear" w:color="auto" w:fill="auto"/>
            <w:noWrap/>
            <w:vAlign w:val="center"/>
          </w:tcPr>
          <w:p w14:paraId="31E9F106"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1.76%</w:t>
            </w:r>
          </w:p>
        </w:tc>
        <w:tc>
          <w:tcPr>
            <w:tcW w:w="2629" w:type="dxa"/>
            <w:vMerge w:val="restart"/>
            <w:shd w:val="clear" w:color="auto" w:fill="auto"/>
            <w:noWrap/>
            <w:vAlign w:val="center"/>
          </w:tcPr>
          <w:p w14:paraId="76D033C4"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根据本项目消防设施规划设计并结合公司历史类似项目估算消防工程等公用工程投资</w:t>
            </w:r>
          </w:p>
        </w:tc>
      </w:tr>
      <w:tr w:rsidR="004865EF" w:rsidRPr="004865EF" w14:paraId="328EAADB" w14:textId="77777777" w:rsidTr="00602898">
        <w:trPr>
          <w:trHeight w:val="397"/>
          <w:jc w:val="center"/>
        </w:trPr>
        <w:tc>
          <w:tcPr>
            <w:tcW w:w="582" w:type="dxa"/>
            <w:shd w:val="clear" w:color="auto" w:fill="auto"/>
            <w:noWrap/>
            <w:vAlign w:val="center"/>
          </w:tcPr>
          <w:p w14:paraId="4D4751B8"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1.3.5</w:t>
            </w:r>
          </w:p>
        </w:tc>
        <w:tc>
          <w:tcPr>
            <w:tcW w:w="1418" w:type="dxa"/>
            <w:shd w:val="clear" w:color="auto" w:fill="auto"/>
            <w:noWrap/>
            <w:vAlign w:val="center"/>
          </w:tcPr>
          <w:p w14:paraId="4416F03C"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模块装修</w:t>
            </w:r>
          </w:p>
        </w:tc>
        <w:tc>
          <w:tcPr>
            <w:tcW w:w="2336" w:type="dxa"/>
            <w:shd w:val="clear" w:color="auto" w:fill="auto"/>
            <w:noWrap/>
            <w:vAlign w:val="center"/>
          </w:tcPr>
          <w:p w14:paraId="3F0B1952"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保温棉、铜箔、地板</w:t>
            </w:r>
            <w:r w:rsidRPr="004865EF">
              <w:rPr>
                <w:rFonts w:ascii="Times New Roman" w:eastAsia="宋体" w:hAnsi="Times New Roman" w:cs="Times New Roman" w:hint="eastAsia"/>
                <w:kern w:val="0"/>
                <w:sz w:val="18"/>
                <w:szCs w:val="18"/>
              </w:rPr>
              <w:t>/</w:t>
            </w:r>
            <w:r w:rsidRPr="004865EF">
              <w:rPr>
                <w:rFonts w:ascii="Times New Roman" w:eastAsia="宋体" w:hAnsi="Times New Roman" w:cs="Times New Roman" w:hint="eastAsia"/>
                <w:kern w:val="0"/>
                <w:sz w:val="18"/>
                <w:szCs w:val="18"/>
              </w:rPr>
              <w:t>静电地板、灯具、围笼、冷热通道等设备的采购及施工</w:t>
            </w:r>
          </w:p>
        </w:tc>
        <w:tc>
          <w:tcPr>
            <w:tcW w:w="1240" w:type="dxa"/>
            <w:shd w:val="clear" w:color="auto" w:fill="auto"/>
            <w:noWrap/>
            <w:vAlign w:val="center"/>
          </w:tcPr>
          <w:p w14:paraId="27D72B5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2,028.00</w:t>
            </w:r>
          </w:p>
        </w:tc>
        <w:tc>
          <w:tcPr>
            <w:tcW w:w="960" w:type="dxa"/>
            <w:shd w:val="clear" w:color="auto" w:fill="auto"/>
            <w:noWrap/>
            <w:vAlign w:val="center"/>
          </w:tcPr>
          <w:p w14:paraId="04A7810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1.56%</w:t>
            </w:r>
          </w:p>
        </w:tc>
        <w:tc>
          <w:tcPr>
            <w:tcW w:w="2629" w:type="dxa"/>
            <w:vMerge/>
            <w:vAlign w:val="center"/>
          </w:tcPr>
          <w:p w14:paraId="290EA9A3"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1AC1CDDD" w14:textId="77777777" w:rsidTr="00602898">
        <w:trPr>
          <w:trHeight w:val="397"/>
          <w:jc w:val="center"/>
        </w:trPr>
        <w:tc>
          <w:tcPr>
            <w:tcW w:w="582" w:type="dxa"/>
            <w:shd w:val="clear" w:color="auto" w:fill="auto"/>
            <w:noWrap/>
            <w:vAlign w:val="center"/>
          </w:tcPr>
          <w:p w14:paraId="263D68D4"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1.3.6</w:t>
            </w:r>
          </w:p>
        </w:tc>
        <w:tc>
          <w:tcPr>
            <w:tcW w:w="1418" w:type="dxa"/>
            <w:shd w:val="clear" w:color="auto" w:fill="auto"/>
            <w:noWrap/>
            <w:vAlign w:val="center"/>
          </w:tcPr>
          <w:p w14:paraId="1CEB5B9E"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机柜</w:t>
            </w:r>
          </w:p>
        </w:tc>
        <w:tc>
          <w:tcPr>
            <w:tcW w:w="2336" w:type="dxa"/>
            <w:shd w:val="clear" w:color="auto" w:fill="auto"/>
            <w:noWrap/>
            <w:vAlign w:val="center"/>
          </w:tcPr>
          <w:p w14:paraId="0C2684A2"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柜体设备</w:t>
            </w:r>
          </w:p>
        </w:tc>
        <w:tc>
          <w:tcPr>
            <w:tcW w:w="1240" w:type="dxa"/>
            <w:shd w:val="clear" w:color="auto" w:fill="auto"/>
            <w:noWrap/>
            <w:vAlign w:val="center"/>
          </w:tcPr>
          <w:p w14:paraId="3CBAF239"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2,000.00</w:t>
            </w:r>
          </w:p>
        </w:tc>
        <w:tc>
          <w:tcPr>
            <w:tcW w:w="960" w:type="dxa"/>
            <w:shd w:val="clear" w:color="auto" w:fill="auto"/>
            <w:noWrap/>
            <w:vAlign w:val="center"/>
          </w:tcPr>
          <w:p w14:paraId="6AEB5776"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1.54%</w:t>
            </w:r>
          </w:p>
        </w:tc>
        <w:tc>
          <w:tcPr>
            <w:tcW w:w="2629" w:type="dxa"/>
            <w:vMerge w:val="restart"/>
            <w:shd w:val="clear" w:color="auto" w:fill="auto"/>
            <w:noWrap/>
            <w:vAlign w:val="center"/>
          </w:tcPr>
          <w:p w14:paraId="61873324"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根据购置设备数量、型号并结合公司历史类似项目估算机电安装工程支出</w:t>
            </w:r>
          </w:p>
        </w:tc>
      </w:tr>
      <w:tr w:rsidR="004865EF" w:rsidRPr="004865EF" w14:paraId="04E68889" w14:textId="77777777" w:rsidTr="00602898">
        <w:trPr>
          <w:trHeight w:val="397"/>
          <w:jc w:val="center"/>
        </w:trPr>
        <w:tc>
          <w:tcPr>
            <w:tcW w:w="582" w:type="dxa"/>
            <w:shd w:val="clear" w:color="auto" w:fill="auto"/>
            <w:noWrap/>
            <w:vAlign w:val="center"/>
          </w:tcPr>
          <w:p w14:paraId="18034C56"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1.3.7</w:t>
            </w:r>
          </w:p>
        </w:tc>
        <w:tc>
          <w:tcPr>
            <w:tcW w:w="1418" w:type="dxa"/>
            <w:shd w:val="clear" w:color="auto" w:fill="auto"/>
            <w:noWrap/>
            <w:vAlign w:val="center"/>
          </w:tcPr>
          <w:p w14:paraId="519449CC"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网络系统</w:t>
            </w:r>
          </w:p>
        </w:tc>
        <w:tc>
          <w:tcPr>
            <w:tcW w:w="2336" w:type="dxa"/>
            <w:shd w:val="clear" w:color="auto" w:fill="auto"/>
            <w:noWrap/>
            <w:vAlign w:val="center"/>
          </w:tcPr>
          <w:p w14:paraId="40DFE6AF"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路由器、交换机、检测设备传输设备、防火墙等设备的采购及施工</w:t>
            </w:r>
          </w:p>
        </w:tc>
        <w:tc>
          <w:tcPr>
            <w:tcW w:w="1240" w:type="dxa"/>
            <w:shd w:val="clear" w:color="auto" w:fill="auto"/>
            <w:noWrap/>
            <w:vAlign w:val="center"/>
          </w:tcPr>
          <w:p w14:paraId="68A19DAA"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2,500.00</w:t>
            </w:r>
          </w:p>
        </w:tc>
        <w:tc>
          <w:tcPr>
            <w:tcW w:w="960" w:type="dxa"/>
            <w:shd w:val="clear" w:color="auto" w:fill="auto"/>
            <w:noWrap/>
            <w:vAlign w:val="center"/>
          </w:tcPr>
          <w:p w14:paraId="1B2A77A6"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1.92%</w:t>
            </w:r>
          </w:p>
        </w:tc>
        <w:tc>
          <w:tcPr>
            <w:tcW w:w="2629" w:type="dxa"/>
            <w:vMerge/>
            <w:vAlign w:val="center"/>
          </w:tcPr>
          <w:p w14:paraId="473CDC91"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29C68739" w14:textId="77777777" w:rsidTr="00602898">
        <w:trPr>
          <w:trHeight w:val="397"/>
          <w:jc w:val="center"/>
        </w:trPr>
        <w:tc>
          <w:tcPr>
            <w:tcW w:w="582" w:type="dxa"/>
            <w:shd w:val="clear" w:color="auto" w:fill="auto"/>
            <w:noWrap/>
            <w:vAlign w:val="center"/>
          </w:tcPr>
          <w:p w14:paraId="1B10ABCA"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1.4</w:t>
            </w:r>
          </w:p>
        </w:tc>
        <w:tc>
          <w:tcPr>
            <w:tcW w:w="1418" w:type="dxa"/>
            <w:shd w:val="clear" w:color="auto" w:fill="auto"/>
            <w:noWrap/>
            <w:vAlign w:val="center"/>
          </w:tcPr>
          <w:p w14:paraId="699B2AD0"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其他费用</w:t>
            </w:r>
          </w:p>
        </w:tc>
        <w:tc>
          <w:tcPr>
            <w:tcW w:w="2336" w:type="dxa"/>
            <w:shd w:val="clear" w:color="auto" w:fill="auto"/>
            <w:noWrap/>
            <w:vAlign w:val="center"/>
          </w:tcPr>
          <w:p w14:paraId="00C663E1"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前期费用、设计费用、监理费用、建设单位管理费用等</w:t>
            </w:r>
          </w:p>
        </w:tc>
        <w:tc>
          <w:tcPr>
            <w:tcW w:w="1240" w:type="dxa"/>
            <w:shd w:val="clear" w:color="auto" w:fill="auto"/>
            <w:noWrap/>
            <w:vAlign w:val="center"/>
          </w:tcPr>
          <w:p w14:paraId="55F25AF2"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726.80</w:t>
            </w:r>
          </w:p>
        </w:tc>
        <w:tc>
          <w:tcPr>
            <w:tcW w:w="960" w:type="dxa"/>
            <w:shd w:val="clear" w:color="auto" w:fill="auto"/>
            <w:noWrap/>
            <w:vAlign w:val="center"/>
          </w:tcPr>
          <w:p w14:paraId="4D97D633"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0.56%</w:t>
            </w:r>
          </w:p>
        </w:tc>
        <w:tc>
          <w:tcPr>
            <w:tcW w:w="2629" w:type="dxa"/>
            <w:shd w:val="clear" w:color="auto" w:fill="auto"/>
            <w:noWrap/>
            <w:vAlign w:val="center"/>
          </w:tcPr>
          <w:p w14:paraId="55013120"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根据本项目投资规模、设计及建设特点结合公司历史类似项目估算</w:t>
            </w:r>
          </w:p>
        </w:tc>
      </w:tr>
      <w:tr w:rsidR="004865EF" w:rsidRPr="004865EF" w14:paraId="070345BE" w14:textId="77777777" w:rsidTr="00602898">
        <w:trPr>
          <w:trHeight w:val="397"/>
          <w:jc w:val="center"/>
        </w:trPr>
        <w:tc>
          <w:tcPr>
            <w:tcW w:w="582" w:type="dxa"/>
            <w:shd w:val="clear" w:color="auto" w:fill="auto"/>
            <w:noWrap/>
            <w:vAlign w:val="center"/>
          </w:tcPr>
          <w:p w14:paraId="403E4D14"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w:t>
            </w:r>
          </w:p>
        </w:tc>
        <w:tc>
          <w:tcPr>
            <w:tcW w:w="1418" w:type="dxa"/>
            <w:shd w:val="clear" w:color="auto" w:fill="auto"/>
            <w:noWrap/>
            <w:vAlign w:val="center"/>
          </w:tcPr>
          <w:p w14:paraId="311FDB06"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铺底流动资金</w:t>
            </w:r>
          </w:p>
        </w:tc>
        <w:tc>
          <w:tcPr>
            <w:tcW w:w="2336" w:type="dxa"/>
            <w:shd w:val="clear" w:color="auto" w:fill="auto"/>
            <w:noWrap/>
            <w:vAlign w:val="center"/>
          </w:tcPr>
          <w:p w14:paraId="2E223818" w14:textId="77777777" w:rsidR="00602898" w:rsidRPr="004865EF" w:rsidRDefault="00602898" w:rsidP="00602898">
            <w:pPr>
              <w:widowControl/>
              <w:jc w:val="left"/>
              <w:rPr>
                <w:rFonts w:ascii="Times New Roman" w:eastAsia="宋体" w:hAnsi="Times New Roman" w:cs="Times New Roman"/>
                <w:kern w:val="0"/>
                <w:sz w:val="18"/>
                <w:szCs w:val="18"/>
              </w:rPr>
            </w:pPr>
          </w:p>
        </w:tc>
        <w:tc>
          <w:tcPr>
            <w:tcW w:w="1240" w:type="dxa"/>
            <w:shd w:val="clear" w:color="auto" w:fill="auto"/>
            <w:noWrap/>
            <w:vAlign w:val="center"/>
          </w:tcPr>
          <w:p w14:paraId="71CEAC0F"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2,000.00</w:t>
            </w:r>
          </w:p>
        </w:tc>
        <w:tc>
          <w:tcPr>
            <w:tcW w:w="960" w:type="dxa"/>
            <w:shd w:val="clear" w:color="auto" w:fill="auto"/>
            <w:noWrap/>
            <w:vAlign w:val="center"/>
          </w:tcPr>
          <w:p w14:paraId="20ABB642"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1.54%</w:t>
            </w:r>
          </w:p>
        </w:tc>
        <w:tc>
          <w:tcPr>
            <w:tcW w:w="2629" w:type="dxa"/>
            <w:shd w:val="clear" w:color="auto" w:fill="auto"/>
            <w:noWrap/>
            <w:vAlign w:val="center"/>
          </w:tcPr>
          <w:p w14:paraId="767BD0B9"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781E18AA" w14:textId="77777777" w:rsidTr="00602898">
        <w:trPr>
          <w:trHeight w:val="397"/>
          <w:jc w:val="center"/>
        </w:trPr>
        <w:tc>
          <w:tcPr>
            <w:tcW w:w="4336" w:type="dxa"/>
            <w:gridSpan w:val="3"/>
            <w:shd w:val="clear" w:color="auto" w:fill="auto"/>
            <w:noWrap/>
            <w:vAlign w:val="center"/>
          </w:tcPr>
          <w:p w14:paraId="23973928"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合计</w:t>
            </w:r>
          </w:p>
        </w:tc>
        <w:tc>
          <w:tcPr>
            <w:tcW w:w="1240" w:type="dxa"/>
            <w:shd w:val="clear" w:color="auto" w:fill="auto"/>
            <w:noWrap/>
            <w:vAlign w:val="center"/>
          </w:tcPr>
          <w:p w14:paraId="7B7870AB" w14:textId="77777777" w:rsidR="00602898" w:rsidRPr="004865EF" w:rsidRDefault="00602898" w:rsidP="00602898">
            <w:pPr>
              <w:widowControl/>
              <w:jc w:val="right"/>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130,000.00</w:t>
            </w:r>
          </w:p>
        </w:tc>
        <w:tc>
          <w:tcPr>
            <w:tcW w:w="960" w:type="dxa"/>
            <w:shd w:val="clear" w:color="auto" w:fill="auto"/>
            <w:noWrap/>
            <w:vAlign w:val="center"/>
          </w:tcPr>
          <w:p w14:paraId="568758B7" w14:textId="77777777" w:rsidR="00602898" w:rsidRPr="004865EF" w:rsidRDefault="00602898" w:rsidP="00602898">
            <w:pPr>
              <w:widowControl/>
              <w:jc w:val="right"/>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100.00%</w:t>
            </w:r>
          </w:p>
        </w:tc>
        <w:tc>
          <w:tcPr>
            <w:tcW w:w="2629" w:type="dxa"/>
            <w:shd w:val="clear" w:color="auto" w:fill="auto"/>
            <w:noWrap/>
            <w:vAlign w:val="center"/>
          </w:tcPr>
          <w:p w14:paraId="2163436B" w14:textId="77777777" w:rsidR="00602898" w:rsidRPr="004865EF" w:rsidRDefault="00602898" w:rsidP="00602898">
            <w:pPr>
              <w:widowControl/>
              <w:jc w:val="left"/>
              <w:rPr>
                <w:rFonts w:ascii="Times New Roman" w:eastAsia="宋体" w:hAnsi="Times New Roman" w:cs="Times New Roman"/>
                <w:b/>
                <w:kern w:val="0"/>
                <w:sz w:val="18"/>
                <w:szCs w:val="18"/>
              </w:rPr>
            </w:pPr>
          </w:p>
        </w:tc>
      </w:tr>
    </w:tbl>
    <w:p w14:paraId="35A525D3"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3</w:t>
      </w:r>
      <w:r w:rsidRPr="004865EF">
        <w:rPr>
          <w:rFonts w:ascii="Times New Roman" w:eastAsia="宋体" w:hAnsi="Times New Roman" w:cs="Times New Roman" w:hint="eastAsia"/>
          <w:sz w:val="24"/>
        </w:rPr>
        <w:t>、</w:t>
      </w:r>
      <w:proofErr w:type="gramStart"/>
      <w:r w:rsidRPr="004865EF">
        <w:rPr>
          <w:rFonts w:ascii="Times New Roman" w:eastAsia="宋体" w:hAnsi="Times New Roman" w:cs="Times New Roman" w:hint="eastAsia"/>
          <w:sz w:val="24"/>
        </w:rPr>
        <w:t>向智达云创增资</w:t>
      </w:r>
      <w:proofErr w:type="gramEnd"/>
      <w:r w:rsidRPr="004865EF">
        <w:rPr>
          <w:rFonts w:ascii="Times New Roman" w:eastAsia="宋体" w:hAnsi="Times New Roman" w:cs="Times New Roman" w:hint="eastAsia"/>
          <w:sz w:val="24"/>
        </w:rPr>
        <w:t>取得</w:t>
      </w:r>
      <w:r w:rsidRPr="004865EF">
        <w:rPr>
          <w:rFonts w:ascii="Times New Roman" w:eastAsia="宋体" w:hAnsi="Times New Roman" w:cs="Times New Roman" w:hint="eastAsia"/>
          <w:sz w:val="24"/>
        </w:rPr>
        <w:t>65%</w:t>
      </w:r>
      <w:r w:rsidRPr="004865EF">
        <w:rPr>
          <w:rFonts w:ascii="Times New Roman" w:eastAsia="宋体" w:hAnsi="Times New Roman" w:cs="Times New Roman" w:hint="eastAsia"/>
          <w:sz w:val="24"/>
        </w:rPr>
        <w:t>股权并投资建设燕郊绿色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基地三四期</w:t>
      </w:r>
    </w:p>
    <w:p w14:paraId="1BA8D111" w14:textId="4D0C6CFA"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燕郊三四期</w:t>
      </w:r>
      <w:r w:rsidRPr="004865EF">
        <w:rPr>
          <w:rFonts w:ascii="Times New Roman" w:eastAsia="宋体" w:hAnsi="Times New Roman" w:cs="Times New Roman" w:hint="eastAsia"/>
          <w:sz w:val="24"/>
        </w:rPr>
        <w:t>项目总投资</w:t>
      </w:r>
      <w:r w:rsidRPr="004865EF">
        <w:rPr>
          <w:rFonts w:ascii="Times New Roman" w:eastAsia="宋体" w:hAnsi="Times New Roman" w:cs="Times New Roman"/>
          <w:sz w:val="24"/>
        </w:rPr>
        <w:t>298,600.00</w:t>
      </w:r>
      <w:r w:rsidRPr="004865EF">
        <w:rPr>
          <w:rFonts w:ascii="Times New Roman" w:eastAsia="宋体" w:hAnsi="Times New Roman" w:cs="Times New Roman" w:hint="eastAsia"/>
          <w:sz w:val="24"/>
        </w:rPr>
        <w:t>万元，计划建设</w:t>
      </w:r>
      <w:r w:rsidRPr="004865EF">
        <w:rPr>
          <w:rFonts w:ascii="Times New Roman" w:eastAsia="宋体" w:hAnsi="Times New Roman" w:cs="Times New Roman" w:hint="eastAsia"/>
          <w:sz w:val="24"/>
        </w:rPr>
        <w:t>15,000</w:t>
      </w:r>
      <w:r w:rsidRPr="004865EF">
        <w:rPr>
          <w:rFonts w:ascii="Times New Roman" w:eastAsia="宋体" w:hAnsi="Times New Roman" w:cs="Times New Roman" w:hint="eastAsia"/>
          <w:sz w:val="24"/>
        </w:rPr>
        <w:t>个</w:t>
      </w:r>
      <w:r w:rsidR="00BF021C" w:rsidRPr="004865EF">
        <w:rPr>
          <w:rFonts w:ascii="楷体" w:eastAsia="楷体" w:hAnsi="楷体" w:cs="Times New Roman" w:hint="eastAsia"/>
          <w:b/>
          <w:sz w:val="24"/>
        </w:rPr>
        <w:t>5KW</w:t>
      </w:r>
      <w:r w:rsidRPr="004865EF">
        <w:rPr>
          <w:rFonts w:ascii="Times New Roman" w:eastAsia="宋体" w:hAnsi="Times New Roman" w:cs="Times New Roman" w:hint="eastAsia"/>
          <w:sz w:val="24"/>
        </w:rPr>
        <w:t>机柜，其中资本性支出</w:t>
      </w:r>
      <w:r w:rsidRPr="004865EF">
        <w:rPr>
          <w:rFonts w:ascii="Times New Roman" w:eastAsia="宋体" w:hAnsi="Times New Roman" w:cs="Times New Roman"/>
          <w:sz w:val="24"/>
        </w:rPr>
        <w:t>297,600.00</w:t>
      </w:r>
      <w:r w:rsidRPr="004865EF">
        <w:rPr>
          <w:rFonts w:ascii="Times New Roman" w:eastAsia="宋体" w:hAnsi="Times New Roman" w:cs="Times New Roman" w:hint="eastAsia"/>
          <w:sz w:val="24"/>
        </w:rPr>
        <w:t>万元，具体包括工程建设支出、设备购置支出以及其他费用支出。</w:t>
      </w:r>
      <w:r w:rsidRPr="004865EF">
        <w:rPr>
          <w:rFonts w:ascii="Times New Roman" w:eastAsia="宋体" w:hAnsi="Times New Roman" w:cs="Times New Roman"/>
          <w:sz w:val="24"/>
        </w:rPr>
        <w:t>燕郊三四期</w:t>
      </w:r>
      <w:r w:rsidRPr="004865EF">
        <w:rPr>
          <w:rFonts w:ascii="Times New Roman" w:eastAsia="宋体" w:hAnsi="Times New Roman" w:cs="Times New Roman" w:hint="eastAsia"/>
          <w:sz w:val="24"/>
        </w:rPr>
        <w:t>项目投资构成及募集资金预计投入情况如下：</w:t>
      </w:r>
    </w:p>
    <w:p w14:paraId="3669429B" w14:textId="77777777" w:rsidR="00602898" w:rsidRPr="004865EF" w:rsidRDefault="00602898" w:rsidP="00602898">
      <w:pPr>
        <w:ind w:firstLineChars="200" w:firstLine="42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单位：万元</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00"/>
        <w:gridCol w:w="1500"/>
        <w:gridCol w:w="957"/>
        <w:gridCol w:w="1335"/>
        <w:gridCol w:w="1219"/>
        <w:gridCol w:w="1004"/>
      </w:tblGrid>
      <w:tr w:rsidR="004865EF" w:rsidRPr="004865EF" w14:paraId="325C04AB" w14:textId="77777777" w:rsidTr="00A66425">
        <w:trPr>
          <w:trHeight w:val="397"/>
          <w:tblHeader/>
        </w:trPr>
        <w:tc>
          <w:tcPr>
            <w:tcW w:w="960" w:type="dxa"/>
            <w:vMerge w:val="restart"/>
            <w:shd w:val="clear" w:color="auto" w:fill="auto"/>
            <w:noWrap/>
            <w:vAlign w:val="center"/>
            <w:hideMark/>
          </w:tcPr>
          <w:p w14:paraId="7F2D0E72"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序号</w:t>
            </w:r>
          </w:p>
        </w:tc>
        <w:tc>
          <w:tcPr>
            <w:tcW w:w="1500" w:type="dxa"/>
            <w:vMerge w:val="restart"/>
            <w:shd w:val="clear" w:color="auto" w:fill="auto"/>
            <w:noWrap/>
            <w:vAlign w:val="center"/>
            <w:hideMark/>
          </w:tcPr>
          <w:p w14:paraId="7E9018F5"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内容</w:t>
            </w:r>
          </w:p>
        </w:tc>
        <w:tc>
          <w:tcPr>
            <w:tcW w:w="1500" w:type="dxa"/>
            <w:vMerge w:val="restart"/>
            <w:shd w:val="clear" w:color="auto" w:fill="auto"/>
            <w:noWrap/>
            <w:vAlign w:val="center"/>
            <w:hideMark/>
          </w:tcPr>
          <w:p w14:paraId="791A5E45"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金额</w:t>
            </w:r>
          </w:p>
        </w:tc>
        <w:tc>
          <w:tcPr>
            <w:tcW w:w="957" w:type="dxa"/>
            <w:vMerge w:val="restart"/>
            <w:vAlign w:val="center"/>
          </w:tcPr>
          <w:p w14:paraId="039F733B"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是否为资本性支出</w:t>
            </w:r>
          </w:p>
        </w:tc>
        <w:tc>
          <w:tcPr>
            <w:tcW w:w="1335" w:type="dxa"/>
            <w:vMerge w:val="restart"/>
            <w:shd w:val="clear" w:color="auto" w:fill="auto"/>
            <w:noWrap/>
            <w:vAlign w:val="center"/>
            <w:hideMark/>
          </w:tcPr>
          <w:p w14:paraId="17146325"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董事会日</w:t>
            </w:r>
            <w:r w:rsidRPr="004865EF">
              <w:rPr>
                <w:rFonts w:ascii="Times New Roman" w:eastAsia="宋体" w:hAnsi="Times New Roman" w:cs="Times New Roman"/>
                <w:b/>
                <w:kern w:val="0"/>
                <w:szCs w:val="21"/>
              </w:rPr>
              <w:t>前已投入</w:t>
            </w:r>
          </w:p>
        </w:tc>
        <w:tc>
          <w:tcPr>
            <w:tcW w:w="2223" w:type="dxa"/>
            <w:gridSpan w:val="2"/>
            <w:shd w:val="clear" w:color="auto" w:fill="auto"/>
            <w:noWrap/>
            <w:vAlign w:val="center"/>
            <w:hideMark/>
          </w:tcPr>
          <w:p w14:paraId="042C4B93"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募集资金投入</w:t>
            </w:r>
          </w:p>
        </w:tc>
      </w:tr>
      <w:tr w:rsidR="004865EF" w:rsidRPr="004865EF" w14:paraId="073305D2" w14:textId="77777777" w:rsidTr="00A66425">
        <w:trPr>
          <w:trHeight w:val="397"/>
          <w:tblHeader/>
        </w:trPr>
        <w:tc>
          <w:tcPr>
            <w:tcW w:w="960" w:type="dxa"/>
            <w:vMerge/>
            <w:vAlign w:val="center"/>
            <w:hideMark/>
          </w:tcPr>
          <w:p w14:paraId="0F2BEBCA" w14:textId="77777777" w:rsidR="00602898" w:rsidRPr="004865EF" w:rsidRDefault="00602898" w:rsidP="00602898">
            <w:pPr>
              <w:widowControl/>
              <w:jc w:val="center"/>
              <w:rPr>
                <w:rFonts w:ascii="Times New Roman" w:eastAsia="宋体" w:hAnsi="Times New Roman" w:cs="Times New Roman"/>
                <w:b/>
                <w:kern w:val="0"/>
                <w:szCs w:val="21"/>
              </w:rPr>
            </w:pPr>
          </w:p>
        </w:tc>
        <w:tc>
          <w:tcPr>
            <w:tcW w:w="1500" w:type="dxa"/>
            <w:vMerge/>
            <w:vAlign w:val="center"/>
            <w:hideMark/>
          </w:tcPr>
          <w:p w14:paraId="23016BCB" w14:textId="77777777" w:rsidR="00602898" w:rsidRPr="004865EF" w:rsidRDefault="00602898" w:rsidP="00602898">
            <w:pPr>
              <w:widowControl/>
              <w:jc w:val="center"/>
              <w:rPr>
                <w:rFonts w:ascii="Times New Roman" w:eastAsia="宋体" w:hAnsi="Times New Roman" w:cs="Times New Roman"/>
                <w:b/>
                <w:kern w:val="0"/>
                <w:szCs w:val="21"/>
              </w:rPr>
            </w:pPr>
          </w:p>
        </w:tc>
        <w:tc>
          <w:tcPr>
            <w:tcW w:w="1500" w:type="dxa"/>
            <w:vMerge/>
            <w:vAlign w:val="center"/>
            <w:hideMark/>
          </w:tcPr>
          <w:p w14:paraId="08910232" w14:textId="77777777" w:rsidR="00602898" w:rsidRPr="004865EF" w:rsidRDefault="00602898" w:rsidP="00602898">
            <w:pPr>
              <w:widowControl/>
              <w:jc w:val="center"/>
              <w:rPr>
                <w:rFonts w:ascii="Times New Roman" w:eastAsia="宋体" w:hAnsi="Times New Roman" w:cs="Times New Roman"/>
                <w:b/>
                <w:kern w:val="0"/>
                <w:szCs w:val="21"/>
              </w:rPr>
            </w:pPr>
          </w:p>
        </w:tc>
        <w:tc>
          <w:tcPr>
            <w:tcW w:w="957" w:type="dxa"/>
            <w:vMerge/>
            <w:vAlign w:val="center"/>
          </w:tcPr>
          <w:p w14:paraId="3E0DFB86" w14:textId="77777777" w:rsidR="00602898" w:rsidRPr="004865EF" w:rsidRDefault="00602898" w:rsidP="00602898">
            <w:pPr>
              <w:widowControl/>
              <w:jc w:val="center"/>
              <w:rPr>
                <w:rFonts w:ascii="Times New Roman" w:eastAsia="宋体" w:hAnsi="Times New Roman" w:cs="Times New Roman"/>
                <w:b/>
                <w:kern w:val="0"/>
                <w:szCs w:val="21"/>
              </w:rPr>
            </w:pPr>
          </w:p>
        </w:tc>
        <w:tc>
          <w:tcPr>
            <w:tcW w:w="1335" w:type="dxa"/>
            <w:vMerge/>
            <w:vAlign w:val="center"/>
            <w:hideMark/>
          </w:tcPr>
          <w:p w14:paraId="397728D5" w14:textId="77777777" w:rsidR="00602898" w:rsidRPr="004865EF" w:rsidRDefault="00602898" w:rsidP="00602898">
            <w:pPr>
              <w:widowControl/>
              <w:jc w:val="center"/>
              <w:rPr>
                <w:rFonts w:ascii="Times New Roman" w:eastAsia="宋体" w:hAnsi="Times New Roman" w:cs="Times New Roman"/>
                <w:b/>
                <w:kern w:val="0"/>
                <w:szCs w:val="21"/>
              </w:rPr>
            </w:pPr>
          </w:p>
        </w:tc>
        <w:tc>
          <w:tcPr>
            <w:tcW w:w="1219" w:type="dxa"/>
            <w:shd w:val="clear" w:color="auto" w:fill="auto"/>
            <w:noWrap/>
            <w:vAlign w:val="center"/>
            <w:hideMark/>
          </w:tcPr>
          <w:p w14:paraId="2B665576"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金额</w:t>
            </w:r>
          </w:p>
        </w:tc>
        <w:tc>
          <w:tcPr>
            <w:tcW w:w="1004" w:type="dxa"/>
            <w:shd w:val="clear" w:color="auto" w:fill="auto"/>
            <w:noWrap/>
            <w:vAlign w:val="center"/>
            <w:hideMark/>
          </w:tcPr>
          <w:p w14:paraId="0FE960CB"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占比</w:t>
            </w:r>
          </w:p>
        </w:tc>
      </w:tr>
      <w:tr w:rsidR="004865EF" w:rsidRPr="004865EF" w14:paraId="0181ADB0" w14:textId="77777777" w:rsidTr="00A66425">
        <w:trPr>
          <w:trHeight w:val="397"/>
        </w:trPr>
        <w:tc>
          <w:tcPr>
            <w:tcW w:w="960" w:type="dxa"/>
            <w:shd w:val="clear" w:color="auto" w:fill="auto"/>
            <w:noWrap/>
            <w:vAlign w:val="center"/>
            <w:hideMark/>
          </w:tcPr>
          <w:p w14:paraId="4B72F3FF"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w:t>
            </w:r>
          </w:p>
        </w:tc>
        <w:tc>
          <w:tcPr>
            <w:tcW w:w="1500" w:type="dxa"/>
            <w:shd w:val="clear" w:color="auto" w:fill="auto"/>
            <w:noWrap/>
            <w:vAlign w:val="center"/>
            <w:hideMark/>
          </w:tcPr>
          <w:p w14:paraId="14076C02"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项目资本支出</w:t>
            </w:r>
          </w:p>
        </w:tc>
        <w:tc>
          <w:tcPr>
            <w:tcW w:w="1500" w:type="dxa"/>
            <w:shd w:val="clear" w:color="auto" w:fill="auto"/>
            <w:noWrap/>
            <w:vAlign w:val="center"/>
            <w:hideMark/>
          </w:tcPr>
          <w:p w14:paraId="7BC7518E"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297,600.00</w:t>
            </w:r>
          </w:p>
        </w:tc>
        <w:tc>
          <w:tcPr>
            <w:tcW w:w="957" w:type="dxa"/>
            <w:vAlign w:val="center"/>
          </w:tcPr>
          <w:p w14:paraId="2890A3B5"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35" w:type="dxa"/>
            <w:shd w:val="clear" w:color="auto" w:fill="auto"/>
            <w:noWrap/>
            <w:vAlign w:val="center"/>
            <w:hideMark/>
          </w:tcPr>
          <w:p w14:paraId="4FE5189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28,198.94</w:t>
            </w:r>
          </w:p>
        </w:tc>
        <w:tc>
          <w:tcPr>
            <w:tcW w:w="1219" w:type="dxa"/>
            <w:shd w:val="clear" w:color="auto" w:fill="auto"/>
            <w:noWrap/>
            <w:vAlign w:val="center"/>
            <w:hideMark/>
          </w:tcPr>
          <w:p w14:paraId="22EE3247"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152,000.00</w:t>
            </w:r>
          </w:p>
        </w:tc>
        <w:tc>
          <w:tcPr>
            <w:tcW w:w="1004" w:type="dxa"/>
            <w:shd w:val="clear" w:color="auto" w:fill="auto"/>
            <w:noWrap/>
            <w:vAlign w:val="center"/>
            <w:hideMark/>
          </w:tcPr>
          <w:p w14:paraId="270B8F35"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100.00%</w:t>
            </w:r>
          </w:p>
        </w:tc>
      </w:tr>
      <w:tr w:rsidR="004865EF" w:rsidRPr="004865EF" w14:paraId="4504F87B" w14:textId="77777777" w:rsidTr="00A66425">
        <w:trPr>
          <w:trHeight w:val="397"/>
        </w:trPr>
        <w:tc>
          <w:tcPr>
            <w:tcW w:w="960" w:type="dxa"/>
            <w:shd w:val="clear" w:color="auto" w:fill="auto"/>
            <w:noWrap/>
            <w:vAlign w:val="center"/>
            <w:hideMark/>
          </w:tcPr>
          <w:p w14:paraId="66F0ECB6"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lastRenderedPageBreak/>
              <w:t>1.1</w:t>
            </w:r>
          </w:p>
        </w:tc>
        <w:tc>
          <w:tcPr>
            <w:tcW w:w="1500" w:type="dxa"/>
            <w:shd w:val="clear" w:color="auto" w:fill="auto"/>
            <w:noWrap/>
            <w:vAlign w:val="center"/>
            <w:hideMark/>
          </w:tcPr>
          <w:p w14:paraId="43B5EFAA"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工程建设</w:t>
            </w:r>
          </w:p>
        </w:tc>
        <w:tc>
          <w:tcPr>
            <w:tcW w:w="1500" w:type="dxa"/>
            <w:shd w:val="clear" w:color="auto" w:fill="auto"/>
            <w:noWrap/>
            <w:vAlign w:val="center"/>
            <w:hideMark/>
          </w:tcPr>
          <w:p w14:paraId="35B82121"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78,550.00</w:t>
            </w:r>
          </w:p>
        </w:tc>
        <w:tc>
          <w:tcPr>
            <w:tcW w:w="957" w:type="dxa"/>
            <w:vAlign w:val="center"/>
          </w:tcPr>
          <w:p w14:paraId="73DBB6B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35" w:type="dxa"/>
            <w:shd w:val="clear" w:color="auto" w:fill="auto"/>
            <w:noWrap/>
            <w:vAlign w:val="center"/>
            <w:hideMark/>
          </w:tcPr>
          <w:p w14:paraId="4EFC9DFC"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28,123.08</w:t>
            </w:r>
          </w:p>
        </w:tc>
        <w:tc>
          <w:tcPr>
            <w:tcW w:w="1219" w:type="dxa"/>
            <w:shd w:val="clear" w:color="auto" w:fill="auto"/>
            <w:noWrap/>
            <w:vAlign w:val="center"/>
            <w:hideMark/>
          </w:tcPr>
          <w:p w14:paraId="4C45A5C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50,426.92</w:t>
            </w:r>
          </w:p>
        </w:tc>
        <w:tc>
          <w:tcPr>
            <w:tcW w:w="1004" w:type="dxa"/>
            <w:shd w:val="clear" w:color="auto" w:fill="auto"/>
            <w:noWrap/>
            <w:vAlign w:val="center"/>
            <w:hideMark/>
          </w:tcPr>
          <w:p w14:paraId="26F5F6AC"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33.18%</w:t>
            </w:r>
          </w:p>
        </w:tc>
      </w:tr>
      <w:tr w:rsidR="004865EF" w:rsidRPr="004865EF" w14:paraId="1851BA65" w14:textId="77777777" w:rsidTr="00A66425">
        <w:trPr>
          <w:trHeight w:val="397"/>
        </w:trPr>
        <w:tc>
          <w:tcPr>
            <w:tcW w:w="960" w:type="dxa"/>
            <w:shd w:val="clear" w:color="auto" w:fill="auto"/>
            <w:noWrap/>
            <w:vAlign w:val="center"/>
            <w:hideMark/>
          </w:tcPr>
          <w:p w14:paraId="6ABD51E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1.2</w:t>
            </w:r>
          </w:p>
        </w:tc>
        <w:tc>
          <w:tcPr>
            <w:tcW w:w="1500" w:type="dxa"/>
            <w:shd w:val="clear" w:color="auto" w:fill="auto"/>
            <w:noWrap/>
            <w:vAlign w:val="center"/>
            <w:hideMark/>
          </w:tcPr>
          <w:p w14:paraId="7BFC3F91"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设备购置</w:t>
            </w:r>
          </w:p>
        </w:tc>
        <w:tc>
          <w:tcPr>
            <w:tcW w:w="1500" w:type="dxa"/>
            <w:shd w:val="clear" w:color="auto" w:fill="auto"/>
            <w:noWrap/>
            <w:vAlign w:val="center"/>
            <w:hideMark/>
          </w:tcPr>
          <w:p w14:paraId="171F9B69"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217,190.00</w:t>
            </w:r>
          </w:p>
        </w:tc>
        <w:tc>
          <w:tcPr>
            <w:tcW w:w="957" w:type="dxa"/>
            <w:vAlign w:val="center"/>
          </w:tcPr>
          <w:p w14:paraId="3299B6AE"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35" w:type="dxa"/>
            <w:shd w:val="clear" w:color="auto" w:fill="auto"/>
            <w:noWrap/>
            <w:vAlign w:val="center"/>
            <w:hideMark/>
          </w:tcPr>
          <w:p w14:paraId="4E01F924"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1219" w:type="dxa"/>
            <w:shd w:val="clear" w:color="auto" w:fill="auto"/>
            <w:noWrap/>
            <w:vAlign w:val="center"/>
            <w:hideMark/>
          </w:tcPr>
          <w:p w14:paraId="3CBFC24E"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101,573.08</w:t>
            </w:r>
          </w:p>
        </w:tc>
        <w:tc>
          <w:tcPr>
            <w:tcW w:w="1004" w:type="dxa"/>
            <w:shd w:val="clear" w:color="auto" w:fill="auto"/>
            <w:noWrap/>
            <w:vAlign w:val="center"/>
            <w:hideMark/>
          </w:tcPr>
          <w:p w14:paraId="238DF73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66.82%</w:t>
            </w:r>
          </w:p>
        </w:tc>
      </w:tr>
      <w:tr w:rsidR="004865EF" w:rsidRPr="004865EF" w14:paraId="7616E866" w14:textId="77777777" w:rsidTr="00A66425">
        <w:trPr>
          <w:trHeight w:val="397"/>
        </w:trPr>
        <w:tc>
          <w:tcPr>
            <w:tcW w:w="960" w:type="dxa"/>
            <w:shd w:val="clear" w:color="auto" w:fill="auto"/>
            <w:noWrap/>
            <w:vAlign w:val="center"/>
            <w:hideMark/>
          </w:tcPr>
          <w:p w14:paraId="12687E2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1.3</w:t>
            </w:r>
          </w:p>
        </w:tc>
        <w:tc>
          <w:tcPr>
            <w:tcW w:w="1500" w:type="dxa"/>
            <w:shd w:val="clear" w:color="auto" w:fill="auto"/>
            <w:noWrap/>
            <w:vAlign w:val="center"/>
            <w:hideMark/>
          </w:tcPr>
          <w:p w14:paraId="4DBB4566"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其他费用</w:t>
            </w:r>
          </w:p>
        </w:tc>
        <w:tc>
          <w:tcPr>
            <w:tcW w:w="1500" w:type="dxa"/>
            <w:shd w:val="clear" w:color="auto" w:fill="auto"/>
            <w:noWrap/>
            <w:vAlign w:val="center"/>
            <w:hideMark/>
          </w:tcPr>
          <w:p w14:paraId="2462479A"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1,860.00</w:t>
            </w:r>
          </w:p>
        </w:tc>
        <w:tc>
          <w:tcPr>
            <w:tcW w:w="957" w:type="dxa"/>
            <w:vAlign w:val="center"/>
          </w:tcPr>
          <w:p w14:paraId="6961A7D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35" w:type="dxa"/>
            <w:shd w:val="clear" w:color="auto" w:fill="auto"/>
            <w:noWrap/>
            <w:vAlign w:val="center"/>
            <w:hideMark/>
          </w:tcPr>
          <w:p w14:paraId="627125EB"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75.85</w:t>
            </w:r>
          </w:p>
        </w:tc>
        <w:tc>
          <w:tcPr>
            <w:tcW w:w="1219" w:type="dxa"/>
            <w:shd w:val="clear" w:color="auto" w:fill="auto"/>
            <w:noWrap/>
            <w:vAlign w:val="center"/>
            <w:hideMark/>
          </w:tcPr>
          <w:p w14:paraId="29C88C6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004" w:type="dxa"/>
            <w:shd w:val="clear" w:color="auto" w:fill="auto"/>
            <w:noWrap/>
            <w:vAlign w:val="center"/>
            <w:hideMark/>
          </w:tcPr>
          <w:p w14:paraId="0DBF11B4"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r>
      <w:tr w:rsidR="004865EF" w:rsidRPr="004865EF" w14:paraId="141D8E07" w14:textId="77777777" w:rsidTr="00A66425">
        <w:trPr>
          <w:trHeight w:val="397"/>
        </w:trPr>
        <w:tc>
          <w:tcPr>
            <w:tcW w:w="960" w:type="dxa"/>
            <w:shd w:val="clear" w:color="auto" w:fill="auto"/>
            <w:noWrap/>
            <w:vAlign w:val="center"/>
            <w:hideMark/>
          </w:tcPr>
          <w:p w14:paraId="67DE923B"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2</w:t>
            </w:r>
          </w:p>
        </w:tc>
        <w:tc>
          <w:tcPr>
            <w:tcW w:w="1500" w:type="dxa"/>
            <w:shd w:val="clear" w:color="auto" w:fill="auto"/>
            <w:noWrap/>
            <w:vAlign w:val="center"/>
            <w:hideMark/>
          </w:tcPr>
          <w:p w14:paraId="609CC0F7"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铺底流动资金</w:t>
            </w:r>
          </w:p>
        </w:tc>
        <w:tc>
          <w:tcPr>
            <w:tcW w:w="1500" w:type="dxa"/>
            <w:shd w:val="clear" w:color="auto" w:fill="auto"/>
            <w:noWrap/>
            <w:vAlign w:val="center"/>
            <w:hideMark/>
          </w:tcPr>
          <w:p w14:paraId="78A3B445"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1,000.00</w:t>
            </w:r>
          </w:p>
        </w:tc>
        <w:tc>
          <w:tcPr>
            <w:tcW w:w="957" w:type="dxa"/>
            <w:vAlign w:val="center"/>
          </w:tcPr>
          <w:p w14:paraId="3B47B487"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否</w:t>
            </w:r>
          </w:p>
        </w:tc>
        <w:tc>
          <w:tcPr>
            <w:tcW w:w="1335" w:type="dxa"/>
            <w:shd w:val="clear" w:color="auto" w:fill="auto"/>
            <w:noWrap/>
            <w:vAlign w:val="center"/>
            <w:hideMark/>
          </w:tcPr>
          <w:p w14:paraId="48E56374"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1219" w:type="dxa"/>
            <w:shd w:val="clear" w:color="auto" w:fill="auto"/>
            <w:noWrap/>
            <w:vAlign w:val="center"/>
            <w:hideMark/>
          </w:tcPr>
          <w:p w14:paraId="23252CC3"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004" w:type="dxa"/>
            <w:shd w:val="clear" w:color="auto" w:fill="auto"/>
            <w:noWrap/>
            <w:vAlign w:val="center"/>
            <w:hideMark/>
          </w:tcPr>
          <w:p w14:paraId="64330396"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r>
      <w:tr w:rsidR="004865EF" w:rsidRPr="004865EF" w14:paraId="1D55D5A6" w14:textId="77777777" w:rsidTr="00A66425">
        <w:trPr>
          <w:trHeight w:val="397"/>
        </w:trPr>
        <w:tc>
          <w:tcPr>
            <w:tcW w:w="2460" w:type="dxa"/>
            <w:gridSpan w:val="2"/>
            <w:shd w:val="clear" w:color="auto" w:fill="auto"/>
            <w:noWrap/>
            <w:vAlign w:val="center"/>
            <w:hideMark/>
          </w:tcPr>
          <w:p w14:paraId="4CDE51AC"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合计</w:t>
            </w:r>
          </w:p>
        </w:tc>
        <w:tc>
          <w:tcPr>
            <w:tcW w:w="1500" w:type="dxa"/>
            <w:shd w:val="clear" w:color="auto" w:fill="auto"/>
            <w:noWrap/>
            <w:vAlign w:val="center"/>
            <w:hideMark/>
          </w:tcPr>
          <w:p w14:paraId="07F016FE" w14:textId="77777777" w:rsidR="00602898" w:rsidRPr="004865EF" w:rsidRDefault="00602898" w:rsidP="00602898">
            <w:pPr>
              <w:jc w:val="right"/>
              <w:rPr>
                <w:rFonts w:ascii="Times New Roman" w:eastAsia="宋体" w:hAnsi="Times New Roman" w:cs="Times New Roman"/>
                <w:b/>
                <w:szCs w:val="21"/>
              </w:rPr>
            </w:pPr>
            <w:r w:rsidRPr="004865EF">
              <w:rPr>
                <w:rFonts w:ascii="Times New Roman" w:eastAsia="宋体" w:hAnsi="Times New Roman" w:cs="Times New Roman"/>
                <w:b/>
                <w:szCs w:val="21"/>
              </w:rPr>
              <w:t>298,600.00</w:t>
            </w:r>
          </w:p>
        </w:tc>
        <w:tc>
          <w:tcPr>
            <w:tcW w:w="957" w:type="dxa"/>
            <w:vAlign w:val="center"/>
          </w:tcPr>
          <w:p w14:paraId="20AECA25" w14:textId="77777777" w:rsidR="00602898" w:rsidRPr="004865EF" w:rsidRDefault="00602898" w:rsidP="00602898">
            <w:pPr>
              <w:jc w:val="center"/>
              <w:rPr>
                <w:rFonts w:ascii="Times New Roman" w:eastAsia="宋体" w:hAnsi="Times New Roman" w:cs="Times New Roman"/>
                <w:b/>
                <w:szCs w:val="21"/>
              </w:rPr>
            </w:pPr>
          </w:p>
        </w:tc>
        <w:tc>
          <w:tcPr>
            <w:tcW w:w="1335" w:type="dxa"/>
            <w:shd w:val="clear" w:color="auto" w:fill="auto"/>
            <w:noWrap/>
            <w:vAlign w:val="center"/>
            <w:hideMark/>
          </w:tcPr>
          <w:p w14:paraId="6C8DA5EF" w14:textId="77777777" w:rsidR="00602898" w:rsidRPr="004865EF" w:rsidRDefault="00602898" w:rsidP="00602898">
            <w:pPr>
              <w:widowControl/>
              <w:jc w:val="right"/>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28,198.94</w:t>
            </w:r>
          </w:p>
        </w:tc>
        <w:tc>
          <w:tcPr>
            <w:tcW w:w="1219" w:type="dxa"/>
            <w:shd w:val="clear" w:color="auto" w:fill="auto"/>
            <w:noWrap/>
            <w:vAlign w:val="center"/>
            <w:hideMark/>
          </w:tcPr>
          <w:p w14:paraId="1123C062" w14:textId="77777777" w:rsidR="00602898" w:rsidRPr="004865EF" w:rsidRDefault="00602898" w:rsidP="00602898">
            <w:pPr>
              <w:jc w:val="right"/>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152,000.00</w:t>
            </w:r>
          </w:p>
        </w:tc>
        <w:tc>
          <w:tcPr>
            <w:tcW w:w="1004" w:type="dxa"/>
            <w:shd w:val="clear" w:color="auto" w:fill="auto"/>
            <w:noWrap/>
            <w:vAlign w:val="center"/>
            <w:hideMark/>
          </w:tcPr>
          <w:p w14:paraId="23981B23" w14:textId="77777777" w:rsidR="00602898" w:rsidRPr="004865EF" w:rsidRDefault="00602898" w:rsidP="00602898">
            <w:pPr>
              <w:jc w:val="right"/>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100.00%</w:t>
            </w:r>
          </w:p>
        </w:tc>
      </w:tr>
    </w:tbl>
    <w:p w14:paraId="00F2032C" w14:textId="77777777"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燕郊三四期</w:t>
      </w:r>
      <w:r w:rsidRPr="004865EF">
        <w:rPr>
          <w:rFonts w:ascii="Times New Roman" w:eastAsia="宋体" w:hAnsi="Times New Roman" w:cs="Times New Roman" w:hint="eastAsia"/>
          <w:sz w:val="24"/>
        </w:rPr>
        <w:t>项目具体投资明细、投资金额和测算依据及过程如下：</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8"/>
        <w:gridCol w:w="2336"/>
        <w:gridCol w:w="1240"/>
        <w:gridCol w:w="960"/>
        <w:gridCol w:w="2629"/>
      </w:tblGrid>
      <w:tr w:rsidR="004865EF" w:rsidRPr="004865EF" w14:paraId="37CAFC78" w14:textId="77777777" w:rsidTr="00A66425">
        <w:trPr>
          <w:trHeight w:val="397"/>
          <w:tblHeader/>
          <w:jc w:val="center"/>
        </w:trPr>
        <w:tc>
          <w:tcPr>
            <w:tcW w:w="582" w:type="dxa"/>
            <w:shd w:val="clear" w:color="000000" w:fill="FFFFFF"/>
            <w:noWrap/>
            <w:vAlign w:val="center"/>
          </w:tcPr>
          <w:p w14:paraId="5F70557F"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序号</w:t>
            </w:r>
          </w:p>
        </w:tc>
        <w:tc>
          <w:tcPr>
            <w:tcW w:w="1418" w:type="dxa"/>
            <w:shd w:val="clear" w:color="000000" w:fill="FFFFFF"/>
            <w:noWrap/>
            <w:vAlign w:val="center"/>
          </w:tcPr>
          <w:p w14:paraId="738CD0E9"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投资明细</w:t>
            </w:r>
          </w:p>
        </w:tc>
        <w:tc>
          <w:tcPr>
            <w:tcW w:w="2336" w:type="dxa"/>
            <w:shd w:val="clear" w:color="000000" w:fill="FFFFFF"/>
            <w:noWrap/>
            <w:vAlign w:val="center"/>
          </w:tcPr>
          <w:p w14:paraId="7C3775E6"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具体建设内容</w:t>
            </w:r>
          </w:p>
        </w:tc>
        <w:tc>
          <w:tcPr>
            <w:tcW w:w="1240" w:type="dxa"/>
            <w:shd w:val="clear" w:color="000000" w:fill="FFFFFF"/>
            <w:noWrap/>
            <w:vAlign w:val="center"/>
          </w:tcPr>
          <w:p w14:paraId="76B2F11C"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金额（万元）</w:t>
            </w:r>
          </w:p>
        </w:tc>
        <w:tc>
          <w:tcPr>
            <w:tcW w:w="960" w:type="dxa"/>
            <w:shd w:val="clear" w:color="000000" w:fill="FFFFFF"/>
            <w:noWrap/>
            <w:vAlign w:val="center"/>
          </w:tcPr>
          <w:p w14:paraId="49D8C96A"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占比</w:t>
            </w:r>
          </w:p>
        </w:tc>
        <w:tc>
          <w:tcPr>
            <w:tcW w:w="2629" w:type="dxa"/>
            <w:shd w:val="clear" w:color="000000" w:fill="FFFFFF"/>
            <w:noWrap/>
            <w:vAlign w:val="center"/>
          </w:tcPr>
          <w:p w14:paraId="1CB3C64B"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测算依据及测算过程</w:t>
            </w:r>
          </w:p>
        </w:tc>
      </w:tr>
      <w:tr w:rsidR="004865EF" w:rsidRPr="004865EF" w14:paraId="65BAA313" w14:textId="77777777" w:rsidTr="00602898">
        <w:trPr>
          <w:trHeight w:val="397"/>
          <w:jc w:val="center"/>
        </w:trPr>
        <w:tc>
          <w:tcPr>
            <w:tcW w:w="582" w:type="dxa"/>
            <w:shd w:val="clear" w:color="auto" w:fill="auto"/>
            <w:noWrap/>
            <w:vAlign w:val="center"/>
          </w:tcPr>
          <w:p w14:paraId="01445D8A"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w:t>
            </w:r>
          </w:p>
        </w:tc>
        <w:tc>
          <w:tcPr>
            <w:tcW w:w="1418" w:type="dxa"/>
            <w:shd w:val="clear" w:color="auto" w:fill="auto"/>
            <w:noWrap/>
            <w:vAlign w:val="center"/>
          </w:tcPr>
          <w:p w14:paraId="36C537B9"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项目资本支出</w:t>
            </w:r>
          </w:p>
        </w:tc>
        <w:tc>
          <w:tcPr>
            <w:tcW w:w="2336" w:type="dxa"/>
            <w:shd w:val="clear" w:color="auto" w:fill="auto"/>
            <w:noWrap/>
            <w:vAlign w:val="center"/>
          </w:tcPr>
          <w:p w14:paraId="46F77DB6"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本项目主要固定资产投资</w:t>
            </w:r>
          </w:p>
        </w:tc>
        <w:tc>
          <w:tcPr>
            <w:tcW w:w="1240" w:type="dxa"/>
            <w:shd w:val="clear" w:color="auto" w:fill="auto"/>
            <w:noWrap/>
            <w:vAlign w:val="center"/>
          </w:tcPr>
          <w:p w14:paraId="1F9E9BB1"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297,600.00</w:t>
            </w:r>
          </w:p>
        </w:tc>
        <w:tc>
          <w:tcPr>
            <w:tcW w:w="960" w:type="dxa"/>
            <w:shd w:val="clear" w:color="auto" w:fill="auto"/>
            <w:noWrap/>
            <w:vAlign w:val="center"/>
          </w:tcPr>
          <w:p w14:paraId="22C79059"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99.67%</w:t>
            </w:r>
          </w:p>
        </w:tc>
        <w:tc>
          <w:tcPr>
            <w:tcW w:w="2629" w:type="dxa"/>
            <w:shd w:val="clear" w:color="auto" w:fill="auto"/>
            <w:noWrap/>
            <w:vAlign w:val="center"/>
          </w:tcPr>
          <w:p w14:paraId="5CF95EE7"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0D46F1DD" w14:textId="77777777" w:rsidTr="00602898">
        <w:trPr>
          <w:trHeight w:val="397"/>
          <w:jc w:val="center"/>
        </w:trPr>
        <w:tc>
          <w:tcPr>
            <w:tcW w:w="582" w:type="dxa"/>
            <w:shd w:val="clear" w:color="auto" w:fill="auto"/>
            <w:noWrap/>
            <w:vAlign w:val="center"/>
          </w:tcPr>
          <w:p w14:paraId="440F03F7"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1.1</w:t>
            </w:r>
          </w:p>
        </w:tc>
        <w:tc>
          <w:tcPr>
            <w:tcW w:w="1418" w:type="dxa"/>
            <w:shd w:val="clear" w:color="auto" w:fill="auto"/>
            <w:noWrap/>
            <w:vAlign w:val="center"/>
          </w:tcPr>
          <w:p w14:paraId="0F18026F"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工程建设</w:t>
            </w:r>
          </w:p>
        </w:tc>
        <w:tc>
          <w:tcPr>
            <w:tcW w:w="2336" w:type="dxa"/>
            <w:shd w:val="clear" w:color="auto" w:fill="auto"/>
            <w:noWrap/>
            <w:vAlign w:val="center"/>
          </w:tcPr>
          <w:p w14:paraId="27221ECA"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8</w:t>
            </w:r>
            <w:r w:rsidRPr="004865EF">
              <w:rPr>
                <w:rFonts w:ascii="Times New Roman" w:eastAsia="宋体" w:hAnsi="Times New Roman" w:cs="Times New Roman" w:hint="eastAsia"/>
                <w:kern w:val="0"/>
                <w:sz w:val="18"/>
                <w:szCs w:val="18"/>
              </w:rPr>
              <w:t>栋数据中心及配套楼宇</w:t>
            </w:r>
          </w:p>
        </w:tc>
        <w:tc>
          <w:tcPr>
            <w:tcW w:w="1240" w:type="dxa"/>
            <w:shd w:val="clear" w:color="auto" w:fill="auto"/>
            <w:noWrap/>
            <w:vAlign w:val="center"/>
          </w:tcPr>
          <w:p w14:paraId="6303E347"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78,550.00</w:t>
            </w:r>
          </w:p>
        </w:tc>
        <w:tc>
          <w:tcPr>
            <w:tcW w:w="960" w:type="dxa"/>
            <w:shd w:val="clear" w:color="auto" w:fill="auto"/>
            <w:noWrap/>
            <w:vAlign w:val="center"/>
          </w:tcPr>
          <w:p w14:paraId="273307F7"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26.31%</w:t>
            </w:r>
          </w:p>
        </w:tc>
        <w:tc>
          <w:tcPr>
            <w:tcW w:w="2629" w:type="dxa"/>
            <w:shd w:val="clear" w:color="auto" w:fill="auto"/>
            <w:noWrap/>
            <w:vAlign w:val="center"/>
          </w:tcPr>
          <w:p w14:paraId="6BC55B28"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根据本项目规划情况确定建筑面积，及当地市场费用单价，通过建筑面积及单价进行估算</w:t>
            </w:r>
          </w:p>
        </w:tc>
      </w:tr>
      <w:tr w:rsidR="004865EF" w:rsidRPr="004865EF" w14:paraId="404ECA97" w14:textId="77777777" w:rsidTr="00602898">
        <w:trPr>
          <w:trHeight w:val="397"/>
          <w:jc w:val="center"/>
        </w:trPr>
        <w:tc>
          <w:tcPr>
            <w:tcW w:w="582" w:type="dxa"/>
            <w:shd w:val="clear" w:color="auto" w:fill="auto"/>
            <w:noWrap/>
            <w:vAlign w:val="center"/>
          </w:tcPr>
          <w:p w14:paraId="75B96726"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w:t>
            </w:r>
          </w:p>
        </w:tc>
        <w:tc>
          <w:tcPr>
            <w:tcW w:w="1418" w:type="dxa"/>
            <w:shd w:val="clear" w:color="auto" w:fill="auto"/>
            <w:noWrap/>
            <w:vAlign w:val="center"/>
          </w:tcPr>
          <w:p w14:paraId="64B72206"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设备购置</w:t>
            </w:r>
          </w:p>
        </w:tc>
        <w:tc>
          <w:tcPr>
            <w:tcW w:w="2336" w:type="dxa"/>
            <w:shd w:val="clear" w:color="auto" w:fill="auto"/>
            <w:noWrap/>
            <w:vAlign w:val="center"/>
          </w:tcPr>
          <w:p w14:paraId="60A13EBB" w14:textId="77777777" w:rsidR="00602898" w:rsidRPr="004865EF" w:rsidRDefault="00602898" w:rsidP="00602898">
            <w:pPr>
              <w:widowControl/>
              <w:rPr>
                <w:rFonts w:ascii="Times New Roman" w:eastAsia="宋体" w:hAnsi="Times New Roman" w:cs="Times New Roman"/>
                <w:kern w:val="0"/>
                <w:sz w:val="18"/>
                <w:szCs w:val="18"/>
              </w:rPr>
            </w:pPr>
          </w:p>
        </w:tc>
        <w:tc>
          <w:tcPr>
            <w:tcW w:w="1240" w:type="dxa"/>
            <w:shd w:val="clear" w:color="auto" w:fill="auto"/>
            <w:noWrap/>
            <w:vAlign w:val="center"/>
          </w:tcPr>
          <w:p w14:paraId="24F0841F"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217,190.00</w:t>
            </w:r>
          </w:p>
        </w:tc>
        <w:tc>
          <w:tcPr>
            <w:tcW w:w="960" w:type="dxa"/>
            <w:shd w:val="clear" w:color="auto" w:fill="auto"/>
            <w:noWrap/>
            <w:vAlign w:val="center"/>
          </w:tcPr>
          <w:p w14:paraId="3A095A3A"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72.74%</w:t>
            </w:r>
          </w:p>
        </w:tc>
        <w:tc>
          <w:tcPr>
            <w:tcW w:w="2629" w:type="dxa"/>
            <w:shd w:val="clear" w:color="auto" w:fill="auto"/>
            <w:noWrap/>
            <w:vAlign w:val="center"/>
          </w:tcPr>
          <w:p w14:paraId="13D7290E"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1DEA346E" w14:textId="77777777" w:rsidTr="00602898">
        <w:trPr>
          <w:trHeight w:val="397"/>
          <w:jc w:val="center"/>
        </w:trPr>
        <w:tc>
          <w:tcPr>
            <w:tcW w:w="582" w:type="dxa"/>
            <w:shd w:val="clear" w:color="auto" w:fill="auto"/>
            <w:noWrap/>
            <w:vAlign w:val="center"/>
          </w:tcPr>
          <w:p w14:paraId="29BEC7CB"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1.2.1</w:t>
            </w:r>
          </w:p>
        </w:tc>
        <w:tc>
          <w:tcPr>
            <w:tcW w:w="1418" w:type="dxa"/>
            <w:shd w:val="clear" w:color="auto" w:fill="auto"/>
            <w:noWrap/>
            <w:vAlign w:val="center"/>
          </w:tcPr>
          <w:p w14:paraId="17036E6C"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配电系统</w:t>
            </w:r>
          </w:p>
        </w:tc>
        <w:tc>
          <w:tcPr>
            <w:tcW w:w="2336" w:type="dxa"/>
            <w:shd w:val="clear" w:color="auto" w:fill="auto"/>
            <w:noWrap/>
            <w:vAlign w:val="center"/>
          </w:tcPr>
          <w:p w14:paraId="79AFD722"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柴油发电机组、高低压配电柜、交流列头柜（箱）、</w:t>
            </w:r>
            <w:r w:rsidRPr="004865EF">
              <w:rPr>
                <w:rFonts w:ascii="Times New Roman" w:eastAsia="宋体" w:hAnsi="Times New Roman" w:cs="Times New Roman"/>
                <w:kern w:val="0"/>
                <w:sz w:val="18"/>
                <w:szCs w:val="18"/>
              </w:rPr>
              <w:t>UPS</w:t>
            </w:r>
            <w:r w:rsidRPr="004865EF">
              <w:rPr>
                <w:rFonts w:ascii="Times New Roman" w:eastAsia="宋体" w:hAnsi="Times New Roman" w:cs="Times New Roman"/>
                <w:kern w:val="0"/>
                <w:sz w:val="18"/>
                <w:szCs w:val="18"/>
              </w:rPr>
              <w:t>及蓄电池</w:t>
            </w:r>
            <w:r w:rsidRPr="004865EF">
              <w:rPr>
                <w:rFonts w:ascii="Times New Roman" w:eastAsia="宋体" w:hAnsi="Times New Roman" w:cs="Times New Roman" w:hint="eastAsia"/>
                <w:kern w:val="0"/>
                <w:sz w:val="18"/>
                <w:szCs w:val="18"/>
              </w:rPr>
              <w:t>、变压器、</w:t>
            </w:r>
            <w:r w:rsidRPr="004865EF">
              <w:rPr>
                <w:rFonts w:ascii="Times New Roman" w:eastAsia="宋体" w:hAnsi="Times New Roman" w:cs="Times New Roman" w:hint="eastAsia"/>
                <w:kern w:val="0"/>
                <w:sz w:val="18"/>
                <w:szCs w:val="18"/>
              </w:rPr>
              <w:t>PDU</w:t>
            </w:r>
            <w:r w:rsidRPr="004865EF">
              <w:rPr>
                <w:rFonts w:ascii="Times New Roman" w:eastAsia="宋体" w:hAnsi="Times New Roman" w:cs="Times New Roman" w:hint="eastAsia"/>
                <w:kern w:val="0"/>
                <w:sz w:val="18"/>
                <w:szCs w:val="18"/>
              </w:rPr>
              <w:t>、桥架、线缆、油泵及油路等设备的采购及施工</w:t>
            </w:r>
          </w:p>
        </w:tc>
        <w:tc>
          <w:tcPr>
            <w:tcW w:w="1240" w:type="dxa"/>
            <w:shd w:val="clear" w:color="auto" w:fill="auto"/>
            <w:noWrap/>
            <w:vAlign w:val="center"/>
          </w:tcPr>
          <w:p w14:paraId="69DD3281"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147,000.00</w:t>
            </w:r>
          </w:p>
        </w:tc>
        <w:tc>
          <w:tcPr>
            <w:tcW w:w="960" w:type="dxa"/>
            <w:shd w:val="clear" w:color="auto" w:fill="auto"/>
            <w:noWrap/>
            <w:vAlign w:val="center"/>
          </w:tcPr>
          <w:p w14:paraId="65E76224"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49.23%</w:t>
            </w:r>
          </w:p>
        </w:tc>
        <w:tc>
          <w:tcPr>
            <w:tcW w:w="2629" w:type="dxa"/>
            <w:vMerge w:val="restart"/>
            <w:shd w:val="clear" w:color="auto" w:fill="auto"/>
            <w:noWrap/>
            <w:vAlign w:val="center"/>
          </w:tcPr>
          <w:p w14:paraId="78ACF2C4"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w:t>
            </w:r>
            <w:r w:rsidRPr="004865EF">
              <w:rPr>
                <w:rFonts w:ascii="Times New Roman" w:eastAsia="宋体" w:hAnsi="Times New Roman" w:cs="Times New Roman" w:hint="eastAsia"/>
                <w:kern w:val="0"/>
                <w:sz w:val="18"/>
                <w:szCs w:val="18"/>
              </w:rPr>
              <w:t>本</w:t>
            </w:r>
            <w:r w:rsidRPr="004865EF">
              <w:rPr>
                <w:rFonts w:ascii="Times New Roman" w:eastAsia="宋体" w:hAnsi="Times New Roman" w:cs="Times New Roman"/>
                <w:kern w:val="0"/>
                <w:sz w:val="18"/>
                <w:szCs w:val="18"/>
              </w:rPr>
              <w:t>项目规划情况、</w:t>
            </w:r>
            <w:r w:rsidRPr="004865EF">
              <w:rPr>
                <w:rFonts w:ascii="Times New Roman" w:eastAsia="宋体" w:hAnsi="Times New Roman" w:cs="Times New Roman" w:hint="eastAsia"/>
                <w:kern w:val="0"/>
                <w:sz w:val="18"/>
                <w:szCs w:val="18"/>
              </w:rPr>
              <w:t>项目所需的电力及制冷总量、</w:t>
            </w:r>
            <w:r w:rsidRPr="004865EF">
              <w:rPr>
                <w:rFonts w:ascii="Times New Roman" w:eastAsia="宋体" w:hAnsi="Times New Roman" w:cs="Times New Roman"/>
                <w:kern w:val="0"/>
                <w:sz w:val="18"/>
                <w:szCs w:val="18"/>
              </w:rPr>
              <w:t>设备需求</w:t>
            </w:r>
            <w:r w:rsidRPr="004865EF">
              <w:rPr>
                <w:rFonts w:ascii="Times New Roman" w:eastAsia="宋体" w:hAnsi="Times New Roman" w:cs="Times New Roman" w:hint="eastAsia"/>
                <w:kern w:val="0"/>
                <w:sz w:val="18"/>
                <w:szCs w:val="18"/>
              </w:rPr>
              <w:t>预计数量</w:t>
            </w:r>
            <w:r w:rsidRPr="004865EF">
              <w:rPr>
                <w:rFonts w:ascii="Times New Roman" w:eastAsia="宋体" w:hAnsi="Times New Roman" w:cs="Times New Roman"/>
                <w:kern w:val="0"/>
                <w:sz w:val="18"/>
                <w:szCs w:val="18"/>
              </w:rPr>
              <w:t>、市场现行</w:t>
            </w:r>
            <w:r w:rsidRPr="004865EF">
              <w:rPr>
                <w:rFonts w:ascii="Times New Roman" w:eastAsia="宋体" w:hAnsi="Times New Roman" w:cs="Times New Roman" w:hint="eastAsia"/>
                <w:kern w:val="0"/>
                <w:sz w:val="18"/>
                <w:szCs w:val="18"/>
              </w:rPr>
              <w:t>设备通用单价</w:t>
            </w:r>
            <w:r w:rsidRPr="004865EF">
              <w:rPr>
                <w:rFonts w:ascii="Times New Roman" w:eastAsia="宋体" w:hAnsi="Times New Roman" w:cs="Times New Roman"/>
                <w:kern w:val="0"/>
                <w:sz w:val="18"/>
                <w:szCs w:val="18"/>
              </w:rPr>
              <w:t>，</w:t>
            </w:r>
            <w:r w:rsidRPr="004865EF">
              <w:rPr>
                <w:rFonts w:ascii="Times New Roman" w:eastAsia="宋体" w:hAnsi="Times New Roman" w:cs="Times New Roman" w:hint="eastAsia"/>
                <w:kern w:val="0"/>
                <w:sz w:val="18"/>
                <w:szCs w:val="18"/>
              </w:rPr>
              <w:t>并结合公司历史类似项目情况估算系统建设投资</w:t>
            </w:r>
          </w:p>
        </w:tc>
      </w:tr>
      <w:tr w:rsidR="004865EF" w:rsidRPr="004865EF" w14:paraId="5C0B38D3" w14:textId="77777777" w:rsidTr="00602898">
        <w:trPr>
          <w:trHeight w:val="397"/>
          <w:jc w:val="center"/>
        </w:trPr>
        <w:tc>
          <w:tcPr>
            <w:tcW w:w="582" w:type="dxa"/>
            <w:shd w:val="clear" w:color="auto" w:fill="auto"/>
            <w:noWrap/>
            <w:vAlign w:val="center"/>
          </w:tcPr>
          <w:p w14:paraId="3CEA10BD"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1.2.2</w:t>
            </w:r>
          </w:p>
        </w:tc>
        <w:tc>
          <w:tcPr>
            <w:tcW w:w="1418" w:type="dxa"/>
            <w:shd w:val="clear" w:color="auto" w:fill="auto"/>
            <w:noWrap/>
            <w:vAlign w:val="center"/>
          </w:tcPr>
          <w:p w14:paraId="7A910603"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空调系统</w:t>
            </w:r>
          </w:p>
        </w:tc>
        <w:tc>
          <w:tcPr>
            <w:tcW w:w="2336" w:type="dxa"/>
            <w:shd w:val="clear" w:color="auto" w:fill="auto"/>
            <w:noWrap/>
            <w:vAlign w:val="center"/>
          </w:tcPr>
          <w:p w14:paraId="28A09BC0"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冷机、精密空调、水泵、冷却塔</w:t>
            </w:r>
            <w:r w:rsidRPr="004865EF">
              <w:rPr>
                <w:rFonts w:ascii="Times New Roman" w:eastAsia="宋体" w:hAnsi="Times New Roman" w:cs="Times New Roman" w:hint="eastAsia"/>
                <w:kern w:val="0"/>
                <w:sz w:val="18"/>
                <w:szCs w:val="18"/>
              </w:rPr>
              <w:t>、蓄冷罐、新风系统、加湿器</w:t>
            </w:r>
            <w:r w:rsidRPr="004865EF">
              <w:rPr>
                <w:rFonts w:ascii="Times New Roman" w:eastAsia="宋体" w:hAnsi="Times New Roman" w:cs="Times New Roman"/>
                <w:kern w:val="0"/>
                <w:sz w:val="18"/>
                <w:szCs w:val="18"/>
              </w:rPr>
              <w:t>等</w:t>
            </w:r>
            <w:r w:rsidRPr="004865EF">
              <w:rPr>
                <w:rFonts w:ascii="Times New Roman" w:eastAsia="宋体" w:hAnsi="Times New Roman" w:cs="Times New Roman" w:hint="eastAsia"/>
                <w:kern w:val="0"/>
                <w:sz w:val="18"/>
                <w:szCs w:val="18"/>
              </w:rPr>
              <w:t>设备的采购及施工</w:t>
            </w:r>
          </w:p>
        </w:tc>
        <w:tc>
          <w:tcPr>
            <w:tcW w:w="1240" w:type="dxa"/>
            <w:shd w:val="clear" w:color="auto" w:fill="auto"/>
            <w:noWrap/>
            <w:vAlign w:val="center"/>
          </w:tcPr>
          <w:p w14:paraId="3483D590"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40,800.00</w:t>
            </w:r>
          </w:p>
        </w:tc>
        <w:tc>
          <w:tcPr>
            <w:tcW w:w="960" w:type="dxa"/>
            <w:shd w:val="clear" w:color="auto" w:fill="auto"/>
            <w:noWrap/>
            <w:vAlign w:val="center"/>
          </w:tcPr>
          <w:p w14:paraId="40A4D3B9"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13.66%</w:t>
            </w:r>
          </w:p>
        </w:tc>
        <w:tc>
          <w:tcPr>
            <w:tcW w:w="2629" w:type="dxa"/>
            <w:vMerge/>
            <w:vAlign w:val="center"/>
          </w:tcPr>
          <w:p w14:paraId="0E5B34F4"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1B2FABED" w14:textId="77777777" w:rsidTr="00602898">
        <w:trPr>
          <w:trHeight w:val="397"/>
          <w:jc w:val="center"/>
        </w:trPr>
        <w:tc>
          <w:tcPr>
            <w:tcW w:w="582" w:type="dxa"/>
            <w:shd w:val="clear" w:color="auto" w:fill="auto"/>
            <w:noWrap/>
            <w:vAlign w:val="center"/>
          </w:tcPr>
          <w:p w14:paraId="358FDBBB"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1.2.3</w:t>
            </w:r>
          </w:p>
        </w:tc>
        <w:tc>
          <w:tcPr>
            <w:tcW w:w="1418" w:type="dxa"/>
            <w:shd w:val="clear" w:color="auto" w:fill="auto"/>
            <w:noWrap/>
            <w:vAlign w:val="center"/>
          </w:tcPr>
          <w:p w14:paraId="6AED700B"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弱电系统</w:t>
            </w:r>
          </w:p>
        </w:tc>
        <w:tc>
          <w:tcPr>
            <w:tcW w:w="2336" w:type="dxa"/>
            <w:shd w:val="clear" w:color="auto" w:fill="auto"/>
            <w:noWrap/>
            <w:vAlign w:val="center"/>
          </w:tcPr>
          <w:p w14:paraId="31F05167" w14:textId="77777777" w:rsidR="00602898" w:rsidRPr="004865EF" w:rsidRDefault="00602898" w:rsidP="00602898">
            <w:pPr>
              <w:widowControl/>
              <w:jc w:val="left"/>
              <w:rPr>
                <w:rFonts w:ascii="Times New Roman" w:eastAsia="宋体" w:hAnsi="Times New Roman" w:cs="Times New Roman"/>
                <w:kern w:val="0"/>
                <w:sz w:val="18"/>
                <w:szCs w:val="18"/>
              </w:rPr>
            </w:pPr>
            <w:proofErr w:type="gramStart"/>
            <w:r w:rsidRPr="004865EF">
              <w:rPr>
                <w:rFonts w:ascii="Times New Roman" w:eastAsia="宋体" w:hAnsi="Times New Roman" w:cs="Times New Roman" w:hint="eastAsia"/>
                <w:kern w:val="0"/>
                <w:sz w:val="18"/>
                <w:szCs w:val="18"/>
              </w:rPr>
              <w:t>动环</w:t>
            </w:r>
            <w:r w:rsidRPr="004865EF">
              <w:rPr>
                <w:rFonts w:ascii="Times New Roman" w:eastAsia="宋体" w:hAnsi="Times New Roman" w:cs="Times New Roman"/>
                <w:kern w:val="0"/>
                <w:sz w:val="18"/>
                <w:szCs w:val="18"/>
              </w:rPr>
              <w:t>系统</w:t>
            </w:r>
            <w:proofErr w:type="gramEnd"/>
            <w:r w:rsidRPr="004865EF">
              <w:rPr>
                <w:rFonts w:ascii="Times New Roman" w:eastAsia="宋体" w:hAnsi="Times New Roman" w:cs="Times New Roman" w:hint="eastAsia"/>
                <w:kern w:val="0"/>
                <w:sz w:val="18"/>
                <w:szCs w:val="18"/>
              </w:rPr>
              <w:t>及</w:t>
            </w:r>
            <w:r w:rsidRPr="004865EF">
              <w:rPr>
                <w:rFonts w:ascii="Times New Roman" w:eastAsia="宋体" w:hAnsi="Times New Roman" w:cs="Times New Roman"/>
                <w:kern w:val="0"/>
                <w:sz w:val="18"/>
                <w:szCs w:val="18"/>
              </w:rPr>
              <w:t>设备</w:t>
            </w:r>
            <w:r w:rsidRPr="004865EF">
              <w:rPr>
                <w:rFonts w:ascii="Times New Roman" w:eastAsia="宋体" w:hAnsi="Times New Roman" w:cs="Times New Roman" w:hint="eastAsia"/>
                <w:kern w:val="0"/>
                <w:sz w:val="18"/>
                <w:szCs w:val="18"/>
              </w:rPr>
              <w:t>、摄像头、门禁、电子围栏</w:t>
            </w:r>
            <w:r w:rsidRPr="004865EF">
              <w:rPr>
                <w:rFonts w:ascii="Times New Roman" w:eastAsia="宋体" w:hAnsi="Times New Roman" w:cs="Times New Roman"/>
                <w:kern w:val="0"/>
                <w:sz w:val="18"/>
                <w:szCs w:val="18"/>
              </w:rPr>
              <w:t>等</w:t>
            </w:r>
            <w:r w:rsidRPr="004865EF">
              <w:rPr>
                <w:rFonts w:ascii="Times New Roman" w:eastAsia="宋体" w:hAnsi="Times New Roman" w:cs="Times New Roman" w:hint="eastAsia"/>
                <w:kern w:val="0"/>
                <w:sz w:val="18"/>
                <w:szCs w:val="18"/>
              </w:rPr>
              <w:t>设备的采购及施工</w:t>
            </w:r>
          </w:p>
        </w:tc>
        <w:tc>
          <w:tcPr>
            <w:tcW w:w="1240" w:type="dxa"/>
            <w:shd w:val="clear" w:color="auto" w:fill="auto"/>
            <w:noWrap/>
            <w:vAlign w:val="center"/>
          </w:tcPr>
          <w:p w14:paraId="6B6FBC8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7,140.00</w:t>
            </w:r>
          </w:p>
        </w:tc>
        <w:tc>
          <w:tcPr>
            <w:tcW w:w="960" w:type="dxa"/>
            <w:shd w:val="clear" w:color="auto" w:fill="auto"/>
            <w:noWrap/>
            <w:vAlign w:val="center"/>
          </w:tcPr>
          <w:p w14:paraId="38A148C9"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2.39%</w:t>
            </w:r>
          </w:p>
        </w:tc>
        <w:tc>
          <w:tcPr>
            <w:tcW w:w="2629" w:type="dxa"/>
            <w:vMerge/>
            <w:vAlign w:val="center"/>
          </w:tcPr>
          <w:p w14:paraId="1E721F83"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3981C64B" w14:textId="77777777" w:rsidTr="00602898">
        <w:trPr>
          <w:trHeight w:val="397"/>
          <w:jc w:val="center"/>
        </w:trPr>
        <w:tc>
          <w:tcPr>
            <w:tcW w:w="582" w:type="dxa"/>
            <w:shd w:val="clear" w:color="auto" w:fill="auto"/>
            <w:noWrap/>
            <w:vAlign w:val="center"/>
          </w:tcPr>
          <w:p w14:paraId="0EE35394"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1.2.4</w:t>
            </w:r>
          </w:p>
        </w:tc>
        <w:tc>
          <w:tcPr>
            <w:tcW w:w="1418" w:type="dxa"/>
            <w:shd w:val="clear" w:color="auto" w:fill="auto"/>
            <w:noWrap/>
            <w:vAlign w:val="center"/>
          </w:tcPr>
          <w:p w14:paraId="420A1C3F"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消防系统</w:t>
            </w:r>
          </w:p>
        </w:tc>
        <w:tc>
          <w:tcPr>
            <w:tcW w:w="2336" w:type="dxa"/>
            <w:shd w:val="clear" w:color="auto" w:fill="auto"/>
            <w:noWrap/>
            <w:vAlign w:val="center"/>
          </w:tcPr>
          <w:p w14:paraId="18EA81AB"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消防公用设施</w:t>
            </w:r>
            <w:r w:rsidRPr="004865EF">
              <w:rPr>
                <w:rFonts w:ascii="Times New Roman" w:eastAsia="宋体" w:hAnsi="Times New Roman" w:cs="Times New Roman" w:hint="eastAsia"/>
                <w:kern w:val="0"/>
                <w:sz w:val="18"/>
                <w:szCs w:val="18"/>
              </w:rPr>
              <w:t>、各模块的喷淋系统、</w:t>
            </w:r>
            <w:r w:rsidRPr="004865EF">
              <w:rPr>
                <w:rFonts w:ascii="Times New Roman" w:eastAsia="宋体" w:hAnsi="Times New Roman" w:cs="Times New Roman" w:hint="eastAsia"/>
                <w:kern w:val="0"/>
                <w:sz w:val="18"/>
                <w:szCs w:val="18"/>
              </w:rPr>
              <w:t>VESDA</w:t>
            </w:r>
            <w:r w:rsidRPr="004865EF">
              <w:rPr>
                <w:rFonts w:ascii="Times New Roman" w:eastAsia="宋体" w:hAnsi="Times New Roman" w:cs="Times New Roman" w:hint="eastAsia"/>
                <w:kern w:val="0"/>
                <w:sz w:val="18"/>
                <w:szCs w:val="18"/>
              </w:rPr>
              <w:t>、防排烟、氢气检测等设备的采购及施工</w:t>
            </w:r>
          </w:p>
        </w:tc>
        <w:tc>
          <w:tcPr>
            <w:tcW w:w="1240" w:type="dxa"/>
            <w:shd w:val="clear" w:color="auto" w:fill="auto"/>
            <w:noWrap/>
            <w:vAlign w:val="center"/>
          </w:tcPr>
          <w:p w14:paraId="777D3C5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7,650.00</w:t>
            </w:r>
          </w:p>
        </w:tc>
        <w:tc>
          <w:tcPr>
            <w:tcW w:w="960" w:type="dxa"/>
            <w:shd w:val="clear" w:color="auto" w:fill="auto"/>
            <w:noWrap/>
            <w:vAlign w:val="center"/>
          </w:tcPr>
          <w:p w14:paraId="1A817AF4"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2.56%</w:t>
            </w:r>
          </w:p>
        </w:tc>
        <w:tc>
          <w:tcPr>
            <w:tcW w:w="2629" w:type="dxa"/>
            <w:vMerge w:val="restart"/>
            <w:shd w:val="clear" w:color="auto" w:fill="auto"/>
            <w:noWrap/>
            <w:vAlign w:val="center"/>
          </w:tcPr>
          <w:p w14:paraId="74569AE9"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根据本项目消防设施规划设计并结合公司历史类似项目估算消防工程等公用工程投资</w:t>
            </w:r>
          </w:p>
        </w:tc>
      </w:tr>
      <w:tr w:rsidR="004865EF" w:rsidRPr="004865EF" w14:paraId="10CFF05B" w14:textId="77777777" w:rsidTr="00602898">
        <w:trPr>
          <w:trHeight w:val="397"/>
          <w:jc w:val="center"/>
        </w:trPr>
        <w:tc>
          <w:tcPr>
            <w:tcW w:w="582" w:type="dxa"/>
            <w:shd w:val="clear" w:color="auto" w:fill="auto"/>
            <w:noWrap/>
            <w:vAlign w:val="center"/>
          </w:tcPr>
          <w:p w14:paraId="42A1096E"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1.2.5</w:t>
            </w:r>
          </w:p>
        </w:tc>
        <w:tc>
          <w:tcPr>
            <w:tcW w:w="1418" w:type="dxa"/>
            <w:shd w:val="clear" w:color="auto" w:fill="auto"/>
            <w:noWrap/>
            <w:vAlign w:val="center"/>
          </w:tcPr>
          <w:p w14:paraId="36F3A72A"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模块装修</w:t>
            </w:r>
          </w:p>
        </w:tc>
        <w:tc>
          <w:tcPr>
            <w:tcW w:w="2336" w:type="dxa"/>
            <w:shd w:val="clear" w:color="auto" w:fill="auto"/>
            <w:noWrap/>
            <w:vAlign w:val="center"/>
          </w:tcPr>
          <w:p w14:paraId="3C60C6CE"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保温棉、铜箔、地板</w:t>
            </w:r>
            <w:r w:rsidRPr="004865EF">
              <w:rPr>
                <w:rFonts w:ascii="Times New Roman" w:eastAsia="宋体" w:hAnsi="Times New Roman" w:cs="Times New Roman" w:hint="eastAsia"/>
                <w:kern w:val="0"/>
                <w:sz w:val="18"/>
                <w:szCs w:val="18"/>
              </w:rPr>
              <w:t>/</w:t>
            </w:r>
            <w:r w:rsidRPr="004865EF">
              <w:rPr>
                <w:rFonts w:ascii="Times New Roman" w:eastAsia="宋体" w:hAnsi="Times New Roman" w:cs="Times New Roman" w:hint="eastAsia"/>
                <w:kern w:val="0"/>
                <w:sz w:val="18"/>
                <w:szCs w:val="18"/>
              </w:rPr>
              <w:t>静电地板、灯具、围笼、冷热通道等设备的采购及施工</w:t>
            </w:r>
          </w:p>
        </w:tc>
        <w:tc>
          <w:tcPr>
            <w:tcW w:w="1240" w:type="dxa"/>
            <w:shd w:val="clear" w:color="auto" w:fill="auto"/>
            <w:noWrap/>
            <w:vAlign w:val="center"/>
          </w:tcPr>
          <w:p w14:paraId="67B7B0CA"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6,800.00</w:t>
            </w:r>
          </w:p>
        </w:tc>
        <w:tc>
          <w:tcPr>
            <w:tcW w:w="960" w:type="dxa"/>
            <w:shd w:val="clear" w:color="auto" w:fill="auto"/>
            <w:noWrap/>
            <w:vAlign w:val="center"/>
          </w:tcPr>
          <w:p w14:paraId="0D061B10"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2.28%</w:t>
            </w:r>
          </w:p>
        </w:tc>
        <w:tc>
          <w:tcPr>
            <w:tcW w:w="2629" w:type="dxa"/>
            <w:vMerge/>
            <w:vAlign w:val="center"/>
          </w:tcPr>
          <w:p w14:paraId="3E48FAF2"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07F8CEA0" w14:textId="77777777" w:rsidTr="00602898">
        <w:trPr>
          <w:trHeight w:val="397"/>
          <w:jc w:val="center"/>
        </w:trPr>
        <w:tc>
          <w:tcPr>
            <w:tcW w:w="582" w:type="dxa"/>
            <w:shd w:val="clear" w:color="auto" w:fill="auto"/>
            <w:noWrap/>
            <w:vAlign w:val="center"/>
          </w:tcPr>
          <w:p w14:paraId="14448FC1"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1.2.6</w:t>
            </w:r>
          </w:p>
        </w:tc>
        <w:tc>
          <w:tcPr>
            <w:tcW w:w="1418" w:type="dxa"/>
            <w:shd w:val="clear" w:color="auto" w:fill="auto"/>
            <w:noWrap/>
            <w:vAlign w:val="center"/>
          </w:tcPr>
          <w:p w14:paraId="254B9789"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机柜</w:t>
            </w:r>
          </w:p>
        </w:tc>
        <w:tc>
          <w:tcPr>
            <w:tcW w:w="2336" w:type="dxa"/>
            <w:shd w:val="clear" w:color="auto" w:fill="auto"/>
            <w:noWrap/>
            <w:vAlign w:val="center"/>
          </w:tcPr>
          <w:p w14:paraId="600133FD"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柜体设备</w:t>
            </w:r>
          </w:p>
        </w:tc>
        <w:tc>
          <w:tcPr>
            <w:tcW w:w="1240" w:type="dxa"/>
            <w:shd w:val="clear" w:color="auto" w:fill="auto"/>
            <w:noWrap/>
            <w:vAlign w:val="center"/>
          </w:tcPr>
          <w:p w14:paraId="29346D38"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6,000.00</w:t>
            </w:r>
          </w:p>
        </w:tc>
        <w:tc>
          <w:tcPr>
            <w:tcW w:w="960" w:type="dxa"/>
            <w:shd w:val="clear" w:color="auto" w:fill="auto"/>
            <w:noWrap/>
            <w:vAlign w:val="center"/>
          </w:tcPr>
          <w:p w14:paraId="5B4EBDE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2.01%</w:t>
            </w:r>
          </w:p>
        </w:tc>
        <w:tc>
          <w:tcPr>
            <w:tcW w:w="2629" w:type="dxa"/>
            <w:vMerge w:val="restart"/>
            <w:shd w:val="clear" w:color="auto" w:fill="auto"/>
            <w:noWrap/>
            <w:vAlign w:val="center"/>
          </w:tcPr>
          <w:p w14:paraId="76D94353"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根据购置设备数量、型号并结合公司历史类似项目估算机电安装工程支出</w:t>
            </w:r>
          </w:p>
        </w:tc>
      </w:tr>
      <w:tr w:rsidR="004865EF" w:rsidRPr="004865EF" w14:paraId="784E2269" w14:textId="77777777" w:rsidTr="00602898">
        <w:trPr>
          <w:trHeight w:val="397"/>
          <w:jc w:val="center"/>
        </w:trPr>
        <w:tc>
          <w:tcPr>
            <w:tcW w:w="582" w:type="dxa"/>
            <w:shd w:val="clear" w:color="auto" w:fill="auto"/>
            <w:noWrap/>
            <w:vAlign w:val="center"/>
          </w:tcPr>
          <w:p w14:paraId="6F1B932F"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1.2.7</w:t>
            </w:r>
          </w:p>
        </w:tc>
        <w:tc>
          <w:tcPr>
            <w:tcW w:w="1418" w:type="dxa"/>
            <w:shd w:val="clear" w:color="auto" w:fill="auto"/>
            <w:noWrap/>
            <w:vAlign w:val="center"/>
          </w:tcPr>
          <w:p w14:paraId="0FEA61B8"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网络系统</w:t>
            </w:r>
          </w:p>
        </w:tc>
        <w:tc>
          <w:tcPr>
            <w:tcW w:w="2336" w:type="dxa"/>
            <w:shd w:val="clear" w:color="auto" w:fill="auto"/>
            <w:noWrap/>
            <w:vAlign w:val="center"/>
          </w:tcPr>
          <w:p w14:paraId="2DB39C0C"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路由器、交换机、检测设备传输设备、防火墙等设备的采购及施工</w:t>
            </w:r>
          </w:p>
        </w:tc>
        <w:tc>
          <w:tcPr>
            <w:tcW w:w="1240" w:type="dxa"/>
            <w:shd w:val="clear" w:color="auto" w:fill="auto"/>
            <w:noWrap/>
            <w:vAlign w:val="center"/>
          </w:tcPr>
          <w:p w14:paraId="5E7647C8"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1,800.00</w:t>
            </w:r>
          </w:p>
        </w:tc>
        <w:tc>
          <w:tcPr>
            <w:tcW w:w="960" w:type="dxa"/>
            <w:shd w:val="clear" w:color="auto" w:fill="auto"/>
            <w:noWrap/>
            <w:vAlign w:val="center"/>
          </w:tcPr>
          <w:p w14:paraId="7AACB22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0.60%</w:t>
            </w:r>
          </w:p>
        </w:tc>
        <w:tc>
          <w:tcPr>
            <w:tcW w:w="2629" w:type="dxa"/>
            <w:vMerge/>
            <w:vAlign w:val="center"/>
          </w:tcPr>
          <w:p w14:paraId="4E3C3F1D"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659816E6" w14:textId="77777777" w:rsidTr="00602898">
        <w:trPr>
          <w:trHeight w:val="397"/>
          <w:jc w:val="center"/>
        </w:trPr>
        <w:tc>
          <w:tcPr>
            <w:tcW w:w="582" w:type="dxa"/>
            <w:shd w:val="clear" w:color="auto" w:fill="auto"/>
            <w:noWrap/>
            <w:vAlign w:val="center"/>
          </w:tcPr>
          <w:p w14:paraId="688AFF0B"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w:t>
            </w:r>
          </w:p>
        </w:tc>
        <w:tc>
          <w:tcPr>
            <w:tcW w:w="1418" w:type="dxa"/>
            <w:shd w:val="clear" w:color="auto" w:fill="auto"/>
            <w:noWrap/>
            <w:vAlign w:val="center"/>
          </w:tcPr>
          <w:p w14:paraId="37672E3A"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其他费用</w:t>
            </w:r>
          </w:p>
        </w:tc>
        <w:tc>
          <w:tcPr>
            <w:tcW w:w="2336" w:type="dxa"/>
            <w:shd w:val="clear" w:color="auto" w:fill="auto"/>
            <w:noWrap/>
            <w:vAlign w:val="center"/>
          </w:tcPr>
          <w:p w14:paraId="0C6529C3"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前期费用、设计费用、监理费用、建设单位管理费用等</w:t>
            </w:r>
          </w:p>
        </w:tc>
        <w:tc>
          <w:tcPr>
            <w:tcW w:w="1240" w:type="dxa"/>
            <w:shd w:val="clear" w:color="auto" w:fill="auto"/>
            <w:noWrap/>
            <w:vAlign w:val="center"/>
          </w:tcPr>
          <w:p w14:paraId="1FFFC448"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1,860.00</w:t>
            </w:r>
          </w:p>
        </w:tc>
        <w:tc>
          <w:tcPr>
            <w:tcW w:w="960" w:type="dxa"/>
            <w:shd w:val="clear" w:color="auto" w:fill="auto"/>
            <w:noWrap/>
            <w:vAlign w:val="center"/>
          </w:tcPr>
          <w:p w14:paraId="3219B89A"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0.62%</w:t>
            </w:r>
          </w:p>
        </w:tc>
        <w:tc>
          <w:tcPr>
            <w:tcW w:w="2629" w:type="dxa"/>
            <w:shd w:val="clear" w:color="auto" w:fill="auto"/>
            <w:noWrap/>
            <w:vAlign w:val="center"/>
          </w:tcPr>
          <w:p w14:paraId="1FCBB980"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根据本项目投资规模、设计及建设特点结合公司历史类似项</w:t>
            </w:r>
            <w:r w:rsidRPr="004865EF">
              <w:rPr>
                <w:rFonts w:ascii="Times New Roman" w:eastAsia="宋体" w:hAnsi="Times New Roman" w:cs="Times New Roman"/>
                <w:kern w:val="0"/>
                <w:sz w:val="18"/>
                <w:szCs w:val="18"/>
              </w:rPr>
              <w:lastRenderedPageBreak/>
              <w:t>目估算</w:t>
            </w:r>
          </w:p>
        </w:tc>
      </w:tr>
      <w:tr w:rsidR="004865EF" w:rsidRPr="004865EF" w14:paraId="5DBDD944" w14:textId="77777777" w:rsidTr="00602898">
        <w:trPr>
          <w:trHeight w:val="397"/>
          <w:jc w:val="center"/>
        </w:trPr>
        <w:tc>
          <w:tcPr>
            <w:tcW w:w="582" w:type="dxa"/>
            <w:shd w:val="clear" w:color="auto" w:fill="auto"/>
            <w:noWrap/>
            <w:vAlign w:val="center"/>
          </w:tcPr>
          <w:p w14:paraId="16B366A0"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lastRenderedPageBreak/>
              <w:t>2</w:t>
            </w:r>
          </w:p>
        </w:tc>
        <w:tc>
          <w:tcPr>
            <w:tcW w:w="1418" w:type="dxa"/>
            <w:shd w:val="clear" w:color="auto" w:fill="auto"/>
            <w:noWrap/>
            <w:vAlign w:val="center"/>
          </w:tcPr>
          <w:p w14:paraId="7B74BF45"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铺底流动资金</w:t>
            </w:r>
          </w:p>
        </w:tc>
        <w:tc>
          <w:tcPr>
            <w:tcW w:w="2336" w:type="dxa"/>
            <w:shd w:val="clear" w:color="auto" w:fill="auto"/>
            <w:noWrap/>
            <w:vAlign w:val="center"/>
          </w:tcPr>
          <w:p w14:paraId="48DAAE48" w14:textId="77777777" w:rsidR="00602898" w:rsidRPr="004865EF" w:rsidRDefault="00602898" w:rsidP="00602898">
            <w:pPr>
              <w:widowControl/>
              <w:jc w:val="left"/>
              <w:rPr>
                <w:rFonts w:ascii="Times New Roman" w:eastAsia="宋体" w:hAnsi="Times New Roman" w:cs="Times New Roman"/>
                <w:kern w:val="0"/>
                <w:sz w:val="18"/>
                <w:szCs w:val="18"/>
              </w:rPr>
            </w:pPr>
          </w:p>
        </w:tc>
        <w:tc>
          <w:tcPr>
            <w:tcW w:w="1240" w:type="dxa"/>
            <w:shd w:val="clear" w:color="auto" w:fill="auto"/>
            <w:noWrap/>
            <w:vAlign w:val="center"/>
          </w:tcPr>
          <w:p w14:paraId="085CCF82"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1,000.00</w:t>
            </w:r>
          </w:p>
        </w:tc>
        <w:tc>
          <w:tcPr>
            <w:tcW w:w="960" w:type="dxa"/>
            <w:shd w:val="clear" w:color="auto" w:fill="auto"/>
            <w:noWrap/>
            <w:vAlign w:val="center"/>
          </w:tcPr>
          <w:p w14:paraId="6B916F69"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0.33%</w:t>
            </w:r>
          </w:p>
        </w:tc>
        <w:tc>
          <w:tcPr>
            <w:tcW w:w="2629" w:type="dxa"/>
            <w:shd w:val="clear" w:color="auto" w:fill="auto"/>
            <w:noWrap/>
            <w:vAlign w:val="center"/>
          </w:tcPr>
          <w:p w14:paraId="456C1065"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289E9D02" w14:textId="77777777" w:rsidTr="00602898">
        <w:trPr>
          <w:trHeight w:val="397"/>
          <w:jc w:val="center"/>
        </w:trPr>
        <w:tc>
          <w:tcPr>
            <w:tcW w:w="4336" w:type="dxa"/>
            <w:gridSpan w:val="3"/>
            <w:shd w:val="clear" w:color="auto" w:fill="auto"/>
            <w:noWrap/>
            <w:vAlign w:val="center"/>
          </w:tcPr>
          <w:p w14:paraId="5744F917"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合计</w:t>
            </w:r>
          </w:p>
        </w:tc>
        <w:tc>
          <w:tcPr>
            <w:tcW w:w="1240" w:type="dxa"/>
            <w:shd w:val="clear" w:color="auto" w:fill="auto"/>
            <w:noWrap/>
            <w:vAlign w:val="center"/>
          </w:tcPr>
          <w:p w14:paraId="0C14DD12" w14:textId="77777777" w:rsidR="00602898" w:rsidRPr="004865EF" w:rsidRDefault="00602898" w:rsidP="00602898">
            <w:pPr>
              <w:widowControl/>
              <w:jc w:val="right"/>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298,600.00</w:t>
            </w:r>
          </w:p>
        </w:tc>
        <w:tc>
          <w:tcPr>
            <w:tcW w:w="960" w:type="dxa"/>
            <w:shd w:val="clear" w:color="auto" w:fill="auto"/>
            <w:noWrap/>
            <w:vAlign w:val="center"/>
          </w:tcPr>
          <w:p w14:paraId="1771BCBB" w14:textId="77777777" w:rsidR="00602898" w:rsidRPr="004865EF" w:rsidRDefault="00602898" w:rsidP="00602898">
            <w:pPr>
              <w:widowControl/>
              <w:jc w:val="right"/>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100.00%</w:t>
            </w:r>
          </w:p>
        </w:tc>
        <w:tc>
          <w:tcPr>
            <w:tcW w:w="2629" w:type="dxa"/>
            <w:shd w:val="clear" w:color="auto" w:fill="auto"/>
            <w:noWrap/>
            <w:vAlign w:val="center"/>
          </w:tcPr>
          <w:p w14:paraId="01620676" w14:textId="77777777" w:rsidR="00602898" w:rsidRPr="004865EF" w:rsidRDefault="00602898" w:rsidP="00602898">
            <w:pPr>
              <w:widowControl/>
              <w:jc w:val="left"/>
              <w:rPr>
                <w:rFonts w:ascii="Times New Roman" w:eastAsia="宋体" w:hAnsi="Times New Roman" w:cs="Times New Roman"/>
                <w:b/>
                <w:kern w:val="0"/>
                <w:sz w:val="18"/>
                <w:szCs w:val="18"/>
              </w:rPr>
            </w:pPr>
          </w:p>
        </w:tc>
      </w:tr>
    </w:tbl>
    <w:p w14:paraId="67FA1BC9"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4</w:t>
      </w:r>
      <w:r w:rsidRPr="004865EF">
        <w:rPr>
          <w:rFonts w:ascii="Times New Roman" w:eastAsia="宋体" w:hAnsi="Times New Roman" w:cs="Times New Roman" w:hint="eastAsia"/>
          <w:sz w:val="24"/>
        </w:rPr>
        <w:t>、长沙绿色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基地一期</w:t>
      </w:r>
    </w:p>
    <w:p w14:paraId="0108CCFF" w14:textId="79EF80AA" w:rsidR="00602898" w:rsidRPr="004865EF" w:rsidRDefault="00602898" w:rsidP="00602898">
      <w:pPr>
        <w:spacing w:before="5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kern w:val="0"/>
          <w:sz w:val="24"/>
          <w:szCs w:val="21"/>
        </w:rPr>
        <w:t>长沙一期</w:t>
      </w:r>
      <w:r w:rsidRPr="004865EF">
        <w:rPr>
          <w:rFonts w:ascii="Times New Roman" w:eastAsia="宋体" w:hAnsi="Times New Roman" w:cs="Times New Roman" w:hint="eastAsia"/>
          <w:sz w:val="24"/>
        </w:rPr>
        <w:t>项目总投资</w:t>
      </w:r>
      <w:r w:rsidRPr="004865EF">
        <w:rPr>
          <w:rFonts w:ascii="Times New Roman" w:eastAsia="宋体" w:hAnsi="Times New Roman" w:cs="Times New Roman"/>
          <w:sz w:val="24"/>
        </w:rPr>
        <w:t>346,380.00</w:t>
      </w:r>
      <w:r w:rsidRPr="004865EF">
        <w:rPr>
          <w:rFonts w:ascii="Times New Roman" w:eastAsia="宋体" w:hAnsi="Times New Roman" w:cs="Times New Roman" w:hint="eastAsia"/>
          <w:sz w:val="24"/>
        </w:rPr>
        <w:t>万元，计划建设</w:t>
      </w:r>
      <w:r w:rsidRPr="004865EF">
        <w:rPr>
          <w:rFonts w:ascii="Times New Roman" w:eastAsia="宋体" w:hAnsi="Times New Roman" w:cs="Times New Roman" w:hint="eastAsia"/>
          <w:sz w:val="24"/>
        </w:rPr>
        <w:t>16,000</w:t>
      </w:r>
      <w:r w:rsidRPr="004865EF">
        <w:rPr>
          <w:rFonts w:ascii="Times New Roman" w:eastAsia="宋体" w:hAnsi="Times New Roman" w:cs="Times New Roman" w:hint="eastAsia"/>
          <w:sz w:val="24"/>
        </w:rPr>
        <w:t>个</w:t>
      </w:r>
      <w:r w:rsidR="00BF021C" w:rsidRPr="004865EF">
        <w:rPr>
          <w:rFonts w:ascii="楷体" w:eastAsia="楷体" w:hAnsi="楷体" w:cs="Times New Roman" w:hint="eastAsia"/>
          <w:b/>
          <w:sz w:val="24"/>
        </w:rPr>
        <w:t>5KW</w:t>
      </w:r>
      <w:r w:rsidRPr="004865EF">
        <w:rPr>
          <w:rFonts w:ascii="Times New Roman" w:eastAsia="宋体" w:hAnsi="Times New Roman" w:cs="Times New Roman" w:hint="eastAsia"/>
          <w:sz w:val="24"/>
        </w:rPr>
        <w:t>机柜，其中资本性支出</w:t>
      </w:r>
      <w:r w:rsidRPr="004865EF">
        <w:rPr>
          <w:rFonts w:ascii="Times New Roman" w:eastAsia="宋体" w:hAnsi="Times New Roman" w:cs="Times New Roman"/>
          <w:sz w:val="24"/>
        </w:rPr>
        <w:t>344,380.00</w:t>
      </w:r>
      <w:r w:rsidRPr="004865EF">
        <w:rPr>
          <w:rFonts w:ascii="Times New Roman" w:eastAsia="宋体" w:hAnsi="Times New Roman" w:cs="Times New Roman" w:hint="eastAsia"/>
          <w:sz w:val="24"/>
        </w:rPr>
        <w:t>万元，具体包括工程建设支出、设备购置支出以及其他费用支出。</w:t>
      </w:r>
      <w:r w:rsidRPr="004865EF">
        <w:rPr>
          <w:rFonts w:ascii="Times New Roman" w:eastAsia="宋体" w:hAnsi="Times New Roman" w:cs="Times New Roman"/>
          <w:kern w:val="0"/>
          <w:sz w:val="24"/>
          <w:szCs w:val="21"/>
        </w:rPr>
        <w:t>长沙一期</w:t>
      </w:r>
      <w:r w:rsidRPr="004865EF">
        <w:rPr>
          <w:rFonts w:ascii="Times New Roman" w:eastAsia="宋体" w:hAnsi="Times New Roman" w:cs="Times New Roman" w:hint="eastAsia"/>
          <w:sz w:val="24"/>
        </w:rPr>
        <w:t>项目投资构成及募集资金预计投入情况如下：</w:t>
      </w:r>
    </w:p>
    <w:p w14:paraId="49ACFBC6" w14:textId="77777777" w:rsidR="00602898" w:rsidRPr="004865EF" w:rsidRDefault="00602898" w:rsidP="00602898">
      <w:pPr>
        <w:spacing w:beforeLines="50" w:before="156"/>
        <w:ind w:firstLineChars="200" w:firstLine="42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单位：万元</w:t>
      </w:r>
    </w:p>
    <w:tbl>
      <w:tblPr>
        <w:tblW w:w="8505" w:type="dxa"/>
        <w:tblInd w:w="93" w:type="dxa"/>
        <w:tblLook w:val="04A0" w:firstRow="1" w:lastRow="0" w:firstColumn="1" w:lastColumn="0" w:noHBand="0" w:noVBand="1"/>
      </w:tblPr>
      <w:tblGrid>
        <w:gridCol w:w="960"/>
        <w:gridCol w:w="1500"/>
        <w:gridCol w:w="1500"/>
        <w:gridCol w:w="1069"/>
        <w:gridCol w:w="1365"/>
        <w:gridCol w:w="1107"/>
        <w:gridCol w:w="1004"/>
      </w:tblGrid>
      <w:tr w:rsidR="004865EF" w:rsidRPr="004865EF" w14:paraId="4C2F6615" w14:textId="77777777" w:rsidTr="00602898">
        <w:trPr>
          <w:trHeight w:val="397"/>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3AA0F"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序号</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FB933"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内容</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09267"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金额</w:t>
            </w:r>
          </w:p>
        </w:tc>
        <w:tc>
          <w:tcPr>
            <w:tcW w:w="1069" w:type="dxa"/>
            <w:vMerge w:val="restart"/>
            <w:tcBorders>
              <w:top w:val="single" w:sz="4" w:space="0" w:color="auto"/>
              <w:left w:val="single" w:sz="4" w:space="0" w:color="auto"/>
              <w:right w:val="single" w:sz="4" w:space="0" w:color="auto"/>
            </w:tcBorders>
            <w:vAlign w:val="center"/>
          </w:tcPr>
          <w:p w14:paraId="438D27B9"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是否为资本性支出</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9C7CA"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董事会日</w:t>
            </w:r>
            <w:r w:rsidRPr="004865EF">
              <w:rPr>
                <w:rFonts w:ascii="Times New Roman" w:eastAsia="宋体" w:hAnsi="Times New Roman" w:cs="Times New Roman"/>
                <w:b/>
                <w:kern w:val="0"/>
                <w:szCs w:val="21"/>
              </w:rPr>
              <w:t>前已投入</w:t>
            </w:r>
          </w:p>
        </w:tc>
        <w:tc>
          <w:tcPr>
            <w:tcW w:w="2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B25338"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募集资金投入</w:t>
            </w:r>
          </w:p>
        </w:tc>
      </w:tr>
      <w:tr w:rsidR="004865EF" w:rsidRPr="004865EF" w14:paraId="57EAD48E" w14:textId="77777777" w:rsidTr="00602898">
        <w:trPr>
          <w:trHeight w:val="397"/>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16C0C32" w14:textId="77777777" w:rsidR="00602898" w:rsidRPr="004865EF" w:rsidRDefault="00602898" w:rsidP="00602898">
            <w:pPr>
              <w:widowControl/>
              <w:jc w:val="center"/>
              <w:rPr>
                <w:rFonts w:ascii="Times New Roman" w:eastAsia="宋体" w:hAnsi="Times New Roman" w:cs="Times New Roman"/>
                <w:b/>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391CA877" w14:textId="77777777" w:rsidR="00602898" w:rsidRPr="004865EF" w:rsidRDefault="00602898" w:rsidP="00602898">
            <w:pPr>
              <w:widowControl/>
              <w:jc w:val="center"/>
              <w:rPr>
                <w:rFonts w:ascii="Times New Roman" w:eastAsia="宋体" w:hAnsi="Times New Roman" w:cs="Times New Roman"/>
                <w:b/>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1B77AFF4" w14:textId="77777777" w:rsidR="00602898" w:rsidRPr="004865EF" w:rsidRDefault="00602898" w:rsidP="00602898">
            <w:pPr>
              <w:widowControl/>
              <w:jc w:val="center"/>
              <w:rPr>
                <w:rFonts w:ascii="Times New Roman" w:eastAsia="宋体" w:hAnsi="Times New Roman" w:cs="Times New Roman"/>
                <w:b/>
                <w:kern w:val="0"/>
                <w:szCs w:val="21"/>
              </w:rPr>
            </w:pPr>
          </w:p>
        </w:tc>
        <w:tc>
          <w:tcPr>
            <w:tcW w:w="1069" w:type="dxa"/>
            <w:vMerge/>
            <w:tcBorders>
              <w:left w:val="single" w:sz="4" w:space="0" w:color="auto"/>
              <w:bottom w:val="single" w:sz="4" w:space="0" w:color="auto"/>
              <w:right w:val="single" w:sz="4" w:space="0" w:color="auto"/>
            </w:tcBorders>
            <w:vAlign w:val="center"/>
          </w:tcPr>
          <w:p w14:paraId="59A5EB7F" w14:textId="77777777" w:rsidR="00602898" w:rsidRPr="004865EF" w:rsidRDefault="00602898" w:rsidP="00602898">
            <w:pPr>
              <w:widowControl/>
              <w:jc w:val="center"/>
              <w:rPr>
                <w:rFonts w:ascii="Times New Roman" w:eastAsia="宋体" w:hAnsi="Times New Roman" w:cs="Times New Roman"/>
                <w:b/>
                <w:kern w:val="0"/>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D484865" w14:textId="77777777" w:rsidR="00602898" w:rsidRPr="004865EF" w:rsidRDefault="00602898" w:rsidP="00602898">
            <w:pPr>
              <w:widowControl/>
              <w:jc w:val="center"/>
              <w:rPr>
                <w:rFonts w:ascii="Times New Roman" w:eastAsia="宋体" w:hAnsi="Times New Roman" w:cs="Times New Roman"/>
                <w:b/>
                <w:kern w:val="0"/>
                <w:szCs w:val="21"/>
              </w:rPr>
            </w:pPr>
          </w:p>
        </w:tc>
        <w:tc>
          <w:tcPr>
            <w:tcW w:w="1107" w:type="dxa"/>
            <w:tcBorders>
              <w:top w:val="nil"/>
              <w:left w:val="nil"/>
              <w:bottom w:val="single" w:sz="4" w:space="0" w:color="auto"/>
              <w:right w:val="single" w:sz="4" w:space="0" w:color="auto"/>
            </w:tcBorders>
            <w:shd w:val="clear" w:color="auto" w:fill="auto"/>
            <w:noWrap/>
            <w:vAlign w:val="center"/>
            <w:hideMark/>
          </w:tcPr>
          <w:p w14:paraId="690E1BB0"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金额</w:t>
            </w:r>
          </w:p>
        </w:tc>
        <w:tc>
          <w:tcPr>
            <w:tcW w:w="1004" w:type="dxa"/>
            <w:tcBorders>
              <w:top w:val="nil"/>
              <w:left w:val="nil"/>
              <w:bottom w:val="single" w:sz="4" w:space="0" w:color="auto"/>
              <w:right w:val="single" w:sz="4" w:space="0" w:color="auto"/>
            </w:tcBorders>
            <w:shd w:val="clear" w:color="auto" w:fill="auto"/>
            <w:noWrap/>
            <w:vAlign w:val="center"/>
            <w:hideMark/>
          </w:tcPr>
          <w:p w14:paraId="5D491656"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占比</w:t>
            </w:r>
          </w:p>
        </w:tc>
      </w:tr>
      <w:tr w:rsidR="004865EF" w:rsidRPr="004865EF" w14:paraId="3A7EA819"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E93A54"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w:t>
            </w:r>
          </w:p>
        </w:tc>
        <w:tc>
          <w:tcPr>
            <w:tcW w:w="1500" w:type="dxa"/>
            <w:tcBorders>
              <w:top w:val="nil"/>
              <w:left w:val="nil"/>
              <w:bottom w:val="single" w:sz="4" w:space="0" w:color="auto"/>
              <w:right w:val="single" w:sz="4" w:space="0" w:color="auto"/>
            </w:tcBorders>
            <w:shd w:val="clear" w:color="auto" w:fill="auto"/>
            <w:noWrap/>
            <w:vAlign w:val="center"/>
            <w:hideMark/>
          </w:tcPr>
          <w:p w14:paraId="1C6F9431"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项目资本支出</w:t>
            </w:r>
          </w:p>
        </w:tc>
        <w:tc>
          <w:tcPr>
            <w:tcW w:w="1500" w:type="dxa"/>
            <w:tcBorders>
              <w:top w:val="nil"/>
              <w:left w:val="nil"/>
              <w:bottom w:val="single" w:sz="4" w:space="0" w:color="auto"/>
              <w:right w:val="single" w:sz="4" w:space="0" w:color="auto"/>
            </w:tcBorders>
            <w:shd w:val="clear" w:color="auto" w:fill="auto"/>
            <w:noWrap/>
            <w:vAlign w:val="center"/>
            <w:hideMark/>
          </w:tcPr>
          <w:p w14:paraId="7F94CFF3"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344,380.00</w:t>
            </w:r>
          </w:p>
        </w:tc>
        <w:tc>
          <w:tcPr>
            <w:tcW w:w="1069" w:type="dxa"/>
            <w:tcBorders>
              <w:top w:val="single" w:sz="4" w:space="0" w:color="auto"/>
              <w:left w:val="nil"/>
              <w:bottom w:val="single" w:sz="4" w:space="0" w:color="auto"/>
              <w:right w:val="single" w:sz="4" w:space="0" w:color="auto"/>
            </w:tcBorders>
            <w:vAlign w:val="center"/>
          </w:tcPr>
          <w:p w14:paraId="0AFA874E"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6FB6"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7,078.60</w:t>
            </w:r>
          </w:p>
        </w:tc>
        <w:tc>
          <w:tcPr>
            <w:tcW w:w="1107" w:type="dxa"/>
            <w:tcBorders>
              <w:top w:val="nil"/>
              <w:left w:val="nil"/>
              <w:bottom w:val="single" w:sz="4" w:space="0" w:color="auto"/>
              <w:right w:val="single" w:sz="4" w:space="0" w:color="auto"/>
            </w:tcBorders>
            <w:shd w:val="clear" w:color="auto" w:fill="auto"/>
            <w:noWrap/>
            <w:vAlign w:val="center"/>
            <w:hideMark/>
          </w:tcPr>
          <w:p w14:paraId="5F3B71AE"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40,000.00</w:t>
            </w:r>
          </w:p>
        </w:tc>
        <w:tc>
          <w:tcPr>
            <w:tcW w:w="1004" w:type="dxa"/>
            <w:tcBorders>
              <w:top w:val="nil"/>
              <w:left w:val="nil"/>
              <w:bottom w:val="single" w:sz="4" w:space="0" w:color="auto"/>
              <w:right w:val="single" w:sz="4" w:space="0" w:color="auto"/>
            </w:tcBorders>
            <w:shd w:val="clear" w:color="auto" w:fill="auto"/>
            <w:noWrap/>
            <w:vAlign w:val="center"/>
            <w:hideMark/>
          </w:tcPr>
          <w:p w14:paraId="068514E1" w14:textId="77777777" w:rsidR="00602898" w:rsidRPr="004865EF" w:rsidRDefault="00602898" w:rsidP="00602898">
            <w:pPr>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100.00%</w:t>
            </w:r>
          </w:p>
        </w:tc>
      </w:tr>
      <w:tr w:rsidR="004865EF" w:rsidRPr="004865EF" w14:paraId="2433174C"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038EF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1.1</w:t>
            </w:r>
          </w:p>
        </w:tc>
        <w:tc>
          <w:tcPr>
            <w:tcW w:w="1500" w:type="dxa"/>
            <w:tcBorders>
              <w:top w:val="nil"/>
              <w:left w:val="nil"/>
              <w:bottom w:val="single" w:sz="4" w:space="0" w:color="auto"/>
              <w:right w:val="single" w:sz="4" w:space="0" w:color="auto"/>
            </w:tcBorders>
            <w:shd w:val="clear" w:color="auto" w:fill="auto"/>
            <w:noWrap/>
            <w:vAlign w:val="center"/>
            <w:hideMark/>
          </w:tcPr>
          <w:p w14:paraId="2B8F6E72"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土地成本</w:t>
            </w:r>
          </w:p>
        </w:tc>
        <w:tc>
          <w:tcPr>
            <w:tcW w:w="1500" w:type="dxa"/>
            <w:tcBorders>
              <w:top w:val="nil"/>
              <w:left w:val="nil"/>
              <w:bottom w:val="single" w:sz="4" w:space="0" w:color="auto"/>
              <w:right w:val="single" w:sz="4" w:space="0" w:color="auto"/>
            </w:tcBorders>
            <w:shd w:val="clear" w:color="auto" w:fill="auto"/>
            <w:noWrap/>
            <w:vAlign w:val="center"/>
            <w:hideMark/>
          </w:tcPr>
          <w:p w14:paraId="388CDC6A"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7,077.39</w:t>
            </w:r>
          </w:p>
        </w:tc>
        <w:tc>
          <w:tcPr>
            <w:tcW w:w="1069" w:type="dxa"/>
            <w:tcBorders>
              <w:top w:val="single" w:sz="4" w:space="0" w:color="auto"/>
              <w:left w:val="nil"/>
              <w:bottom w:val="single" w:sz="4" w:space="0" w:color="auto"/>
              <w:right w:val="single" w:sz="4" w:space="0" w:color="auto"/>
            </w:tcBorders>
            <w:vAlign w:val="center"/>
          </w:tcPr>
          <w:p w14:paraId="0EF08F8D"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FBAD0"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7,077.39</w:t>
            </w:r>
          </w:p>
        </w:tc>
        <w:tc>
          <w:tcPr>
            <w:tcW w:w="1107" w:type="dxa"/>
            <w:tcBorders>
              <w:top w:val="nil"/>
              <w:left w:val="nil"/>
              <w:bottom w:val="single" w:sz="4" w:space="0" w:color="auto"/>
              <w:right w:val="single" w:sz="4" w:space="0" w:color="auto"/>
            </w:tcBorders>
            <w:shd w:val="clear" w:color="auto" w:fill="auto"/>
            <w:noWrap/>
            <w:vAlign w:val="center"/>
            <w:hideMark/>
          </w:tcPr>
          <w:p w14:paraId="7F6E85F1"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004" w:type="dxa"/>
            <w:tcBorders>
              <w:top w:val="nil"/>
              <w:left w:val="nil"/>
              <w:bottom w:val="single" w:sz="4" w:space="0" w:color="auto"/>
              <w:right w:val="single" w:sz="4" w:space="0" w:color="auto"/>
            </w:tcBorders>
            <w:shd w:val="clear" w:color="auto" w:fill="auto"/>
            <w:noWrap/>
            <w:vAlign w:val="center"/>
            <w:hideMark/>
          </w:tcPr>
          <w:p w14:paraId="4E155A3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r>
      <w:tr w:rsidR="004865EF" w:rsidRPr="004865EF" w14:paraId="0B7F0C74"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11893D"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1.2</w:t>
            </w:r>
          </w:p>
        </w:tc>
        <w:tc>
          <w:tcPr>
            <w:tcW w:w="1500" w:type="dxa"/>
            <w:tcBorders>
              <w:top w:val="nil"/>
              <w:left w:val="nil"/>
              <w:bottom w:val="single" w:sz="4" w:space="0" w:color="auto"/>
              <w:right w:val="single" w:sz="4" w:space="0" w:color="auto"/>
            </w:tcBorders>
            <w:shd w:val="clear" w:color="auto" w:fill="auto"/>
            <w:noWrap/>
            <w:vAlign w:val="center"/>
            <w:hideMark/>
          </w:tcPr>
          <w:p w14:paraId="56CABFB4"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工程建设</w:t>
            </w:r>
          </w:p>
        </w:tc>
        <w:tc>
          <w:tcPr>
            <w:tcW w:w="1500" w:type="dxa"/>
            <w:tcBorders>
              <w:top w:val="nil"/>
              <w:left w:val="nil"/>
              <w:bottom w:val="single" w:sz="4" w:space="0" w:color="auto"/>
              <w:right w:val="single" w:sz="4" w:space="0" w:color="auto"/>
            </w:tcBorders>
            <w:shd w:val="clear" w:color="auto" w:fill="auto"/>
            <w:noWrap/>
            <w:vAlign w:val="center"/>
            <w:hideMark/>
          </w:tcPr>
          <w:p w14:paraId="3B292E5D"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98,380.00</w:t>
            </w:r>
          </w:p>
        </w:tc>
        <w:tc>
          <w:tcPr>
            <w:tcW w:w="1069" w:type="dxa"/>
            <w:tcBorders>
              <w:top w:val="single" w:sz="4" w:space="0" w:color="auto"/>
              <w:left w:val="nil"/>
              <w:bottom w:val="single" w:sz="4" w:space="0" w:color="auto"/>
              <w:right w:val="single" w:sz="4" w:space="0" w:color="auto"/>
            </w:tcBorders>
            <w:vAlign w:val="center"/>
          </w:tcPr>
          <w:p w14:paraId="35E474B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D41AE"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1107" w:type="dxa"/>
            <w:tcBorders>
              <w:top w:val="nil"/>
              <w:left w:val="nil"/>
              <w:bottom w:val="single" w:sz="4" w:space="0" w:color="auto"/>
              <w:right w:val="single" w:sz="4" w:space="0" w:color="auto"/>
            </w:tcBorders>
            <w:shd w:val="clear" w:color="auto" w:fill="auto"/>
            <w:noWrap/>
            <w:vAlign w:val="center"/>
            <w:hideMark/>
          </w:tcPr>
          <w:p w14:paraId="4CAD7D76"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40,000.00</w:t>
            </w:r>
          </w:p>
        </w:tc>
        <w:tc>
          <w:tcPr>
            <w:tcW w:w="1004" w:type="dxa"/>
            <w:tcBorders>
              <w:top w:val="nil"/>
              <w:left w:val="nil"/>
              <w:bottom w:val="single" w:sz="4" w:space="0" w:color="auto"/>
              <w:right w:val="single" w:sz="4" w:space="0" w:color="auto"/>
            </w:tcBorders>
            <w:shd w:val="clear" w:color="auto" w:fill="auto"/>
            <w:noWrap/>
            <w:vAlign w:val="center"/>
            <w:hideMark/>
          </w:tcPr>
          <w:p w14:paraId="36B2FC1F"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100.00%</w:t>
            </w:r>
          </w:p>
        </w:tc>
      </w:tr>
      <w:tr w:rsidR="004865EF" w:rsidRPr="004865EF" w14:paraId="12E0D824"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0D73CB"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1.3</w:t>
            </w:r>
          </w:p>
        </w:tc>
        <w:tc>
          <w:tcPr>
            <w:tcW w:w="1500" w:type="dxa"/>
            <w:tcBorders>
              <w:top w:val="nil"/>
              <w:left w:val="nil"/>
              <w:bottom w:val="single" w:sz="4" w:space="0" w:color="auto"/>
              <w:right w:val="single" w:sz="4" w:space="0" w:color="auto"/>
            </w:tcBorders>
            <w:shd w:val="clear" w:color="auto" w:fill="auto"/>
            <w:noWrap/>
            <w:vAlign w:val="center"/>
            <w:hideMark/>
          </w:tcPr>
          <w:p w14:paraId="331FE852"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设备购置</w:t>
            </w:r>
          </w:p>
        </w:tc>
        <w:tc>
          <w:tcPr>
            <w:tcW w:w="1500" w:type="dxa"/>
            <w:tcBorders>
              <w:top w:val="nil"/>
              <w:left w:val="nil"/>
              <w:bottom w:val="single" w:sz="4" w:space="0" w:color="auto"/>
              <w:right w:val="single" w:sz="4" w:space="0" w:color="auto"/>
            </w:tcBorders>
            <w:shd w:val="clear" w:color="auto" w:fill="auto"/>
            <w:noWrap/>
            <w:vAlign w:val="center"/>
            <w:hideMark/>
          </w:tcPr>
          <w:p w14:paraId="6A2066C1"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236,420.00</w:t>
            </w:r>
          </w:p>
        </w:tc>
        <w:tc>
          <w:tcPr>
            <w:tcW w:w="1069" w:type="dxa"/>
            <w:tcBorders>
              <w:top w:val="single" w:sz="4" w:space="0" w:color="auto"/>
              <w:left w:val="nil"/>
              <w:bottom w:val="single" w:sz="4" w:space="0" w:color="auto"/>
              <w:right w:val="single" w:sz="4" w:space="0" w:color="auto"/>
            </w:tcBorders>
            <w:vAlign w:val="center"/>
          </w:tcPr>
          <w:p w14:paraId="7812F99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D0865"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1107" w:type="dxa"/>
            <w:tcBorders>
              <w:top w:val="nil"/>
              <w:left w:val="nil"/>
              <w:bottom w:val="single" w:sz="4" w:space="0" w:color="auto"/>
              <w:right w:val="single" w:sz="4" w:space="0" w:color="auto"/>
            </w:tcBorders>
            <w:shd w:val="clear" w:color="auto" w:fill="auto"/>
            <w:noWrap/>
            <w:vAlign w:val="center"/>
            <w:hideMark/>
          </w:tcPr>
          <w:p w14:paraId="2837C091"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004" w:type="dxa"/>
            <w:tcBorders>
              <w:top w:val="nil"/>
              <w:left w:val="nil"/>
              <w:bottom w:val="single" w:sz="4" w:space="0" w:color="auto"/>
              <w:right w:val="single" w:sz="4" w:space="0" w:color="auto"/>
            </w:tcBorders>
            <w:shd w:val="clear" w:color="auto" w:fill="auto"/>
            <w:noWrap/>
            <w:vAlign w:val="center"/>
            <w:hideMark/>
          </w:tcPr>
          <w:p w14:paraId="7DE3452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r>
      <w:tr w:rsidR="004865EF" w:rsidRPr="004865EF" w14:paraId="1D05E898"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D0910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1.4</w:t>
            </w:r>
          </w:p>
        </w:tc>
        <w:tc>
          <w:tcPr>
            <w:tcW w:w="1500" w:type="dxa"/>
            <w:tcBorders>
              <w:top w:val="nil"/>
              <w:left w:val="nil"/>
              <w:bottom w:val="single" w:sz="4" w:space="0" w:color="auto"/>
              <w:right w:val="single" w:sz="4" w:space="0" w:color="auto"/>
            </w:tcBorders>
            <w:shd w:val="clear" w:color="auto" w:fill="auto"/>
            <w:noWrap/>
            <w:vAlign w:val="center"/>
            <w:hideMark/>
          </w:tcPr>
          <w:p w14:paraId="1A57A87C"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其他费用</w:t>
            </w:r>
          </w:p>
        </w:tc>
        <w:tc>
          <w:tcPr>
            <w:tcW w:w="1500" w:type="dxa"/>
            <w:tcBorders>
              <w:top w:val="nil"/>
              <w:left w:val="nil"/>
              <w:bottom w:val="single" w:sz="4" w:space="0" w:color="auto"/>
              <w:right w:val="single" w:sz="4" w:space="0" w:color="auto"/>
            </w:tcBorders>
            <w:shd w:val="clear" w:color="auto" w:fill="auto"/>
            <w:noWrap/>
            <w:vAlign w:val="center"/>
            <w:hideMark/>
          </w:tcPr>
          <w:p w14:paraId="2FE75DB6"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2,502.61</w:t>
            </w:r>
          </w:p>
        </w:tc>
        <w:tc>
          <w:tcPr>
            <w:tcW w:w="1069" w:type="dxa"/>
            <w:tcBorders>
              <w:top w:val="single" w:sz="4" w:space="0" w:color="auto"/>
              <w:left w:val="nil"/>
              <w:bottom w:val="single" w:sz="4" w:space="0" w:color="auto"/>
              <w:right w:val="single" w:sz="4" w:space="0" w:color="auto"/>
            </w:tcBorders>
            <w:vAlign w:val="center"/>
          </w:tcPr>
          <w:p w14:paraId="5A02DF97"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是</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80D8"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1.21</w:t>
            </w:r>
          </w:p>
        </w:tc>
        <w:tc>
          <w:tcPr>
            <w:tcW w:w="1107" w:type="dxa"/>
            <w:tcBorders>
              <w:top w:val="nil"/>
              <w:left w:val="nil"/>
              <w:bottom w:val="single" w:sz="4" w:space="0" w:color="auto"/>
              <w:right w:val="single" w:sz="4" w:space="0" w:color="auto"/>
            </w:tcBorders>
            <w:shd w:val="clear" w:color="auto" w:fill="auto"/>
            <w:noWrap/>
            <w:vAlign w:val="center"/>
            <w:hideMark/>
          </w:tcPr>
          <w:p w14:paraId="6783A1E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004" w:type="dxa"/>
            <w:tcBorders>
              <w:top w:val="nil"/>
              <w:left w:val="nil"/>
              <w:bottom w:val="single" w:sz="4" w:space="0" w:color="auto"/>
              <w:right w:val="single" w:sz="4" w:space="0" w:color="auto"/>
            </w:tcBorders>
            <w:shd w:val="clear" w:color="auto" w:fill="auto"/>
            <w:noWrap/>
            <w:vAlign w:val="center"/>
            <w:hideMark/>
          </w:tcPr>
          <w:p w14:paraId="3FE7070A"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r>
      <w:tr w:rsidR="004865EF" w:rsidRPr="004865EF" w14:paraId="7F2CC2C5" w14:textId="77777777" w:rsidTr="00602898">
        <w:trPr>
          <w:trHeight w:val="3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B8E085"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2</w:t>
            </w:r>
          </w:p>
        </w:tc>
        <w:tc>
          <w:tcPr>
            <w:tcW w:w="1500" w:type="dxa"/>
            <w:tcBorders>
              <w:top w:val="nil"/>
              <w:left w:val="nil"/>
              <w:bottom w:val="single" w:sz="4" w:space="0" w:color="auto"/>
              <w:right w:val="single" w:sz="4" w:space="0" w:color="auto"/>
            </w:tcBorders>
            <w:shd w:val="clear" w:color="auto" w:fill="auto"/>
            <w:noWrap/>
            <w:vAlign w:val="center"/>
            <w:hideMark/>
          </w:tcPr>
          <w:p w14:paraId="7D8A04DC"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kern w:val="0"/>
                <w:szCs w:val="21"/>
              </w:rPr>
              <w:t>铺底流动资金</w:t>
            </w:r>
          </w:p>
        </w:tc>
        <w:tc>
          <w:tcPr>
            <w:tcW w:w="1500" w:type="dxa"/>
            <w:tcBorders>
              <w:top w:val="nil"/>
              <w:left w:val="nil"/>
              <w:bottom w:val="single" w:sz="4" w:space="0" w:color="auto"/>
              <w:right w:val="single" w:sz="4" w:space="0" w:color="auto"/>
            </w:tcBorders>
            <w:shd w:val="clear" w:color="auto" w:fill="auto"/>
            <w:noWrap/>
            <w:vAlign w:val="center"/>
            <w:hideMark/>
          </w:tcPr>
          <w:p w14:paraId="32E9751E" w14:textId="77777777" w:rsidR="00602898" w:rsidRPr="004865EF" w:rsidRDefault="00602898" w:rsidP="00602898">
            <w:pPr>
              <w:jc w:val="right"/>
              <w:rPr>
                <w:rFonts w:ascii="Times New Roman" w:eastAsia="宋体" w:hAnsi="Times New Roman" w:cs="Times New Roman"/>
                <w:szCs w:val="21"/>
              </w:rPr>
            </w:pPr>
            <w:r w:rsidRPr="004865EF">
              <w:rPr>
                <w:rFonts w:ascii="Times New Roman" w:eastAsia="宋体" w:hAnsi="Times New Roman" w:cs="Times New Roman"/>
                <w:szCs w:val="21"/>
              </w:rPr>
              <w:t>2,000.00</w:t>
            </w:r>
          </w:p>
        </w:tc>
        <w:tc>
          <w:tcPr>
            <w:tcW w:w="1069" w:type="dxa"/>
            <w:tcBorders>
              <w:top w:val="single" w:sz="4" w:space="0" w:color="auto"/>
              <w:left w:val="nil"/>
              <w:bottom w:val="single" w:sz="4" w:space="0" w:color="auto"/>
              <w:right w:val="single" w:sz="4" w:space="0" w:color="auto"/>
            </w:tcBorders>
            <w:vAlign w:val="center"/>
          </w:tcPr>
          <w:p w14:paraId="413EC9DA"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否</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294C0"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w:t>
            </w:r>
          </w:p>
        </w:tc>
        <w:tc>
          <w:tcPr>
            <w:tcW w:w="1107" w:type="dxa"/>
            <w:tcBorders>
              <w:top w:val="nil"/>
              <w:left w:val="nil"/>
              <w:bottom w:val="single" w:sz="4" w:space="0" w:color="auto"/>
              <w:right w:val="single" w:sz="4" w:space="0" w:color="auto"/>
            </w:tcBorders>
            <w:shd w:val="clear" w:color="auto" w:fill="auto"/>
            <w:noWrap/>
            <w:vAlign w:val="center"/>
            <w:hideMark/>
          </w:tcPr>
          <w:p w14:paraId="49A15A73"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004" w:type="dxa"/>
            <w:tcBorders>
              <w:top w:val="nil"/>
              <w:left w:val="nil"/>
              <w:bottom w:val="single" w:sz="4" w:space="0" w:color="auto"/>
              <w:right w:val="single" w:sz="4" w:space="0" w:color="auto"/>
            </w:tcBorders>
            <w:shd w:val="clear" w:color="auto" w:fill="auto"/>
            <w:noWrap/>
            <w:vAlign w:val="center"/>
            <w:hideMark/>
          </w:tcPr>
          <w:p w14:paraId="4E17B94E"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r>
      <w:tr w:rsidR="004865EF" w:rsidRPr="004865EF" w14:paraId="7CAC02C6" w14:textId="77777777" w:rsidTr="00602898">
        <w:trPr>
          <w:trHeight w:val="397"/>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ECCF"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合计</w:t>
            </w:r>
          </w:p>
        </w:tc>
        <w:tc>
          <w:tcPr>
            <w:tcW w:w="1500" w:type="dxa"/>
            <w:tcBorders>
              <w:top w:val="nil"/>
              <w:left w:val="nil"/>
              <w:bottom w:val="single" w:sz="4" w:space="0" w:color="auto"/>
              <w:right w:val="single" w:sz="4" w:space="0" w:color="auto"/>
            </w:tcBorders>
            <w:shd w:val="clear" w:color="auto" w:fill="auto"/>
            <w:noWrap/>
            <w:vAlign w:val="center"/>
            <w:hideMark/>
          </w:tcPr>
          <w:p w14:paraId="69E1BAF5" w14:textId="77777777" w:rsidR="00602898" w:rsidRPr="004865EF" w:rsidRDefault="00602898" w:rsidP="00602898">
            <w:pPr>
              <w:jc w:val="right"/>
              <w:rPr>
                <w:rFonts w:ascii="Times New Roman" w:eastAsia="宋体" w:hAnsi="Times New Roman" w:cs="Times New Roman"/>
                <w:b/>
                <w:szCs w:val="21"/>
              </w:rPr>
            </w:pPr>
            <w:r w:rsidRPr="004865EF">
              <w:rPr>
                <w:rFonts w:ascii="Times New Roman" w:eastAsia="宋体" w:hAnsi="Times New Roman" w:cs="Times New Roman"/>
                <w:b/>
                <w:szCs w:val="21"/>
              </w:rPr>
              <w:t>346,380.00</w:t>
            </w:r>
          </w:p>
        </w:tc>
        <w:tc>
          <w:tcPr>
            <w:tcW w:w="1069" w:type="dxa"/>
            <w:tcBorders>
              <w:top w:val="single" w:sz="4" w:space="0" w:color="auto"/>
              <w:left w:val="nil"/>
              <w:bottom w:val="single" w:sz="4" w:space="0" w:color="auto"/>
              <w:right w:val="single" w:sz="4" w:space="0" w:color="auto"/>
            </w:tcBorders>
            <w:vAlign w:val="center"/>
          </w:tcPr>
          <w:p w14:paraId="13CE294A" w14:textId="77777777" w:rsidR="00602898" w:rsidRPr="004865EF" w:rsidRDefault="00602898" w:rsidP="00602898">
            <w:pPr>
              <w:jc w:val="center"/>
              <w:rPr>
                <w:rFonts w:ascii="Times New Roman" w:eastAsia="宋体" w:hAnsi="Times New Roman" w:cs="Times New Roman"/>
                <w:b/>
                <w:szCs w:val="21"/>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2BF04" w14:textId="77777777" w:rsidR="00602898" w:rsidRPr="004865EF" w:rsidRDefault="00602898" w:rsidP="00602898">
            <w:pPr>
              <w:widowControl/>
              <w:jc w:val="right"/>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7,078.60</w:t>
            </w:r>
          </w:p>
        </w:tc>
        <w:tc>
          <w:tcPr>
            <w:tcW w:w="1107" w:type="dxa"/>
            <w:tcBorders>
              <w:top w:val="nil"/>
              <w:left w:val="nil"/>
              <w:bottom w:val="single" w:sz="4" w:space="0" w:color="auto"/>
              <w:right w:val="single" w:sz="4" w:space="0" w:color="auto"/>
            </w:tcBorders>
            <w:shd w:val="clear" w:color="auto" w:fill="auto"/>
            <w:noWrap/>
            <w:vAlign w:val="center"/>
            <w:hideMark/>
          </w:tcPr>
          <w:p w14:paraId="5536F310" w14:textId="77777777" w:rsidR="00602898" w:rsidRPr="004865EF" w:rsidRDefault="00602898" w:rsidP="00602898">
            <w:pPr>
              <w:jc w:val="right"/>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40,000.00</w:t>
            </w:r>
          </w:p>
        </w:tc>
        <w:tc>
          <w:tcPr>
            <w:tcW w:w="1004" w:type="dxa"/>
            <w:tcBorders>
              <w:top w:val="nil"/>
              <w:left w:val="nil"/>
              <w:bottom w:val="single" w:sz="4" w:space="0" w:color="auto"/>
              <w:right w:val="single" w:sz="4" w:space="0" w:color="auto"/>
            </w:tcBorders>
            <w:shd w:val="clear" w:color="auto" w:fill="auto"/>
            <w:noWrap/>
            <w:vAlign w:val="center"/>
            <w:hideMark/>
          </w:tcPr>
          <w:p w14:paraId="38179B42" w14:textId="77777777" w:rsidR="00602898" w:rsidRPr="004865EF" w:rsidRDefault="00602898" w:rsidP="00602898">
            <w:pPr>
              <w:jc w:val="right"/>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100.00%</w:t>
            </w:r>
          </w:p>
        </w:tc>
      </w:tr>
    </w:tbl>
    <w:p w14:paraId="6DF350ED" w14:textId="77777777"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kern w:val="0"/>
          <w:sz w:val="24"/>
          <w:szCs w:val="21"/>
        </w:rPr>
        <w:t>长沙一期</w:t>
      </w:r>
      <w:r w:rsidRPr="004865EF">
        <w:rPr>
          <w:rFonts w:ascii="Times New Roman" w:eastAsia="宋体" w:hAnsi="Times New Roman" w:cs="Times New Roman" w:hint="eastAsia"/>
          <w:sz w:val="24"/>
        </w:rPr>
        <w:t>项目具体投资明细、投资金额和测算依据及过程如下：</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8"/>
        <w:gridCol w:w="2336"/>
        <w:gridCol w:w="1240"/>
        <w:gridCol w:w="960"/>
        <w:gridCol w:w="2629"/>
      </w:tblGrid>
      <w:tr w:rsidR="004865EF" w:rsidRPr="004865EF" w14:paraId="4C7E25F0" w14:textId="77777777" w:rsidTr="00602898">
        <w:trPr>
          <w:trHeight w:val="397"/>
          <w:tblHeader/>
          <w:jc w:val="center"/>
        </w:trPr>
        <w:tc>
          <w:tcPr>
            <w:tcW w:w="582" w:type="dxa"/>
            <w:shd w:val="clear" w:color="000000" w:fill="FFFFFF"/>
            <w:noWrap/>
            <w:vAlign w:val="center"/>
          </w:tcPr>
          <w:p w14:paraId="2A747CA0"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序号</w:t>
            </w:r>
          </w:p>
        </w:tc>
        <w:tc>
          <w:tcPr>
            <w:tcW w:w="1418" w:type="dxa"/>
            <w:shd w:val="clear" w:color="000000" w:fill="FFFFFF"/>
            <w:noWrap/>
            <w:vAlign w:val="center"/>
          </w:tcPr>
          <w:p w14:paraId="51DDC896"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投资明细</w:t>
            </w:r>
          </w:p>
        </w:tc>
        <w:tc>
          <w:tcPr>
            <w:tcW w:w="2336" w:type="dxa"/>
            <w:shd w:val="clear" w:color="000000" w:fill="FFFFFF"/>
            <w:noWrap/>
            <w:vAlign w:val="center"/>
          </w:tcPr>
          <w:p w14:paraId="446500C1"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具体建设内容</w:t>
            </w:r>
          </w:p>
        </w:tc>
        <w:tc>
          <w:tcPr>
            <w:tcW w:w="1240" w:type="dxa"/>
            <w:shd w:val="clear" w:color="000000" w:fill="FFFFFF"/>
            <w:noWrap/>
            <w:vAlign w:val="center"/>
          </w:tcPr>
          <w:p w14:paraId="71DAB2EB"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金额（万元）</w:t>
            </w:r>
          </w:p>
        </w:tc>
        <w:tc>
          <w:tcPr>
            <w:tcW w:w="960" w:type="dxa"/>
            <w:shd w:val="clear" w:color="000000" w:fill="FFFFFF"/>
            <w:noWrap/>
            <w:vAlign w:val="center"/>
          </w:tcPr>
          <w:p w14:paraId="6E0ED429"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占比</w:t>
            </w:r>
          </w:p>
        </w:tc>
        <w:tc>
          <w:tcPr>
            <w:tcW w:w="2629" w:type="dxa"/>
            <w:shd w:val="clear" w:color="000000" w:fill="FFFFFF"/>
            <w:noWrap/>
            <w:vAlign w:val="center"/>
          </w:tcPr>
          <w:p w14:paraId="49EE0D39"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测算依据及测算过程</w:t>
            </w:r>
          </w:p>
        </w:tc>
      </w:tr>
      <w:tr w:rsidR="004865EF" w:rsidRPr="004865EF" w14:paraId="14427548" w14:textId="77777777" w:rsidTr="00602898">
        <w:trPr>
          <w:trHeight w:val="397"/>
          <w:jc w:val="center"/>
        </w:trPr>
        <w:tc>
          <w:tcPr>
            <w:tcW w:w="582" w:type="dxa"/>
            <w:shd w:val="clear" w:color="auto" w:fill="auto"/>
            <w:noWrap/>
            <w:vAlign w:val="center"/>
          </w:tcPr>
          <w:p w14:paraId="1E82470D"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w:t>
            </w:r>
          </w:p>
        </w:tc>
        <w:tc>
          <w:tcPr>
            <w:tcW w:w="1418" w:type="dxa"/>
            <w:shd w:val="clear" w:color="auto" w:fill="auto"/>
            <w:noWrap/>
            <w:vAlign w:val="center"/>
          </w:tcPr>
          <w:p w14:paraId="06EC6F8E"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项目资本支出</w:t>
            </w:r>
          </w:p>
        </w:tc>
        <w:tc>
          <w:tcPr>
            <w:tcW w:w="2336" w:type="dxa"/>
            <w:shd w:val="clear" w:color="auto" w:fill="auto"/>
            <w:noWrap/>
            <w:vAlign w:val="center"/>
          </w:tcPr>
          <w:p w14:paraId="3780460C"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本项目主要固定资产投资</w:t>
            </w:r>
          </w:p>
        </w:tc>
        <w:tc>
          <w:tcPr>
            <w:tcW w:w="1240" w:type="dxa"/>
            <w:shd w:val="clear" w:color="auto" w:fill="auto"/>
            <w:noWrap/>
            <w:vAlign w:val="center"/>
          </w:tcPr>
          <w:p w14:paraId="4F0BFB52"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344,380.00</w:t>
            </w:r>
          </w:p>
        </w:tc>
        <w:tc>
          <w:tcPr>
            <w:tcW w:w="960" w:type="dxa"/>
            <w:shd w:val="clear" w:color="auto" w:fill="auto"/>
            <w:noWrap/>
            <w:vAlign w:val="center"/>
          </w:tcPr>
          <w:p w14:paraId="19B56523"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99.42%</w:t>
            </w:r>
          </w:p>
        </w:tc>
        <w:tc>
          <w:tcPr>
            <w:tcW w:w="2629" w:type="dxa"/>
            <w:shd w:val="clear" w:color="auto" w:fill="auto"/>
            <w:noWrap/>
            <w:vAlign w:val="center"/>
          </w:tcPr>
          <w:p w14:paraId="5EF5BC37"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5C776EA9" w14:textId="77777777" w:rsidTr="00602898">
        <w:trPr>
          <w:trHeight w:val="397"/>
          <w:jc w:val="center"/>
        </w:trPr>
        <w:tc>
          <w:tcPr>
            <w:tcW w:w="582" w:type="dxa"/>
            <w:shd w:val="clear" w:color="auto" w:fill="auto"/>
            <w:noWrap/>
            <w:vAlign w:val="center"/>
          </w:tcPr>
          <w:p w14:paraId="549A02D4"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1.1</w:t>
            </w:r>
          </w:p>
        </w:tc>
        <w:tc>
          <w:tcPr>
            <w:tcW w:w="1418" w:type="dxa"/>
            <w:shd w:val="clear" w:color="auto" w:fill="auto"/>
            <w:noWrap/>
            <w:vAlign w:val="center"/>
          </w:tcPr>
          <w:p w14:paraId="336B5748"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土地成本</w:t>
            </w:r>
          </w:p>
        </w:tc>
        <w:tc>
          <w:tcPr>
            <w:tcW w:w="2336" w:type="dxa"/>
            <w:shd w:val="clear" w:color="auto" w:fill="auto"/>
            <w:noWrap/>
            <w:vAlign w:val="center"/>
          </w:tcPr>
          <w:p w14:paraId="38003DF2" w14:textId="77777777" w:rsidR="00602898" w:rsidRPr="004865EF" w:rsidRDefault="00602898" w:rsidP="00602898">
            <w:pPr>
              <w:widowControl/>
              <w:rPr>
                <w:rFonts w:ascii="Times New Roman" w:eastAsia="宋体" w:hAnsi="Times New Roman" w:cs="Times New Roman"/>
                <w:kern w:val="0"/>
                <w:sz w:val="18"/>
                <w:szCs w:val="18"/>
              </w:rPr>
            </w:pPr>
          </w:p>
        </w:tc>
        <w:tc>
          <w:tcPr>
            <w:tcW w:w="1240" w:type="dxa"/>
            <w:shd w:val="clear" w:color="auto" w:fill="auto"/>
            <w:noWrap/>
            <w:vAlign w:val="center"/>
          </w:tcPr>
          <w:p w14:paraId="7C55501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7,077.39</w:t>
            </w:r>
          </w:p>
        </w:tc>
        <w:tc>
          <w:tcPr>
            <w:tcW w:w="960" w:type="dxa"/>
            <w:shd w:val="clear" w:color="auto" w:fill="auto"/>
            <w:noWrap/>
            <w:vAlign w:val="center"/>
          </w:tcPr>
          <w:p w14:paraId="6FEF7B9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2.04%</w:t>
            </w:r>
          </w:p>
        </w:tc>
        <w:tc>
          <w:tcPr>
            <w:tcW w:w="2629" w:type="dxa"/>
            <w:shd w:val="clear" w:color="auto" w:fill="auto"/>
            <w:noWrap/>
            <w:vAlign w:val="center"/>
          </w:tcPr>
          <w:p w14:paraId="51664BD1"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58CAB30E" w14:textId="77777777" w:rsidTr="00602898">
        <w:trPr>
          <w:trHeight w:val="397"/>
          <w:jc w:val="center"/>
        </w:trPr>
        <w:tc>
          <w:tcPr>
            <w:tcW w:w="582" w:type="dxa"/>
            <w:shd w:val="clear" w:color="auto" w:fill="auto"/>
            <w:noWrap/>
            <w:vAlign w:val="center"/>
          </w:tcPr>
          <w:p w14:paraId="6CDD2C26"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w:t>
            </w:r>
          </w:p>
        </w:tc>
        <w:tc>
          <w:tcPr>
            <w:tcW w:w="1418" w:type="dxa"/>
            <w:shd w:val="clear" w:color="auto" w:fill="auto"/>
            <w:noWrap/>
            <w:vAlign w:val="center"/>
          </w:tcPr>
          <w:p w14:paraId="7BF39713"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工程建设</w:t>
            </w:r>
          </w:p>
        </w:tc>
        <w:tc>
          <w:tcPr>
            <w:tcW w:w="2336" w:type="dxa"/>
            <w:shd w:val="clear" w:color="auto" w:fill="auto"/>
            <w:noWrap/>
            <w:vAlign w:val="center"/>
          </w:tcPr>
          <w:p w14:paraId="4AF7BC0C"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4</w:t>
            </w:r>
            <w:r w:rsidRPr="004865EF">
              <w:rPr>
                <w:rFonts w:ascii="Times New Roman" w:eastAsia="宋体" w:hAnsi="Times New Roman" w:cs="Times New Roman" w:hint="eastAsia"/>
                <w:kern w:val="0"/>
                <w:sz w:val="18"/>
                <w:szCs w:val="18"/>
              </w:rPr>
              <w:t>栋数据中心及配套楼宇</w:t>
            </w:r>
          </w:p>
        </w:tc>
        <w:tc>
          <w:tcPr>
            <w:tcW w:w="1240" w:type="dxa"/>
            <w:shd w:val="clear" w:color="auto" w:fill="auto"/>
            <w:noWrap/>
            <w:vAlign w:val="center"/>
          </w:tcPr>
          <w:p w14:paraId="1CF5F3D9"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98,380.00</w:t>
            </w:r>
          </w:p>
        </w:tc>
        <w:tc>
          <w:tcPr>
            <w:tcW w:w="960" w:type="dxa"/>
            <w:shd w:val="clear" w:color="auto" w:fill="auto"/>
            <w:noWrap/>
            <w:vAlign w:val="center"/>
          </w:tcPr>
          <w:p w14:paraId="22989D5B"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28.40%</w:t>
            </w:r>
          </w:p>
        </w:tc>
        <w:tc>
          <w:tcPr>
            <w:tcW w:w="2629" w:type="dxa"/>
            <w:shd w:val="clear" w:color="auto" w:fill="auto"/>
            <w:noWrap/>
            <w:vAlign w:val="center"/>
          </w:tcPr>
          <w:p w14:paraId="53D97783"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根据本项目规划情况确定建筑面积，及当地市场费用单价，通过建筑面积及单价进行估算</w:t>
            </w:r>
          </w:p>
        </w:tc>
      </w:tr>
      <w:tr w:rsidR="004865EF" w:rsidRPr="004865EF" w14:paraId="541BB0E4" w14:textId="77777777" w:rsidTr="00602898">
        <w:trPr>
          <w:trHeight w:val="397"/>
          <w:jc w:val="center"/>
        </w:trPr>
        <w:tc>
          <w:tcPr>
            <w:tcW w:w="582" w:type="dxa"/>
            <w:shd w:val="clear" w:color="auto" w:fill="auto"/>
            <w:noWrap/>
            <w:vAlign w:val="center"/>
          </w:tcPr>
          <w:p w14:paraId="73441173"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w:t>
            </w:r>
          </w:p>
        </w:tc>
        <w:tc>
          <w:tcPr>
            <w:tcW w:w="1418" w:type="dxa"/>
            <w:shd w:val="clear" w:color="auto" w:fill="auto"/>
            <w:noWrap/>
            <w:vAlign w:val="center"/>
          </w:tcPr>
          <w:p w14:paraId="155E622A"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设备购置</w:t>
            </w:r>
          </w:p>
        </w:tc>
        <w:tc>
          <w:tcPr>
            <w:tcW w:w="2336" w:type="dxa"/>
            <w:shd w:val="clear" w:color="auto" w:fill="auto"/>
            <w:noWrap/>
            <w:vAlign w:val="center"/>
          </w:tcPr>
          <w:p w14:paraId="60E8A29F" w14:textId="77777777" w:rsidR="00602898" w:rsidRPr="004865EF" w:rsidRDefault="00602898" w:rsidP="00602898">
            <w:pPr>
              <w:widowControl/>
              <w:rPr>
                <w:rFonts w:ascii="Times New Roman" w:eastAsia="宋体" w:hAnsi="Times New Roman" w:cs="Times New Roman"/>
                <w:kern w:val="0"/>
                <w:sz w:val="18"/>
                <w:szCs w:val="18"/>
              </w:rPr>
            </w:pPr>
          </w:p>
        </w:tc>
        <w:tc>
          <w:tcPr>
            <w:tcW w:w="1240" w:type="dxa"/>
            <w:shd w:val="clear" w:color="auto" w:fill="auto"/>
            <w:noWrap/>
            <w:vAlign w:val="center"/>
          </w:tcPr>
          <w:p w14:paraId="57B3A4E6"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236,420.00</w:t>
            </w:r>
          </w:p>
        </w:tc>
        <w:tc>
          <w:tcPr>
            <w:tcW w:w="960" w:type="dxa"/>
            <w:shd w:val="clear" w:color="auto" w:fill="auto"/>
            <w:noWrap/>
            <w:vAlign w:val="center"/>
          </w:tcPr>
          <w:p w14:paraId="21C9DE0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68.25%</w:t>
            </w:r>
          </w:p>
        </w:tc>
        <w:tc>
          <w:tcPr>
            <w:tcW w:w="2629" w:type="dxa"/>
            <w:shd w:val="clear" w:color="auto" w:fill="auto"/>
            <w:noWrap/>
            <w:vAlign w:val="center"/>
          </w:tcPr>
          <w:p w14:paraId="58587209"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37DA0867" w14:textId="77777777" w:rsidTr="00602898">
        <w:trPr>
          <w:trHeight w:val="397"/>
          <w:jc w:val="center"/>
        </w:trPr>
        <w:tc>
          <w:tcPr>
            <w:tcW w:w="582" w:type="dxa"/>
            <w:shd w:val="clear" w:color="auto" w:fill="auto"/>
            <w:noWrap/>
            <w:vAlign w:val="center"/>
          </w:tcPr>
          <w:p w14:paraId="455DEAB4"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1.3.1</w:t>
            </w:r>
          </w:p>
        </w:tc>
        <w:tc>
          <w:tcPr>
            <w:tcW w:w="1418" w:type="dxa"/>
            <w:shd w:val="clear" w:color="auto" w:fill="auto"/>
            <w:noWrap/>
            <w:vAlign w:val="center"/>
          </w:tcPr>
          <w:p w14:paraId="3F01C6FE"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配电系统</w:t>
            </w:r>
          </w:p>
        </w:tc>
        <w:tc>
          <w:tcPr>
            <w:tcW w:w="2336" w:type="dxa"/>
            <w:shd w:val="clear" w:color="auto" w:fill="auto"/>
            <w:noWrap/>
            <w:vAlign w:val="center"/>
          </w:tcPr>
          <w:p w14:paraId="423BE2AD"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柴油发电机组、高低压配电柜、交流列头柜（箱）、</w:t>
            </w:r>
            <w:r w:rsidRPr="004865EF">
              <w:rPr>
                <w:rFonts w:ascii="Times New Roman" w:eastAsia="宋体" w:hAnsi="Times New Roman" w:cs="Times New Roman"/>
                <w:kern w:val="0"/>
                <w:sz w:val="18"/>
                <w:szCs w:val="18"/>
              </w:rPr>
              <w:t>UPS</w:t>
            </w:r>
            <w:r w:rsidRPr="004865EF">
              <w:rPr>
                <w:rFonts w:ascii="Times New Roman" w:eastAsia="宋体" w:hAnsi="Times New Roman" w:cs="Times New Roman"/>
                <w:kern w:val="0"/>
                <w:sz w:val="18"/>
                <w:szCs w:val="18"/>
              </w:rPr>
              <w:t>及蓄电池</w:t>
            </w:r>
            <w:r w:rsidRPr="004865EF">
              <w:rPr>
                <w:rFonts w:ascii="Times New Roman" w:eastAsia="宋体" w:hAnsi="Times New Roman" w:cs="Times New Roman" w:hint="eastAsia"/>
                <w:kern w:val="0"/>
                <w:sz w:val="18"/>
                <w:szCs w:val="18"/>
              </w:rPr>
              <w:t>、变压器、</w:t>
            </w:r>
            <w:r w:rsidRPr="004865EF">
              <w:rPr>
                <w:rFonts w:ascii="Times New Roman" w:eastAsia="宋体" w:hAnsi="Times New Roman" w:cs="Times New Roman" w:hint="eastAsia"/>
                <w:kern w:val="0"/>
                <w:sz w:val="18"/>
                <w:szCs w:val="18"/>
              </w:rPr>
              <w:t>PDU</w:t>
            </w:r>
            <w:r w:rsidRPr="004865EF">
              <w:rPr>
                <w:rFonts w:ascii="Times New Roman" w:eastAsia="宋体" w:hAnsi="Times New Roman" w:cs="Times New Roman" w:hint="eastAsia"/>
                <w:kern w:val="0"/>
                <w:sz w:val="18"/>
                <w:szCs w:val="18"/>
              </w:rPr>
              <w:t>、桥架、线缆、油泵及油路等设备的采购及施工</w:t>
            </w:r>
          </w:p>
        </w:tc>
        <w:tc>
          <w:tcPr>
            <w:tcW w:w="1240" w:type="dxa"/>
            <w:shd w:val="clear" w:color="auto" w:fill="auto"/>
            <w:noWrap/>
            <w:vAlign w:val="center"/>
          </w:tcPr>
          <w:p w14:paraId="0E73EFFA"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156,800.00</w:t>
            </w:r>
          </w:p>
        </w:tc>
        <w:tc>
          <w:tcPr>
            <w:tcW w:w="960" w:type="dxa"/>
            <w:shd w:val="clear" w:color="auto" w:fill="auto"/>
            <w:noWrap/>
            <w:vAlign w:val="center"/>
          </w:tcPr>
          <w:p w14:paraId="10C9F73B"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45.27%</w:t>
            </w:r>
          </w:p>
        </w:tc>
        <w:tc>
          <w:tcPr>
            <w:tcW w:w="2629" w:type="dxa"/>
            <w:vMerge w:val="restart"/>
            <w:shd w:val="clear" w:color="auto" w:fill="auto"/>
            <w:noWrap/>
            <w:vAlign w:val="center"/>
          </w:tcPr>
          <w:p w14:paraId="2F1E48C2"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w:t>
            </w:r>
            <w:r w:rsidRPr="004865EF">
              <w:rPr>
                <w:rFonts w:ascii="Times New Roman" w:eastAsia="宋体" w:hAnsi="Times New Roman" w:cs="Times New Roman" w:hint="eastAsia"/>
                <w:kern w:val="0"/>
                <w:sz w:val="18"/>
                <w:szCs w:val="18"/>
              </w:rPr>
              <w:t>本</w:t>
            </w:r>
            <w:r w:rsidRPr="004865EF">
              <w:rPr>
                <w:rFonts w:ascii="Times New Roman" w:eastAsia="宋体" w:hAnsi="Times New Roman" w:cs="Times New Roman"/>
                <w:kern w:val="0"/>
                <w:sz w:val="18"/>
                <w:szCs w:val="18"/>
              </w:rPr>
              <w:t>项目规划情况、</w:t>
            </w:r>
            <w:r w:rsidRPr="004865EF">
              <w:rPr>
                <w:rFonts w:ascii="Times New Roman" w:eastAsia="宋体" w:hAnsi="Times New Roman" w:cs="Times New Roman" w:hint="eastAsia"/>
                <w:kern w:val="0"/>
                <w:sz w:val="18"/>
                <w:szCs w:val="18"/>
              </w:rPr>
              <w:t>项目所需的电力及制冷总量、</w:t>
            </w:r>
            <w:r w:rsidRPr="004865EF">
              <w:rPr>
                <w:rFonts w:ascii="Times New Roman" w:eastAsia="宋体" w:hAnsi="Times New Roman" w:cs="Times New Roman"/>
                <w:kern w:val="0"/>
                <w:sz w:val="18"/>
                <w:szCs w:val="18"/>
              </w:rPr>
              <w:t>设备需求</w:t>
            </w:r>
            <w:r w:rsidRPr="004865EF">
              <w:rPr>
                <w:rFonts w:ascii="Times New Roman" w:eastAsia="宋体" w:hAnsi="Times New Roman" w:cs="Times New Roman" w:hint="eastAsia"/>
                <w:kern w:val="0"/>
                <w:sz w:val="18"/>
                <w:szCs w:val="18"/>
              </w:rPr>
              <w:t>预计数量</w:t>
            </w:r>
            <w:r w:rsidRPr="004865EF">
              <w:rPr>
                <w:rFonts w:ascii="Times New Roman" w:eastAsia="宋体" w:hAnsi="Times New Roman" w:cs="Times New Roman"/>
                <w:kern w:val="0"/>
                <w:sz w:val="18"/>
                <w:szCs w:val="18"/>
              </w:rPr>
              <w:t>、市场现行</w:t>
            </w:r>
            <w:r w:rsidRPr="004865EF">
              <w:rPr>
                <w:rFonts w:ascii="Times New Roman" w:eastAsia="宋体" w:hAnsi="Times New Roman" w:cs="Times New Roman" w:hint="eastAsia"/>
                <w:kern w:val="0"/>
                <w:sz w:val="18"/>
                <w:szCs w:val="18"/>
              </w:rPr>
              <w:t>设备通用单价</w:t>
            </w:r>
            <w:r w:rsidRPr="004865EF">
              <w:rPr>
                <w:rFonts w:ascii="Times New Roman" w:eastAsia="宋体" w:hAnsi="Times New Roman" w:cs="Times New Roman"/>
                <w:kern w:val="0"/>
                <w:sz w:val="18"/>
                <w:szCs w:val="18"/>
              </w:rPr>
              <w:t>，</w:t>
            </w:r>
            <w:r w:rsidRPr="004865EF">
              <w:rPr>
                <w:rFonts w:ascii="Times New Roman" w:eastAsia="宋体" w:hAnsi="Times New Roman" w:cs="Times New Roman" w:hint="eastAsia"/>
                <w:kern w:val="0"/>
                <w:sz w:val="18"/>
                <w:szCs w:val="18"/>
              </w:rPr>
              <w:t>并结合公司历史类似项目情况估算系统建设投资</w:t>
            </w:r>
          </w:p>
        </w:tc>
      </w:tr>
      <w:tr w:rsidR="004865EF" w:rsidRPr="004865EF" w14:paraId="4128C07B" w14:textId="77777777" w:rsidTr="00602898">
        <w:trPr>
          <w:trHeight w:val="397"/>
          <w:jc w:val="center"/>
        </w:trPr>
        <w:tc>
          <w:tcPr>
            <w:tcW w:w="582" w:type="dxa"/>
            <w:shd w:val="clear" w:color="auto" w:fill="auto"/>
            <w:noWrap/>
            <w:vAlign w:val="center"/>
          </w:tcPr>
          <w:p w14:paraId="42812DA9"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1.3.2</w:t>
            </w:r>
          </w:p>
        </w:tc>
        <w:tc>
          <w:tcPr>
            <w:tcW w:w="1418" w:type="dxa"/>
            <w:shd w:val="clear" w:color="auto" w:fill="auto"/>
            <w:noWrap/>
            <w:vAlign w:val="center"/>
          </w:tcPr>
          <w:p w14:paraId="70C188DA"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空调系统</w:t>
            </w:r>
          </w:p>
        </w:tc>
        <w:tc>
          <w:tcPr>
            <w:tcW w:w="2336" w:type="dxa"/>
            <w:shd w:val="clear" w:color="auto" w:fill="auto"/>
            <w:noWrap/>
            <w:vAlign w:val="center"/>
          </w:tcPr>
          <w:p w14:paraId="4BAC18F1"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冷机、精密空调、水泵、冷却塔</w:t>
            </w:r>
            <w:r w:rsidRPr="004865EF">
              <w:rPr>
                <w:rFonts w:ascii="Times New Roman" w:eastAsia="宋体" w:hAnsi="Times New Roman" w:cs="Times New Roman" w:hint="eastAsia"/>
                <w:kern w:val="0"/>
                <w:sz w:val="18"/>
                <w:szCs w:val="18"/>
              </w:rPr>
              <w:t>、蓄冷罐、新风系统、加湿器</w:t>
            </w:r>
            <w:r w:rsidRPr="004865EF">
              <w:rPr>
                <w:rFonts w:ascii="Times New Roman" w:eastAsia="宋体" w:hAnsi="Times New Roman" w:cs="Times New Roman"/>
                <w:kern w:val="0"/>
                <w:sz w:val="18"/>
                <w:szCs w:val="18"/>
              </w:rPr>
              <w:t>等</w:t>
            </w:r>
            <w:r w:rsidRPr="004865EF">
              <w:rPr>
                <w:rFonts w:ascii="Times New Roman" w:eastAsia="宋体" w:hAnsi="Times New Roman" w:cs="Times New Roman" w:hint="eastAsia"/>
                <w:kern w:val="0"/>
                <w:sz w:val="18"/>
                <w:szCs w:val="18"/>
              </w:rPr>
              <w:t>设备的采购及施</w:t>
            </w:r>
            <w:r w:rsidRPr="004865EF">
              <w:rPr>
                <w:rFonts w:ascii="Times New Roman" w:eastAsia="宋体" w:hAnsi="Times New Roman" w:cs="Times New Roman" w:hint="eastAsia"/>
                <w:kern w:val="0"/>
                <w:sz w:val="18"/>
                <w:szCs w:val="18"/>
              </w:rPr>
              <w:lastRenderedPageBreak/>
              <w:t>工</w:t>
            </w:r>
          </w:p>
        </w:tc>
        <w:tc>
          <w:tcPr>
            <w:tcW w:w="1240" w:type="dxa"/>
            <w:shd w:val="clear" w:color="auto" w:fill="auto"/>
            <w:noWrap/>
            <w:vAlign w:val="center"/>
          </w:tcPr>
          <w:p w14:paraId="2445B83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lastRenderedPageBreak/>
              <w:t>43,520.00</w:t>
            </w:r>
          </w:p>
        </w:tc>
        <w:tc>
          <w:tcPr>
            <w:tcW w:w="960" w:type="dxa"/>
            <w:shd w:val="clear" w:color="auto" w:fill="auto"/>
            <w:noWrap/>
            <w:vAlign w:val="center"/>
          </w:tcPr>
          <w:p w14:paraId="21B991B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12.56%</w:t>
            </w:r>
          </w:p>
        </w:tc>
        <w:tc>
          <w:tcPr>
            <w:tcW w:w="2629" w:type="dxa"/>
            <w:vMerge/>
            <w:vAlign w:val="center"/>
          </w:tcPr>
          <w:p w14:paraId="6718E57C"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13BF2D94" w14:textId="77777777" w:rsidTr="00602898">
        <w:trPr>
          <w:trHeight w:val="397"/>
          <w:jc w:val="center"/>
        </w:trPr>
        <w:tc>
          <w:tcPr>
            <w:tcW w:w="582" w:type="dxa"/>
            <w:shd w:val="clear" w:color="auto" w:fill="auto"/>
            <w:noWrap/>
            <w:vAlign w:val="center"/>
          </w:tcPr>
          <w:p w14:paraId="536D00E1"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lastRenderedPageBreak/>
              <w:t>1.3.3</w:t>
            </w:r>
          </w:p>
        </w:tc>
        <w:tc>
          <w:tcPr>
            <w:tcW w:w="1418" w:type="dxa"/>
            <w:shd w:val="clear" w:color="auto" w:fill="auto"/>
            <w:noWrap/>
            <w:vAlign w:val="center"/>
          </w:tcPr>
          <w:p w14:paraId="17C79B8C"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弱电系统</w:t>
            </w:r>
          </w:p>
        </w:tc>
        <w:tc>
          <w:tcPr>
            <w:tcW w:w="2336" w:type="dxa"/>
            <w:shd w:val="clear" w:color="auto" w:fill="auto"/>
            <w:noWrap/>
            <w:vAlign w:val="center"/>
          </w:tcPr>
          <w:p w14:paraId="5FA6FB3C" w14:textId="77777777" w:rsidR="00602898" w:rsidRPr="004865EF" w:rsidRDefault="00602898" w:rsidP="00602898">
            <w:pPr>
              <w:widowControl/>
              <w:jc w:val="left"/>
              <w:rPr>
                <w:rFonts w:ascii="Times New Roman" w:eastAsia="宋体" w:hAnsi="Times New Roman" w:cs="Times New Roman"/>
                <w:kern w:val="0"/>
                <w:sz w:val="18"/>
                <w:szCs w:val="18"/>
              </w:rPr>
            </w:pPr>
            <w:proofErr w:type="gramStart"/>
            <w:r w:rsidRPr="004865EF">
              <w:rPr>
                <w:rFonts w:ascii="Times New Roman" w:eastAsia="宋体" w:hAnsi="Times New Roman" w:cs="Times New Roman" w:hint="eastAsia"/>
                <w:kern w:val="0"/>
                <w:sz w:val="18"/>
                <w:szCs w:val="18"/>
              </w:rPr>
              <w:t>动环</w:t>
            </w:r>
            <w:r w:rsidRPr="004865EF">
              <w:rPr>
                <w:rFonts w:ascii="Times New Roman" w:eastAsia="宋体" w:hAnsi="Times New Roman" w:cs="Times New Roman"/>
                <w:kern w:val="0"/>
                <w:sz w:val="18"/>
                <w:szCs w:val="18"/>
              </w:rPr>
              <w:t>系统</w:t>
            </w:r>
            <w:proofErr w:type="gramEnd"/>
            <w:r w:rsidRPr="004865EF">
              <w:rPr>
                <w:rFonts w:ascii="Times New Roman" w:eastAsia="宋体" w:hAnsi="Times New Roman" w:cs="Times New Roman" w:hint="eastAsia"/>
                <w:kern w:val="0"/>
                <w:sz w:val="18"/>
                <w:szCs w:val="18"/>
              </w:rPr>
              <w:t>及</w:t>
            </w:r>
            <w:r w:rsidRPr="004865EF">
              <w:rPr>
                <w:rFonts w:ascii="Times New Roman" w:eastAsia="宋体" w:hAnsi="Times New Roman" w:cs="Times New Roman"/>
                <w:kern w:val="0"/>
                <w:sz w:val="18"/>
                <w:szCs w:val="18"/>
              </w:rPr>
              <w:t>设备</w:t>
            </w:r>
            <w:r w:rsidRPr="004865EF">
              <w:rPr>
                <w:rFonts w:ascii="Times New Roman" w:eastAsia="宋体" w:hAnsi="Times New Roman" w:cs="Times New Roman" w:hint="eastAsia"/>
                <w:kern w:val="0"/>
                <w:sz w:val="18"/>
                <w:szCs w:val="18"/>
              </w:rPr>
              <w:t>、摄像头、门禁、电子围栏</w:t>
            </w:r>
            <w:r w:rsidRPr="004865EF">
              <w:rPr>
                <w:rFonts w:ascii="Times New Roman" w:eastAsia="宋体" w:hAnsi="Times New Roman" w:cs="Times New Roman"/>
                <w:kern w:val="0"/>
                <w:sz w:val="18"/>
                <w:szCs w:val="18"/>
              </w:rPr>
              <w:t>等</w:t>
            </w:r>
            <w:r w:rsidRPr="004865EF">
              <w:rPr>
                <w:rFonts w:ascii="Times New Roman" w:eastAsia="宋体" w:hAnsi="Times New Roman" w:cs="Times New Roman" w:hint="eastAsia"/>
                <w:kern w:val="0"/>
                <w:sz w:val="18"/>
                <w:szCs w:val="18"/>
              </w:rPr>
              <w:t>设备的采购及施工</w:t>
            </w:r>
          </w:p>
        </w:tc>
        <w:tc>
          <w:tcPr>
            <w:tcW w:w="1240" w:type="dxa"/>
            <w:shd w:val="clear" w:color="auto" w:fill="auto"/>
            <w:noWrap/>
            <w:vAlign w:val="center"/>
          </w:tcPr>
          <w:p w14:paraId="2401218A"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7,200.00</w:t>
            </w:r>
          </w:p>
        </w:tc>
        <w:tc>
          <w:tcPr>
            <w:tcW w:w="960" w:type="dxa"/>
            <w:shd w:val="clear" w:color="auto" w:fill="auto"/>
            <w:noWrap/>
            <w:vAlign w:val="center"/>
          </w:tcPr>
          <w:p w14:paraId="5A705E75"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2.08%</w:t>
            </w:r>
          </w:p>
        </w:tc>
        <w:tc>
          <w:tcPr>
            <w:tcW w:w="2629" w:type="dxa"/>
            <w:vMerge/>
            <w:vAlign w:val="center"/>
          </w:tcPr>
          <w:p w14:paraId="23E4989B"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776BF7C9" w14:textId="77777777" w:rsidTr="00602898">
        <w:trPr>
          <w:trHeight w:val="397"/>
          <w:jc w:val="center"/>
        </w:trPr>
        <w:tc>
          <w:tcPr>
            <w:tcW w:w="582" w:type="dxa"/>
            <w:shd w:val="clear" w:color="auto" w:fill="auto"/>
            <w:noWrap/>
            <w:vAlign w:val="center"/>
          </w:tcPr>
          <w:p w14:paraId="2844543E"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1.3.4</w:t>
            </w:r>
          </w:p>
        </w:tc>
        <w:tc>
          <w:tcPr>
            <w:tcW w:w="1418" w:type="dxa"/>
            <w:shd w:val="clear" w:color="auto" w:fill="auto"/>
            <w:noWrap/>
            <w:vAlign w:val="center"/>
          </w:tcPr>
          <w:p w14:paraId="6060A151"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消防系统</w:t>
            </w:r>
          </w:p>
        </w:tc>
        <w:tc>
          <w:tcPr>
            <w:tcW w:w="2336" w:type="dxa"/>
            <w:shd w:val="clear" w:color="auto" w:fill="auto"/>
            <w:noWrap/>
            <w:vAlign w:val="center"/>
          </w:tcPr>
          <w:p w14:paraId="7619959C"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消防公用设施</w:t>
            </w:r>
            <w:r w:rsidRPr="004865EF">
              <w:rPr>
                <w:rFonts w:ascii="Times New Roman" w:eastAsia="宋体" w:hAnsi="Times New Roman" w:cs="Times New Roman" w:hint="eastAsia"/>
                <w:kern w:val="0"/>
                <w:sz w:val="18"/>
                <w:szCs w:val="18"/>
              </w:rPr>
              <w:t>、各模块的喷淋系统、</w:t>
            </w:r>
            <w:r w:rsidRPr="004865EF">
              <w:rPr>
                <w:rFonts w:ascii="Times New Roman" w:eastAsia="宋体" w:hAnsi="Times New Roman" w:cs="Times New Roman" w:hint="eastAsia"/>
                <w:kern w:val="0"/>
                <w:sz w:val="18"/>
                <w:szCs w:val="18"/>
              </w:rPr>
              <w:t>VESDA</w:t>
            </w:r>
            <w:r w:rsidRPr="004865EF">
              <w:rPr>
                <w:rFonts w:ascii="Times New Roman" w:eastAsia="宋体" w:hAnsi="Times New Roman" w:cs="Times New Roman" w:hint="eastAsia"/>
                <w:kern w:val="0"/>
                <w:sz w:val="18"/>
                <w:szCs w:val="18"/>
              </w:rPr>
              <w:t>、防排烟、氢气检测等设备的采购及施工</w:t>
            </w:r>
          </w:p>
        </w:tc>
        <w:tc>
          <w:tcPr>
            <w:tcW w:w="1240" w:type="dxa"/>
            <w:shd w:val="clear" w:color="auto" w:fill="auto"/>
            <w:noWrap/>
            <w:vAlign w:val="center"/>
          </w:tcPr>
          <w:p w14:paraId="4E8D852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10,000.00</w:t>
            </w:r>
          </w:p>
        </w:tc>
        <w:tc>
          <w:tcPr>
            <w:tcW w:w="960" w:type="dxa"/>
            <w:shd w:val="clear" w:color="auto" w:fill="auto"/>
            <w:noWrap/>
            <w:vAlign w:val="center"/>
          </w:tcPr>
          <w:p w14:paraId="263ABA6F"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2.89%</w:t>
            </w:r>
          </w:p>
        </w:tc>
        <w:tc>
          <w:tcPr>
            <w:tcW w:w="2629" w:type="dxa"/>
            <w:vMerge w:val="restart"/>
            <w:shd w:val="clear" w:color="auto" w:fill="auto"/>
            <w:noWrap/>
            <w:vAlign w:val="center"/>
          </w:tcPr>
          <w:p w14:paraId="360EF8CF"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根据本项目消防设施规划设计并结合公司历史类似项目估算消防工程等公用工程投资</w:t>
            </w:r>
          </w:p>
        </w:tc>
      </w:tr>
      <w:tr w:rsidR="004865EF" w:rsidRPr="004865EF" w14:paraId="04A44889" w14:textId="77777777" w:rsidTr="00602898">
        <w:trPr>
          <w:trHeight w:val="397"/>
          <w:jc w:val="center"/>
        </w:trPr>
        <w:tc>
          <w:tcPr>
            <w:tcW w:w="582" w:type="dxa"/>
            <w:shd w:val="clear" w:color="auto" w:fill="auto"/>
            <w:noWrap/>
            <w:vAlign w:val="center"/>
          </w:tcPr>
          <w:p w14:paraId="040DCB04"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1.3.5</w:t>
            </w:r>
          </w:p>
        </w:tc>
        <w:tc>
          <w:tcPr>
            <w:tcW w:w="1418" w:type="dxa"/>
            <w:shd w:val="clear" w:color="auto" w:fill="auto"/>
            <w:noWrap/>
            <w:vAlign w:val="center"/>
          </w:tcPr>
          <w:p w14:paraId="203208A2"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模块装修</w:t>
            </w:r>
          </w:p>
        </w:tc>
        <w:tc>
          <w:tcPr>
            <w:tcW w:w="2336" w:type="dxa"/>
            <w:shd w:val="clear" w:color="auto" w:fill="auto"/>
            <w:noWrap/>
            <w:vAlign w:val="center"/>
          </w:tcPr>
          <w:p w14:paraId="3A8200D3"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保温棉、铜箔、地板</w:t>
            </w:r>
            <w:r w:rsidRPr="004865EF">
              <w:rPr>
                <w:rFonts w:ascii="Times New Roman" w:eastAsia="宋体" w:hAnsi="Times New Roman" w:cs="Times New Roman" w:hint="eastAsia"/>
                <w:kern w:val="0"/>
                <w:sz w:val="18"/>
                <w:szCs w:val="18"/>
              </w:rPr>
              <w:t>/</w:t>
            </w:r>
            <w:r w:rsidRPr="004865EF">
              <w:rPr>
                <w:rFonts w:ascii="Times New Roman" w:eastAsia="宋体" w:hAnsi="Times New Roman" w:cs="Times New Roman" w:hint="eastAsia"/>
                <w:kern w:val="0"/>
                <w:sz w:val="18"/>
                <w:szCs w:val="18"/>
              </w:rPr>
              <w:t>静电地板、灯具、围笼、冷热通道等设备的采购及施工</w:t>
            </w:r>
          </w:p>
        </w:tc>
        <w:tc>
          <w:tcPr>
            <w:tcW w:w="1240" w:type="dxa"/>
            <w:shd w:val="clear" w:color="auto" w:fill="auto"/>
            <w:noWrap/>
            <w:vAlign w:val="center"/>
          </w:tcPr>
          <w:p w14:paraId="28666D8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10,000.00</w:t>
            </w:r>
          </w:p>
        </w:tc>
        <w:tc>
          <w:tcPr>
            <w:tcW w:w="960" w:type="dxa"/>
            <w:shd w:val="clear" w:color="auto" w:fill="auto"/>
            <w:noWrap/>
            <w:vAlign w:val="center"/>
          </w:tcPr>
          <w:p w14:paraId="7C859E53"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2.89%</w:t>
            </w:r>
          </w:p>
        </w:tc>
        <w:tc>
          <w:tcPr>
            <w:tcW w:w="2629" w:type="dxa"/>
            <w:vMerge/>
            <w:vAlign w:val="center"/>
          </w:tcPr>
          <w:p w14:paraId="2D17C9C5"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3FA13A8B" w14:textId="77777777" w:rsidTr="00602898">
        <w:trPr>
          <w:trHeight w:val="397"/>
          <w:jc w:val="center"/>
        </w:trPr>
        <w:tc>
          <w:tcPr>
            <w:tcW w:w="582" w:type="dxa"/>
            <w:shd w:val="clear" w:color="auto" w:fill="auto"/>
            <w:noWrap/>
            <w:vAlign w:val="center"/>
          </w:tcPr>
          <w:p w14:paraId="2D7F6B90"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1.3.6</w:t>
            </w:r>
          </w:p>
        </w:tc>
        <w:tc>
          <w:tcPr>
            <w:tcW w:w="1418" w:type="dxa"/>
            <w:shd w:val="clear" w:color="auto" w:fill="auto"/>
            <w:noWrap/>
            <w:vAlign w:val="center"/>
          </w:tcPr>
          <w:p w14:paraId="0C4E4B35"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机柜</w:t>
            </w:r>
          </w:p>
        </w:tc>
        <w:tc>
          <w:tcPr>
            <w:tcW w:w="2336" w:type="dxa"/>
            <w:shd w:val="clear" w:color="auto" w:fill="auto"/>
            <w:noWrap/>
            <w:vAlign w:val="center"/>
          </w:tcPr>
          <w:p w14:paraId="32A7E634"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柜体设备</w:t>
            </w:r>
          </w:p>
        </w:tc>
        <w:tc>
          <w:tcPr>
            <w:tcW w:w="1240" w:type="dxa"/>
            <w:shd w:val="clear" w:color="auto" w:fill="auto"/>
            <w:noWrap/>
            <w:vAlign w:val="center"/>
          </w:tcPr>
          <w:p w14:paraId="6E372A56"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6,400.00</w:t>
            </w:r>
          </w:p>
        </w:tc>
        <w:tc>
          <w:tcPr>
            <w:tcW w:w="960" w:type="dxa"/>
            <w:shd w:val="clear" w:color="auto" w:fill="auto"/>
            <w:noWrap/>
            <w:vAlign w:val="center"/>
          </w:tcPr>
          <w:p w14:paraId="55601017"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1.85%</w:t>
            </w:r>
          </w:p>
        </w:tc>
        <w:tc>
          <w:tcPr>
            <w:tcW w:w="2629" w:type="dxa"/>
            <w:vMerge w:val="restart"/>
            <w:shd w:val="clear" w:color="auto" w:fill="auto"/>
            <w:noWrap/>
            <w:vAlign w:val="center"/>
          </w:tcPr>
          <w:p w14:paraId="61561CF1"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根据购置设备数量、型号并结合公司历史类似项目估算机电安装工程支出</w:t>
            </w:r>
          </w:p>
        </w:tc>
      </w:tr>
      <w:tr w:rsidR="004865EF" w:rsidRPr="004865EF" w14:paraId="1BFFA9DA" w14:textId="77777777" w:rsidTr="00602898">
        <w:trPr>
          <w:trHeight w:val="397"/>
          <w:jc w:val="center"/>
        </w:trPr>
        <w:tc>
          <w:tcPr>
            <w:tcW w:w="582" w:type="dxa"/>
            <w:shd w:val="clear" w:color="auto" w:fill="auto"/>
            <w:noWrap/>
            <w:vAlign w:val="center"/>
          </w:tcPr>
          <w:p w14:paraId="274FBD0A"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1.3.7</w:t>
            </w:r>
          </w:p>
        </w:tc>
        <w:tc>
          <w:tcPr>
            <w:tcW w:w="1418" w:type="dxa"/>
            <w:shd w:val="clear" w:color="auto" w:fill="auto"/>
            <w:noWrap/>
            <w:vAlign w:val="center"/>
          </w:tcPr>
          <w:p w14:paraId="3913FA9B"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网络系统</w:t>
            </w:r>
          </w:p>
        </w:tc>
        <w:tc>
          <w:tcPr>
            <w:tcW w:w="2336" w:type="dxa"/>
            <w:shd w:val="clear" w:color="auto" w:fill="auto"/>
            <w:noWrap/>
            <w:vAlign w:val="center"/>
          </w:tcPr>
          <w:p w14:paraId="4E81DB35"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hint="eastAsia"/>
                <w:kern w:val="0"/>
                <w:sz w:val="18"/>
                <w:szCs w:val="18"/>
              </w:rPr>
              <w:t>路由器、交换机、检测设备传输设备、防火墙等设备的采购及施工</w:t>
            </w:r>
          </w:p>
        </w:tc>
        <w:tc>
          <w:tcPr>
            <w:tcW w:w="1240" w:type="dxa"/>
            <w:shd w:val="clear" w:color="auto" w:fill="auto"/>
            <w:noWrap/>
            <w:vAlign w:val="center"/>
          </w:tcPr>
          <w:p w14:paraId="66C3645B"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2,500.00</w:t>
            </w:r>
          </w:p>
        </w:tc>
        <w:tc>
          <w:tcPr>
            <w:tcW w:w="960" w:type="dxa"/>
            <w:shd w:val="clear" w:color="auto" w:fill="auto"/>
            <w:noWrap/>
            <w:vAlign w:val="center"/>
          </w:tcPr>
          <w:p w14:paraId="70EDEAAC"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0.72%</w:t>
            </w:r>
          </w:p>
        </w:tc>
        <w:tc>
          <w:tcPr>
            <w:tcW w:w="2629" w:type="dxa"/>
            <w:vMerge/>
            <w:vAlign w:val="center"/>
          </w:tcPr>
          <w:p w14:paraId="7250ACBC"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0D1768AE" w14:textId="77777777" w:rsidTr="00602898">
        <w:trPr>
          <w:trHeight w:val="397"/>
          <w:jc w:val="center"/>
        </w:trPr>
        <w:tc>
          <w:tcPr>
            <w:tcW w:w="582" w:type="dxa"/>
            <w:shd w:val="clear" w:color="auto" w:fill="auto"/>
            <w:noWrap/>
            <w:vAlign w:val="center"/>
          </w:tcPr>
          <w:p w14:paraId="3A23C5EB"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1.4</w:t>
            </w:r>
          </w:p>
        </w:tc>
        <w:tc>
          <w:tcPr>
            <w:tcW w:w="1418" w:type="dxa"/>
            <w:shd w:val="clear" w:color="auto" w:fill="auto"/>
            <w:noWrap/>
            <w:vAlign w:val="center"/>
          </w:tcPr>
          <w:p w14:paraId="096CAB48"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其他费用</w:t>
            </w:r>
          </w:p>
        </w:tc>
        <w:tc>
          <w:tcPr>
            <w:tcW w:w="2336" w:type="dxa"/>
            <w:shd w:val="clear" w:color="auto" w:fill="auto"/>
            <w:noWrap/>
            <w:vAlign w:val="center"/>
          </w:tcPr>
          <w:p w14:paraId="28F393A4"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前期费用、设计费用、监理费用、建设单位管理费用等</w:t>
            </w:r>
          </w:p>
        </w:tc>
        <w:tc>
          <w:tcPr>
            <w:tcW w:w="1240" w:type="dxa"/>
            <w:shd w:val="clear" w:color="auto" w:fill="auto"/>
            <w:noWrap/>
            <w:vAlign w:val="center"/>
          </w:tcPr>
          <w:p w14:paraId="2373D40B"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2,502.61</w:t>
            </w:r>
          </w:p>
        </w:tc>
        <w:tc>
          <w:tcPr>
            <w:tcW w:w="960" w:type="dxa"/>
            <w:shd w:val="clear" w:color="auto" w:fill="auto"/>
            <w:noWrap/>
            <w:vAlign w:val="center"/>
          </w:tcPr>
          <w:p w14:paraId="2D9A7F31"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0.72%</w:t>
            </w:r>
          </w:p>
        </w:tc>
        <w:tc>
          <w:tcPr>
            <w:tcW w:w="2629" w:type="dxa"/>
            <w:shd w:val="clear" w:color="auto" w:fill="auto"/>
            <w:noWrap/>
            <w:vAlign w:val="center"/>
          </w:tcPr>
          <w:p w14:paraId="1B0E426F" w14:textId="77777777" w:rsidR="00602898" w:rsidRPr="004865EF" w:rsidRDefault="00602898" w:rsidP="00602898">
            <w:pPr>
              <w:widowControl/>
              <w:jc w:val="lef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根据本项目投资规模、设计及建设特点结合公司历史类似项目估算</w:t>
            </w:r>
          </w:p>
        </w:tc>
      </w:tr>
      <w:tr w:rsidR="004865EF" w:rsidRPr="004865EF" w14:paraId="2094A896" w14:textId="77777777" w:rsidTr="00602898">
        <w:trPr>
          <w:trHeight w:val="397"/>
          <w:jc w:val="center"/>
        </w:trPr>
        <w:tc>
          <w:tcPr>
            <w:tcW w:w="582" w:type="dxa"/>
            <w:shd w:val="clear" w:color="auto" w:fill="auto"/>
            <w:noWrap/>
            <w:vAlign w:val="center"/>
          </w:tcPr>
          <w:p w14:paraId="56179235" w14:textId="77777777" w:rsidR="00602898" w:rsidRPr="004865EF" w:rsidRDefault="00602898" w:rsidP="00602898">
            <w:pPr>
              <w:widowControl/>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w:t>
            </w:r>
          </w:p>
        </w:tc>
        <w:tc>
          <w:tcPr>
            <w:tcW w:w="1418" w:type="dxa"/>
            <w:shd w:val="clear" w:color="auto" w:fill="auto"/>
            <w:noWrap/>
            <w:vAlign w:val="center"/>
          </w:tcPr>
          <w:p w14:paraId="6150E188" w14:textId="77777777" w:rsidR="00602898" w:rsidRPr="004865EF" w:rsidRDefault="00602898" w:rsidP="00602898">
            <w:pPr>
              <w:widowControl/>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铺底流动资金</w:t>
            </w:r>
          </w:p>
        </w:tc>
        <w:tc>
          <w:tcPr>
            <w:tcW w:w="2336" w:type="dxa"/>
            <w:shd w:val="clear" w:color="auto" w:fill="auto"/>
            <w:noWrap/>
            <w:vAlign w:val="center"/>
          </w:tcPr>
          <w:p w14:paraId="76E8F5EB" w14:textId="77777777" w:rsidR="00602898" w:rsidRPr="004865EF" w:rsidRDefault="00602898" w:rsidP="00602898">
            <w:pPr>
              <w:widowControl/>
              <w:jc w:val="left"/>
              <w:rPr>
                <w:rFonts w:ascii="Times New Roman" w:eastAsia="宋体" w:hAnsi="Times New Roman" w:cs="Times New Roman"/>
                <w:kern w:val="0"/>
                <w:sz w:val="18"/>
                <w:szCs w:val="18"/>
              </w:rPr>
            </w:pPr>
          </w:p>
        </w:tc>
        <w:tc>
          <w:tcPr>
            <w:tcW w:w="1240" w:type="dxa"/>
            <w:shd w:val="clear" w:color="auto" w:fill="auto"/>
            <w:noWrap/>
            <w:vAlign w:val="center"/>
          </w:tcPr>
          <w:p w14:paraId="622F3E91"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2,000.00</w:t>
            </w:r>
          </w:p>
        </w:tc>
        <w:tc>
          <w:tcPr>
            <w:tcW w:w="960" w:type="dxa"/>
            <w:shd w:val="clear" w:color="auto" w:fill="auto"/>
            <w:noWrap/>
            <w:vAlign w:val="center"/>
          </w:tcPr>
          <w:p w14:paraId="498026CE" w14:textId="77777777" w:rsidR="00602898" w:rsidRPr="004865EF" w:rsidRDefault="00602898" w:rsidP="00602898">
            <w:pPr>
              <w:widowControl/>
              <w:jc w:val="right"/>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0.58%</w:t>
            </w:r>
          </w:p>
        </w:tc>
        <w:tc>
          <w:tcPr>
            <w:tcW w:w="2629" w:type="dxa"/>
            <w:shd w:val="clear" w:color="auto" w:fill="auto"/>
            <w:noWrap/>
            <w:vAlign w:val="center"/>
          </w:tcPr>
          <w:p w14:paraId="545D766A" w14:textId="77777777" w:rsidR="00602898" w:rsidRPr="004865EF" w:rsidRDefault="00602898" w:rsidP="00602898">
            <w:pPr>
              <w:widowControl/>
              <w:jc w:val="left"/>
              <w:rPr>
                <w:rFonts w:ascii="Times New Roman" w:eastAsia="宋体" w:hAnsi="Times New Roman" w:cs="Times New Roman"/>
                <w:kern w:val="0"/>
                <w:sz w:val="18"/>
                <w:szCs w:val="18"/>
              </w:rPr>
            </w:pPr>
          </w:p>
        </w:tc>
      </w:tr>
      <w:tr w:rsidR="004865EF" w:rsidRPr="004865EF" w14:paraId="691E55EB" w14:textId="77777777" w:rsidTr="00602898">
        <w:trPr>
          <w:trHeight w:val="397"/>
          <w:jc w:val="center"/>
        </w:trPr>
        <w:tc>
          <w:tcPr>
            <w:tcW w:w="4336" w:type="dxa"/>
            <w:gridSpan w:val="3"/>
            <w:shd w:val="clear" w:color="auto" w:fill="auto"/>
            <w:noWrap/>
            <w:vAlign w:val="center"/>
          </w:tcPr>
          <w:p w14:paraId="02144170" w14:textId="77777777" w:rsidR="00602898" w:rsidRPr="004865EF" w:rsidRDefault="00602898" w:rsidP="00602898">
            <w:pPr>
              <w:widowControl/>
              <w:jc w:val="center"/>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合计</w:t>
            </w:r>
          </w:p>
        </w:tc>
        <w:tc>
          <w:tcPr>
            <w:tcW w:w="1240" w:type="dxa"/>
            <w:shd w:val="clear" w:color="auto" w:fill="auto"/>
            <w:noWrap/>
            <w:vAlign w:val="center"/>
          </w:tcPr>
          <w:p w14:paraId="5E1F08FA" w14:textId="77777777" w:rsidR="00602898" w:rsidRPr="004865EF" w:rsidRDefault="00602898" w:rsidP="00602898">
            <w:pPr>
              <w:widowControl/>
              <w:jc w:val="right"/>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346,380.00</w:t>
            </w:r>
          </w:p>
        </w:tc>
        <w:tc>
          <w:tcPr>
            <w:tcW w:w="960" w:type="dxa"/>
            <w:shd w:val="clear" w:color="auto" w:fill="auto"/>
            <w:noWrap/>
            <w:vAlign w:val="center"/>
          </w:tcPr>
          <w:p w14:paraId="67A84DDD" w14:textId="77777777" w:rsidR="00602898" w:rsidRPr="004865EF" w:rsidRDefault="00602898" w:rsidP="00602898">
            <w:pPr>
              <w:widowControl/>
              <w:jc w:val="right"/>
              <w:rPr>
                <w:rFonts w:ascii="Times New Roman" w:eastAsia="宋体" w:hAnsi="Times New Roman" w:cs="Times New Roman"/>
                <w:b/>
                <w:kern w:val="0"/>
                <w:sz w:val="18"/>
                <w:szCs w:val="18"/>
              </w:rPr>
            </w:pPr>
            <w:r w:rsidRPr="004865EF">
              <w:rPr>
                <w:rFonts w:ascii="Times New Roman" w:eastAsia="宋体" w:hAnsi="Times New Roman" w:cs="Times New Roman"/>
                <w:b/>
                <w:kern w:val="0"/>
                <w:sz w:val="18"/>
                <w:szCs w:val="18"/>
              </w:rPr>
              <w:t>100.00%</w:t>
            </w:r>
          </w:p>
        </w:tc>
        <w:tc>
          <w:tcPr>
            <w:tcW w:w="2629" w:type="dxa"/>
            <w:shd w:val="clear" w:color="auto" w:fill="auto"/>
            <w:noWrap/>
            <w:vAlign w:val="center"/>
          </w:tcPr>
          <w:p w14:paraId="3EC00F78" w14:textId="77777777" w:rsidR="00602898" w:rsidRPr="004865EF" w:rsidRDefault="00602898" w:rsidP="00602898">
            <w:pPr>
              <w:widowControl/>
              <w:jc w:val="left"/>
              <w:rPr>
                <w:rFonts w:ascii="Times New Roman" w:eastAsia="宋体" w:hAnsi="Times New Roman" w:cs="Times New Roman"/>
                <w:b/>
                <w:kern w:val="0"/>
                <w:sz w:val="18"/>
                <w:szCs w:val="18"/>
              </w:rPr>
            </w:pPr>
          </w:p>
        </w:tc>
      </w:tr>
    </w:tbl>
    <w:p w14:paraId="0AC044FE" w14:textId="255B60BC" w:rsidR="00BF021C" w:rsidRPr="004865EF" w:rsidRDefault="00BF021C" w:rsidP="00FE02AF">
      <w:pPr>
        <w:spacing w:beforeLines="50" w:before="156" w:line="360" w:lineRule="auto"/>
        <w:ind w:firstLineChars="200" w:firstLine="482"/>
        <w:rPr>
          <w:rFonts w:ascii="楷体" w:eastAsia="楷体" w:hAnsi="楷体" w:cs="Times New Roman"/>
          <w:b/>
          <w:sz w:val="24"/>
        </w:rPr>
      </w:pPr>
      <w:r w:rsidRPr="004865EF">
        <w:rPr>
          <w:rFonts w:ascii="楷体" w:eastAsia="楷体" w:hAnsi="楷体" w:cs="Times New Roman" w:hint="eastAsia"/>
          <w:b/>
          <w:sz w:val="24"/>
        </w:rPr>
        <w:t>5、单机柜建设成本比较</w:t>
      </w:r>
    </w:p>
    <w:p w14:paraId="5B615AA8" w14:textId="0DB2CB64" w:rsidR="00BF021C" w:rsidRPr="004865EF" w:rsidRDefault="001D7895" w:rsidP="00FE02AF">
      <w:pPr>
        <w:spacing w:beforeLines="50" w:before="156" w:afterLines="50" w:after="156" w:line="360" w:lineRule="auto"/>
        <w:ind w:firstLineChars="200" w:firstLine="482"/>
        <w:rPr>
          <w:rFonts w:ascii="楷体" w:eastAsia="楷体" w:hAnsi="楷体" w:cs="Times New Roman"/>
          <w:b/>
          <w:sz w:val="24"/>
        </w:rPr>
      </w:pPr>
      <w:r w:rsidRPr="004865EF">
        <w:rPr>
          <w:rFonts w:ascii="楷体" w:eastAsia="楷体" w:hAnsi="楷体" w:cs="Times New Roman" w:hint="eastAsia"/>
          <w:b/>
          <w:sz w:val="24"/>
        </w:rPr>
        <w:t>数据中心项目</w:t>
      </w:r>
      <w:r w:rsidR="00BF021C" w:rsidRPr="004865EF">
        <w:rPr>
          <w:rFonts w:ascii="楷体" w:eastAsia="楷体" w:hAnsi="楷体" w:cs="Times New Roman" w:hint="eastAsia"/>
          <w:b/>
          <w:sz w:val="24"/>
        </w:rPr>
        <w:t>建设</w:t>
      </w:r>
      <w:r w:rsidRPr="004865EF">
        <w:rPr>
          <w:rFonts w:ascii="楷体" w:eastAsia="楷体" w:hAnsi="楷体" w:cs="Times New Roman" w:hint="eastAsia"/>
          <w:b/>
          <w:sz w:val="24"/>
        </w:rPr>
        <w:t>支出</w:t>
      </w:r>
      <w:r w:rsidR="00BF021C" w:rsidRPr="004865EF">
        <w:rPr>
          <w:rFonts w:ascii="楷体" w:eastAsia="楷体" w:hAnsi="楷体" w:cs="Times New Roman" w:hint="eastAsia"/>
          <w:b/>
          <w:sz w:val="24"/>
        </w:rPr>
        <w:t>主要包括</w:t>
      </w:r>
      <w:r w:rsidRPr="004865EF">
        <w:rPr>
          <w:rFonts w:ascii="楷体" w:eastAsia="楷体" w:hAnsi="楷体" w:cs="Times New Roman" w:hint="eastAsia"/>
          <w:b/>
          <w:sz w:val="24"/>
        </w:rPr>
        <w:t>土地成本、工程建设成本及机电设备购置成本，</w:t>
      </w:r>
      <w:proofErr w:type="gramStart"/>
      <w:r w:rsidRPr="004865EF">
        <w:rPr>
          <w:rFonts w:ascii="楷体" w:eastAsia="楷体" w:hAnsi="楷体" w:cs="Times New Roman" w:hint="eastAsia"/>
          <w:b/>
          <w:sz w:val="24"/>
        </w:rPr>
        <w:t>本次募投项目</w:t>
      </w:r>
      <w:proofErr w:type="gramEnd"/>
      <w:r w:rsidRPr="004865EF">
        <w:rPr>
          <w:rFonts w:ascii="楷体" w:eastAsia="楷体" w:hAnsi="楷体" w:cs="Times New Roman" w:hint="eastAsia"/>
          <w:b/>
          <w:sz w:val="24"/>
        </w:rPr>
        <w:t>、公司近三年已投资项目以及同行业上市公司项目的投资总额、机柜数量和单机柜建设成本情况如下：</w:t>
      </w:r>
    </w:p>
    <w:tbl>
      <w:tblPr>
        <w:tblW w:w="83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843"/>
        <w:gridCol w:w="1701"/>
        <w:gridCol w:w="1715"/>
        <w:gridCol w:w="1715"/>
      </w:tblGrid>
      <w:tr w:rsidR="004865EF" w:rsidRPr="004865EF" w14:paraId="152972BE" w14:textId="77777777" w:rsidTr="003D2521">
        <w:trPr>
          <w:trHeight w:val="397"/>
        </w:trPr>
        <w:tc>
          <w:tcPr>
            <w:tcW w:w="3266" w:type="dxa"/>
            <w:gridSpan w:val="2"/>
            <w:shd w:val="clear" w:color="auto" w:fill="auto"/>
            <w:noWrap/>
            <w:vAlign w:val="center"/>
            <w:hideMark/>
          </w:tcPr>
          <w:p w14:paraId="634AE6A8" w14:textId="77777777" w:rsidR="00D43D5A" w:rsidRPr="004865EF" w:rsidRDefault="00D43D5A" w:rsidP="00D43D5A">
            <w:pPr>
              <w:widowControl/>
              <w:jc w:val="center"/>
              <w:rPr>
                <w:rFonts w:ascii="楷体" w:eastAsia="楷体" w:hAnsi="楷体" w:cs="Times New Roman"/>
                <w:b/>
                <w:bCs/>
                <w:kern w:val="0"/>
                <w:sz w:val="22"/>
                <w:szCs w:val="22"/>
              </w:rPr>
            </w:pPr>
            <w:r w:rsidRPr="004865EF">
              <w:rPr>
                <w:rFonts w:ascii="楷体" w:eastAsia="楷体" w:hAnsi="楷体" w:cs="Times New Roman" w:hint="eastAsia"/>
                <w:b/>
                <w:bCs/>
                <w:kern w:val="0"/>
                <w:sz w:val="22"/>
                <w:szCs w:val="22"/>
              </w:rPr>
              <w:t>公司</w:t>
            </w:r>
            <w:r w:rsidRPr="004865EF">
              <w:rPr>
                <w:rFonts w:ascii="楷体" w:eastAsia="楷体" w:hAnsi="楷体" w:cs="Times New Roman"/>
                <w:b/>
                <w:bCs/>
                <w:kern w:val="0"/>
                <w:sz w:val="22"/>
                <w:szCs w:val="22"/>
              </w:rPr>
              <w:t>-</w:t>
            </w:r>
            <w:r w:rsidRPr="004865EF">
              <w:rPr>
                <w:rFonts w:ascii="楷体" w:eastAsia="楷体" w:hAnsi="楷体" w:cs="Times New Roman" w:hint="eastAsia"/>
                <w:b/>
                <w:bCs/>
                <w:kern w:val="0"/>
                <w:sz w:val="22"/>
                <w:szCs w:val="22"/>
              </w:rPr>
              <w:t>项目名称</w:t>
            </w:r>
          </w:p>
        </w:tc>
        <w:tc>
          <w:tcPr>
            <w:tcW w:w="1701" w:type="dxa"/>
            <w:shd w:val="clear" w:color="auto" w:fill="auto"/>
            <w:noWrap/>
            <w:vAlign w:val="center"/>
            <w:hideMark/>
          </w:tcPr>
          <w:p w14:paraId="4B7F9D43" w14:textId="0184BA0B" w:rsidR="00D43D5A" w:rsidRPr="004865EF" w:rsidRDefault="00D43D5A" w:rsidP="00D43D5A">
            <w:pPr>
              <w:widowControl/>
              <w:jc w:val="center"/>
              <w:rPr>
                <w:rFonts w:ascii="楷体" w:eastAsia="楷体" w:hAnsi="楷体" w:cs="Times New Roman"/>
                <w:b/>
                <w:bCs/>
                <w:kern w:val="0"/>
                <w:sz w:val="22"/>
                <w:szCs w:val="22"/>
              </w:rPr>
            </w:pPr>
            <w:r w:rsidRPr="004865EF">
              <w:rPr>
                <w:rFonts w:ascii="楷体" w:eastAsia="楷体" w:hAnsi="楷体" w:cs="Times New Roman" w:hint="eastAsia"/>
                <w:b/>
                <w:bCs/>
                <w:kern w:val="0"/>
                <w:sz w:val="22"/>
                <w:szCs w:val="22"/>
              </w:rPr>
              <w:t>机柜数量</w:t>
            </w:r>
            <w:r w:rsidR="002E75B6" w:rsidRPr="004865EF">
              <w:rPr>
                <w:rFonts w:ascii="楷体" w:eastAsia="楷体" w:hAnsi="楷体" w:cs="Times New Roman" w:hint="eastAsia"/>
                <w:b/>
                <w:bCs/>
                <w:kern w:val="0"/>
                <w:sz w:val="22"/>
                <w:szCs w:val="22"/>
              </w:rPr>
              <w:t>（</w:t>
            </w:r>
            <w:proofErr w:type="gramStart"/>
            <w:r w:rsidR="002E75B6" w:rsidRPr="004865EF">
              <w:rPr>
                <w:rFonts w:ascii="楷体" w:eastAsia="楷体" w:hAnsi="楷体" w:cs="Times New Roman" w:hint="eastAsia"/>
                <w:b/>
                <w:bCs/>
                <w:kern w:val="0"/>
                <w:sz w:val="22"/>
                <w:szCs w:val="22"/>
              </w:rPr>
              <w:t>个</w:t>
            </w:r>
            <w:proofErr w:type="gramEnd"/>
            <w:r w:rsidR="002E75B6" w:rsidRPr="004865EF">
              <w:rPr>
                <w:rFonts w:ascii="楷体" w:eastAsia="楷体" w:hAnsi="楷体" w:cs="Times New Roman" w:hint="eastAsia"/>
                <w:b/>
                <w:bCs/>
                <w:kern w:val="0"/>
                <w:sz w:val="22"/>
                <w:szCs w:val="22"/>
              </w:rPr>
              <w:t>）</w:t>
            </w:r>
          </w:p>
        </w:tc>
        <w:tc>
          <w:tcPr>
            <w:tcW w:w="1715" w:type="dxa"/>
            <w:shd w:val="clear" w:color="auto" w:fill="auto"/>
            <w:noWrap/>
            <w:vAlign w:val="center"/>
            <w:hideMark/>
          </w:tcPr>
          <w:p w14:paraId="747A7709" w14:textId="77777777" w:rsidR="002E75B6" w:rsidRPr="004865EF" w:rsidRDefault="00D43D5A" w:rsidP="00D43D5A">
            <w:pPr>
              <w:widowControl/>
              <w:jc w:val="center"/>
              <w:rPr>
                <w:rFonts w:ascii="楷体" w:eastAsia="楷体" w:hAnsi="楷体" w:cs="Times New Roman"/>
                <w:b/>
                <w:bCs/>
                <w:kern w:val="0"/>
                <w:sz w:val="22"/>
                <w:szCs w:val="22"/>
              </w:rPr>
            </w:pPr>
            <w:r w:rsidRPr="004865EF">
              <w:rPr>
                <w:rFonts w:ascii="楷体" w:eastAsia="楷体" w:hAnsi="楷体" w:cs="Times New Roman" w:hint="eastAsia"/>
                <w:b/>
                <w:bCs/>
                <w:kern w:val="0"/>
                <w:sz w:val="22"/>
                <w:szCs w:val="22"/>
              </w:rPr>
              <w:t>投资总额</w:t>
            </w:r>
          </w:p>
          <w:p w14:paraId="79C0F232" w14:textId="19359C6B" w:rsidR="00D43D5A" w:rsidRPr="004865EF" w:rsidRDefault="002E75B6" w:rsidP="00D43D5A">
            <w:pPr>
              <w:widowControl/>
              <w:jc w:val="center"/>
              <w:rPr>
                <w:rFonts w:ascii="楷体" w:eastAsia="楷体" w:hAnsi="楷体" w:cs="Times New Roman"/>
                <w:b/>
                <w:bCs/>
                <w:kern w:val="0"/>
                <w:sz w:val="22"/>
                <w:szCs w:val="22"/>
              </w:rPr>
            </w:pPr>
            <w:r w:rsidRPr="004865EF">
              <w:rPr>
                <w:rFonts w:ascii="楷体" w:eastAsia="楷体" w:hAnsi="楷体" w:cs="Times New Roman" w:hint="eastAsia"/>
                <w:b/>
                <w:bCs/>
                <w:kern w:val="0"/>
                <w:sz w:val="22"/>
                <w:szCs w:val="22"/>
              </w:rPr>
              <w:t>（万元）</w:t>
            </w:r>
          </w:p>
        </w:tc>
        <w:tc>
          <w:tcPr>
            <w:tcW w:w="1715" w:type="dxa"/>
            <w:shd w:val="clear" w:color="auto" w:fill="auto"/>
            <w:noWrap/>
            <w:vAlign w:val="center"/>
            <w:hideMark/>
          </w:tcPr>
          <w:p w14:paraId="38BE69FF" w14:textId="77777777" w:rsidR="00D43D5A" w:rsidRPr="004865EF" w:rsidRDefault="00D43D5A" w:rsidP="00D43D5A">
            <w:pPr>
              <w:widowControl/>
              <w:jc w:val="center"/>
              <w:rPr>
                <w:rFonts w:ascii="楷体" w:eastAsia="楷体" w:hAnsi="楷体" w:cs="Times New Roman"/>
                <w:b/>
                <w:bCs/>
                <w:kern w:val="0"/>
                <w:sz w:val="22"/>
                <w:szCs w:val="22"/>
              </w:rPr>
            </w:pPr>
            <w:r w:rsidRPr="004865EF">
              <w:rPr>
                <w:rFonts w:ascii="楷体" w:eastAsia="楷体" w:hAnsi="楷体" w:cs="Times New Roman" w:hint="eastAsia"/>
                <w:b/>
                <w:bCs/>
                <w:kern w:val="0"/>
                <w:sz w:val="22"/>
                <w:szCs w:val="22"/>
              </w:rPr>
              <w:t>单机柜成本</w:t>
            </w:r>
          </w:p>
          <w:p w14:paraId="7A1866B7" w14:textId="7AB267DF" w:rsidR="002E75B6" w:rsidRPr="004865EF" w:rsidRDefault="002E75B6" w:rsidP="00D43D5A">
            <w:pPr>
              <w:widowControl/>
              <w:jc w:val="center"/>
              <w:rPr>
                <w:rFonts w:ascii="楷体" w:eastAsia="楷体" w:hAnsi="楷体" w:cs="Times New Roman"/>
                <w:b/>
                <w:bCs/>
                <w:kern w:val="0"/>
                <w:sz w:val="22"/>
                <w:szCs w:val="22"/>
              </w:rPr>
            </w:pPr>
            <w:r w:rsidRPr="004865EF">
              <w:rPr>
                <w:rFonts w:ascii="楷体" w:eastAsia="楷体" w:hAnsi="楷体" w:cs="Times New Roman" w:hint="eastAsia"/>
                <w:b/>
                <w:bCs/>
                <w:kern w:val="0"/>
                <w:sz w:val="22"/>
                <w:szCs w:val="22"/>
              </w:rPr>
              <w:t>（万元/架）</w:t>
            </w:r>
          </w:p>
        </w:tc>
      </w:tr>
      <w:tr w:rsidR="004865EF" w:rsidRPr="004865EF" w14:paraId="7347E5F1" w14:textId="77777777" w:rsidTr="003D2521">
        <w:trPr>
          <w:trHeight w:val="397"/>
        </w:trPr>
        <w:tc>
          <w:tcPr>
            <w:tcW w:w="1423" w:type="dxa"/>
            <w:vMerge w:val="restart"/>
            <w:shd w:val="clear" w:color="auto" w:fill="auto"/>
            <w:noWrap/>
            <w:vAlign w:val="center"/>
            <w:hideMark/>
          </w:tcPr>
          <w:p w14:paraId="7223AB07" w14:textId="77777777"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光环新网</w:t>
            </w:r>
          </w:p>
        </w:tc>
        <w:tc>
          <w:tcPr>
            <w:tcW w:w="1843" w:type="dxa"/>
            <w:shd w:val="clear" w:color="auto" w:fill="auto"/>
            <w:noWrap/>
            <w:vAlign w:val="center"/>
            <w:hideMark/>
          </w:tcPr>
          <w:p w14:paraId="5D651ABC" w14:textId="77777777"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燕郊二期</w:t>
            </w:r>
          </w:p>
        </w:tc>
        <w:tc>
          <w:tcPr>
            <w:tcW w:w="1701" w:type="dxa"/>
            <w:shd w:val="clear" w:color="auto" w:fill="auto"/>
            <w:noWrap/>
            <w:vAlign w:val="center"/>
            <w:hideMark/>
          </w:tcPr>
          <w:p w14:paraId="0ABF8D6B" w14:textId="3B938DA6"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1,320</w:t>
            </w:r>
          </w:p>
        </w:tc>
        <w:tc>
          <w:tcPr>
            <w:tcW w:w="1715" w:type="dxa"/>
            <w:shd w:val="clear" w:color="auto" w:fill="auto"/>
            <w:noWrap/>
            <w:vAlign w:val="center"/>
            <w:hideMark/>
          </w:tcPr>
          <w:p w14:paraId="71A103A8" w14:textId="200241A3"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23,396</w:t>
            </w:r>
          </w:p>
        </w:tc>
        <w:tc>
          <w:tcPr>
            <w:tcW w:w="1715" w:type="dxa"/>
            <w:shd w:val="clear" w:color="auto" w:fill="auto"/>
            <w:noWrap/>
            <w:vAlign w:val="center"/>
            <w:hideMark/>
          </w:tcPr>
          <w:p w14:paraId="4916304D" w14:textId="59014ED6"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17.72</w:t>
            </w:r>
          </w:p>
        </w:tc>
      </w:tr>
      <w:tr w:rsidR="004865EF" w:rsidRPr="004865EF" w14:paraId="6E9D5CEF" w14:textId="77777777" w:rsidTr="003D2521">
        <w:trPr>
          <w:trHeight w:val="397"/>
        </w:trPr>
        <w:tc>
          <w:tcPr>
            <w:tcW w:w="1423" w:type="dxa"/>
            <w:vMerge/>
            <w:vAlign w:val="center"/>
            <w:hideMark/>
          </w:tcPr>
          <w:p w14:paraId="284D44F0" w14:textId="77777777" w:rsidR="00D43D5A" w:rsidRPr="004865EF" w:rsidRDefault="00D43D5A" w:rsidP="00FE02AF">
            <w:pPr>
              <w:widowControl/>
              <w:jc w:val="center"/>
              <w:rPr>
                <w:rFonts w:ascii="楷体" w:eastAsia="楷体" w:hAnsi="楷体" w:cs="Times New Roman"/>
                <w:b/>
                <w:kern w:val="0"/>
                <w:sz w:val="22"/>
                <w:szCs w:val="22"/>
              </w:rPr>
            </w:pPr>
          </w:p>
        </w:tc>
        <w:tc>
          <w:tcPr>
            <w:tcW w:w="1843" w:type="dxa"/>
            <w:shd w:val="clear" w:color="auto" w:fill="auto"/>
            <w:noWrap/>
            <w:vAlign w:val="center"/>
            <w:hideMark/>
          </w:tcPr>
          <w:p w14:paraId="375A84BA" w14:textId="77777777"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房山一期</w:t>
            </w:r>
          </w:p>
        </w:tc>
        <w:tc>
          <w:tcPr>
            <w:tcW w:w="1701" w:type="dxa"/>
            <w:shd w:val="clear" w:color="auto" w:fill="auto"/>
            <w:noWrap/>
            <w:vAlign w:val="center"/>
            <w:hideMark/>
          </w:tcPr>
          <w:p w14:paraId="26A2AFBC" w14:textId="7C1EED5C"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6,000</w:t>
            </w:r>
          </w:p>
        </w:tc>
        <w:tc>
          <w:tcPr>
            <w:tcW w:w="1715" w:type="dxa"/>
            <w:shd w:val="clear" w:color="auto" w:fill="auto"/>
            <w:noWrap/>
            <w:vAlign w:val="center"/>
            <w:hideMark/>
          </w:tcPr>
          <w:p w14:paraId="4A3C82CF" w14:textId="073AB24C"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140,129</w:t>
            </w:r>
          </w:p>
        </w:tc>
        <w:tc>
          <w:tcPr>
            <w:tcW w:w="1715" w:type="dxa"/>
            <w:shd w:val="clear" w:color="auto" w:fill="auto"/>
            <w:noWrap/>
            <w:vAlign w:val="center"/>
            <w:hideMark/>
          </w:tcPr>
          <w:p w14:paraId="0E730BEE" w14:textId="394734CB"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23.35</w:t>
            </w:r>
          </w:p>
        </w:tc>
      </w:tr>
      <w:tr w:rsidR="004865EF" w:rsidRPr="004865EF" w14:paraId="5D641BAE" w14:textId="77777777" w:rsidTr="003D2521">
        <w:trPr>
          <w:trHeight w:val="397"/>
        </w:trPr>
        <w:tc>
          <w:tcPr>
            <w:tcW w:w="1423" w:type="dxa"/>
            <w:vMerge/>
            <w:vAlign w:val="center"/>
            <w:hideMark/>
          </w:tcPr>
          <w:p w14:paraId="260334DC" w14:textId="77777777" w:rsidR="00D43D5A" w:rsidRPr="004865EF" w:rsidRDefault="00D43D5A" w:rsidP="00FE02AF">
            <w:pPr>
              <w:widowControl/>
              <w:jc w:val="center"/>
              <w:rPr>
                <w:rFonts w:ascii="楷体" w:eastAsia="楷体" w:hAnsi="楷体" w:cs="Times New Roman"/>
                <w:b/>
                <w:kern w:val="0"/>
                <w:sz w:val="22"/>
                <w:szCs w:val="22"/>
              </w:rPr>
            </w:pPr>
          </w:p>
        </w:tc>
        <w:tc>
          <w:tcPr>
            <w:tcW w:w="1843" w:type="dxa"/>
            <w:shd w:val="clear" w:color="auto" w:fill="auto"/>
            <w:noWrap/>
            <w:vAlign w:val="center"/>
            <w:hideMark/>
          </w:tcPr>
          <w:p w14:paraId="640FB54F" w14:textId="77777777"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嘉定一期</w:t>
            </w:r>
          </w:p>
        </w:tc>
        <w:tc>
          <w:tcPr>
            <w:tcW w:w="1701" w:type="dxa"/>
            <w:shd w:val="clear" w:color="auto" w:fill="auto"/>
            <w:noWrap/>
            <w:vAlign w:val="center"/>
            <w:hideMark/>
          </w:tcPr>
          <w:p w14:paraId="49AB8C4A" w14:textId="204DD64B" w:rsidR="00D43D5A" w:rsidRPr="004865EF" w:rsidRDefault="00FE0206" w:rsidP="00FE0206">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4</w:t>
            </w:r>
            <w:r w:rsidR="00D43D5A" w:rsidRPr="004865EF">
              <w:rPr>
                <w:rFonts w:ascii="楷体" w:eastAsia="楷体" w:hAnsi="楷体" w:cs="Times New Roman"/>
                <w:b/>
                <w:kern w:val="0"/>
                <w:sz w:val="22"/>
                <w:szCs w:val="22"/>
              </w:rPr>
              <w:t>,</w:t>
            </w:r>
            <w:r w:rsidRPr="004865EF">
              <w:rPr>
                <w:rFonts w:ascii="楷体" w:eastAsia="楷体" w:hAnsi="楷体" w:cs="Times New Roman"/>
                <w:b/>
                <w:kern w:val="0"/>
                <w:sz w:val="22"/>
                <w:szCs w:val="22"/>
              </w:rPr>
              <w:t>50</w:t>
            </w:r>
            <w:r w:rsidR="00D43D5A" w:rsidRPr="004865EF">
              <w:rPr>
                <w:rFonts w:ascii="楷体" w:eastAsia="楷体" w:hAnsi="楷体" w:cs="Times New Roman"/>
                <w:b/>
                <w:kern w:val="0"/>
                <w:sz w:val="22"/>
                <w:szCs w:val="22"/>
              </w:rPr>
              <w:t>0</w:t>
            </w:r>
          </w:p>
        </w:tc>
        <w:tc>
          <w:tcPr>
            <w:tcW w:w="1715" w:type="dxa"/>
            <w:shd w:val="clear" w:color="auto" w:fill="auto"/>
            <w:noWrap/>
            <w:vAlign w:val="center"/>
            <w:hideMark/>
          </w:tcPr>
          <w:p w14:paraId="5531BEA2" w14:textId="14551680"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63,542</w:t>
            </w:r>
          </w:p>
        </w:tc>
        <w:tc>
          <w:tcPr>
            <w:tcW w:w="1715" w:type="dxa"/>
            <w:shd w:val="clear" w:color="auto" w:fill="auto"/>
            <w:noWrap/>
            <w:vAlign w:val="center"/>
            <w:hideMark/>
          </w:tcPr>
          <w:p w14:paraId="706B3F31" w14:textId="6F837DDE" w:rsidR="00D43D5A" w:rsidRPr="004865EF" w:rsidRDefault="00FE0206"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14.12</w:t>
            </w:r>
          </w:p>
        </w:tc>
      </w:tr>
      <w:tr w:rsidR="004865EF" w:rsidRPr="004865EF" w14:paraId="7E971DAF" w14:textId="77777777" w:rsidTr="003D2521">
        <w:trPr>
          <w:trHeight w:val="397"/>
        </w:trPr>
        <w:tc>
          <w:tcPr>
            <w:tcW w:w="1423" w:type="dxa"/>
            <w:vMerge/>
            <w:vAlign w:val="center"/>
            <w:hideMark/>
          </w:tcPr>
          <w:p w14:paraId="6486DD2B" w14:textId="77777777" w:rsidR="00D43D5A" w:rsidRPr="004865EF" w:rsidRDefault="00D43D5A" w:rsidP="00FE02AF">
            <w:pPr>
              <w:widowControl/>
              <w:jc w:val="center"/>
              <w:rPr>
                <w:rFonts w:ascii="楷体" w:eastAsia="楷体" w:hAnsi="楷体" w:cs="Times New Roman"/>
                <w:b/>
                <w:kern w:val="0"/>
                <w:sz w:val="22"/>
                <w:szCs w:val="22"/>
              </w:rPr>
            </w:pPr>
          </w:p>
        </w:tc>
        <w:tc>
          <w:tcPr>
            <w:tcW w:w="1843" w:type="dxa"/>
            <w:shd w:val="clear" w:color="auto" w:fill="auto"/>
            <w:noWrap/>
            <w:vAlign w:val="center"/>
            <w:hideMark/>
          </w:tcPr>
          <w:p w14:paraId="24DF973C" w14:textId="77777777"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房山二期</w:t>
            </w:r>
          </w:p>
        </w:tc>
        <w:tc>
          <w:tcPr>
            <w:tcW w:w="1701" w:type="dxa"/>
            <w:shd w:val="clear" w:color="auto" w:fill="auto"/>
            <w:noWrap/>
            <w:vAlign w:val="center"/>
            <w:hideMark/>
          </w:tcPr>
          <w:p w14:paraId="30B99FC1" w14:textId="15215239"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5,000</w:t>
            </w:r>
          </w:p>
        </w:tc>
        <w:tc>
          <w:tcPr>
            <w:tcW w:w="1715" w:type="dxa"/>
            <w:shd w:val="clear" w:color="auto" w:fill="auto"/>
            <w:noWrap/>
            <w:vAlign w:val="center"/>
            <w:hideMark/>
          </w:tcPr>
          <w:p w14:paraId="5C32897A" w14:textId="04823930"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122,090</w:t>
            </w:r>
          </w:p>
        </w:tc>
        <w:tc>
          <w:tcPr>
            <w:tcW w:w="1715" w:type="dxa"/>
            <w:shd w:val="clear" w:color="auto" w:fill="auto"/>
            <w:noWrap/>
            <w:vAlign w:val="center"/>
            <w:hideMark/>
          </w:tcPr>
          <w:p w14:paraId="19D0E969" w14:textId="0135C3D1"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24.42</w:t>
            </w:r>
          </w:p>
        </w:tc>
      </w:tr>
      <w:tr w:rsidR="004865EF" w:rsidRPr="004865EF" w14:paraId="675FE5D4" w14:textId="77777777" w:rsidTr="003D2521">
        <w:trPr>
          <w:trHeight w:val="397"/>
        </w:trPr>
        <w:tc>
          <w:tcPr>
            <w:tcW w:w="1423" w:type="dxa"/>
            <w:vMerge/>
            <w:vAlign w:val="center"/>
            <w:hideMark/>
          </w:tcPr>
          <w:p w14:paraId="065AB9CA" w14:textId="77777777" w:rsidR="00D43D5A" w:rsidRPr="004865EF" w:rsidRDefault="00D43D5A" w:rsidP="00FE02AF">
            <w:pPr>
              <w:widowControl/>
              <w:jc w:val="center"/>
              <w:rPr>
                <w:rFonts w:ascii="楷体" w:eastAsia="楷体" w:hAnsi="楷体" w:cs="Times New Roman"/>
                <w:b/>
                <w:kern w:val="0"/>
                <w:sz w:val="22"/>
                <w:szCs w:val="22"/>
              </w:rPr>
            </w:pPr>
          </w:p>
        </w:tc>
        <w:tc>
          <w:tcPr>
            <w:tcW w:w="1843" w:type="dxa"/>
            <w:shd w:val="clear" w:color="auto" w:fill="auto"/>
            <w:noWrap/>
            <w:vAlign w:val="center"/>
            <w:hideMark/>
          </w:tcPr>
          <w:p w14:paraId="61962D8F" w14:textId="77777777"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嘉定二期</w:t>
            </w:r>
          </w:p>
        </w:tc>
        <w:tc>
          <w:tcPr>
            <w:tcW w:w="1701" w:type="dxa"/>
            <w:shd w:val="clear" w:color="auto" w:fill="auto"/>
            <w:noWrap/>
            <w:vAlign w:val="center"/>
            <w:hideMark/>
          </w:tcPr>
          <w:p w14:paraId="595EA31C" w14:textId="687CCF41"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5,000</w:t>
            </w:r>
          </w:p>
        </w:tc>
        <w:tc>
          <w:tcPr>
            <w:tcW w:w="1715" w:type="dxa"/>
            <w:shd w:val="clear" w:color="auto" w:fill="auto"/>
            <w:noWrap/>
            <w:vAlign w:val="center"/>
            <w:hideMark/>
          </w:tcPr>
          <w:p w14:paraId="1EA4530C" w14:textId="3E846D6F"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130,000</w:t>
            </w:r>
          </w:p>
        </w:tc>
        <w:tc>
          <w:tcPr>
            <w:tcW w:w="1715" w:type="dxa"/>
            <w:shd w:val="clear" w:color="auto" w:fill="auto"/>
            <w:noWrap/>
            <w:vAlign w:val="center"/>
            <w:hideMark/>
          </w:tcPr>
          <w:p w14:paraId="2112C017" w14:textId="256723F3"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26.00</w:t>
            </w:r>
          </w:p>
        </w:tc>
      </w:tr>
      <w:tr w:rsidR="004865EF" w:rsidRPr="004865EF" w14:paraId="52968A0C" w14:textId="77777777" w:rsidTr="003D2521">
        <w:trPr>
          <w:trHeight w:val="397"/>
        </w:trPr>
        <w:tc>
          <w:tcPr>
            <w:tcW w:w="1423" w:type="dxa"/>
            <w:vMerge/>
            <w:vAlign w:val="center"/>
            <w:hideMark/>
          </w:tcPr>
          <w:p w14:paraId="6500EE0C" w14:textId="77777777" w:rsidR="00D43D5A" w:rsidRPr="004865EF" w:rsidRDefault="00D43D5A" w:rsidP="00FE02AF">
            <w:pPr>
              <w:widowControl/>
              <w:jc w:val="center"/>
              <w:rPr>
                <w:rFonts w:ascii="楷体" w:eastAsia="楷体" w:hAnsi="楷体" w:cs="Times New Roman"/>
                <w:b/>
                <w:kern w:val="0"/>
                <w:sz w:val="22"/>
                <w:szCs w:val="22"/>
              </w:rPr>
            </w:pPr>
          </w:p>
        </w:tc>
        <w:tc>
          <w:tcPr>
            <w:tcW w:w="1843" w:type="dxa"/>
            <w:shd w:val="clear" w:color="auto" w:fill="auto"/>
            <w:noWrap/>
            <w:vAlign w:val="center"/>
            <w:hideMark/>
          </w:tcPr>
          <w:p w14:paraId="6FB9421C" w14:textId="77777777"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燕郊三四期</w:t>
            </w:r>
          </w:p>
        </w:tc>
        <w:tc>
          <w:tcPr>
            <w:tcW w:w="1701" w:type="dxa"/>
            <w:shd w:val="clear" w:color="auto" w:fill="auto"/>
            <w:noWrap/>
            <w:vAlign w:val="center"/>
            <w:hideMark/>
          </w:tcPr>
          <w:p w14:paraId="312A20C3" w14:textId="526E030B"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15,000</w:t>
            </w:r>
          </w:p>
        </w:tc>
        <w:tc>
          <w:tcPr>
            <w:tcW w:w="1715" w:type="dxa"/>
            <w:shd w:val="clear" w:color="auto" w:fill="auto"/>
            <w:noWrap/>
            <w:vAlign w:val="center"/>
            <w:hideMark/>
          </w:tcPr>
          <w:p w14:paraId="3837A498" w14:textId="369AB760"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298,600</w:t>
            </w:r>
          </w:p>
        </w:tc>
        <w:tc>
          <w:tcPr>
            <w:tcW w:w="1715" w:type="dxa"/>
            <w:shd w:val="clear" w:color="auto" w:fill="auto"/>
            <w:noWrap/>
            <w:vAlign w:val="center"/>
            <w:hideMark/>
          </w:tcPr>
          <w:p w14:paraId="49B22732" w14:textId="5A3D1429"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19.91</w:t>
            </w:r>
          </w:p>
        </w:tc>
      </w:tr>
      <w:tr w:rsidR="004865EF" w:rsidRPr="004865EF" w14:paraId="17668211" w14:textId="77777777" w:rsidTr="003D2521">
        <w:trPr>
          <w:trHeight w:val="397"/>
        </w:trPr>
        <w:tc>
          <w:tcPr>
            <w:tcW w:w="1423" w:type="dxa"/>
            <w:vMerge/>
            <w:vAlign w:val="center"/>
            <w:hideMark/>
          </w:tcPr>
          <w:p w14:paraId="743AC2E0" w14:textId="77777777" w:rsidR="00D43D5A" w:rsidRPr="004865EF" w:rsidRDefault="00D43D5A" w:rsidP="00FE02AF">
            <w:pPr>
              <w:widowControl/>
              <w:jc w:val="center"/>
              <w:rPr>
                <w:rFonts w:ascii="楷体" w:eastAsia="楷体" w:hAnsi="楷体" w:cs="Times New Roman"/>
                <w:b/>
                <w:kern w:val="0"/>
                <w:sz w:val="22"/>
                <w:szCs w:val="22"/>
              </w:rPr>
            </w:pPr>
          </w:p>
        </w:tc>
        <w:tc>
          <w:tcPr>
            <w:tcW w:w="1843" w:type="dxa"/>
            <w:shd w:val="clear" w:color="auto" w:fill="auto"/>
            <w:noWrap/>
            <w:vAlign w:val="center"/>
            <w:hideMark/>
          </w:tcPr>
          <w:p w14:paraId="0D530762" w14:textId="2AFDC02D"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长沙</w:t>
            </w:r>
            <w:r w:rsidR="00017A33" w:rsidRPr="004865EF">
              <w:rPr>
                <w:rFonts w:ascii="楷体" w:eastAsia="楷体" w:hAnsi="楷体" w:cs="Times New Roman" w:hint="eastAsia"/>
                <w:b/>
                <w:kern w:val="0"/>
                <w:sz w:val="22"/>
                <w:szCs w:val="22"/>
              </w:rPr>
              <w:t>一期</w:t>
            </w:r>
          </w:p>
        </w:tc>
        <w:tc>
          <w:tcPr>
            <w:tcW w:w="1701" w:type="dxa"/>
            <w:shd w:val="clear" w:color="auto" w:fill="auto"/>
            <w:noWrap/>
            <w:vAlign w:val="center"/>
            <w:hideMark/>
          </w:tcPr>
          <w:p w14:paraId="454F05C1" w14:textId="00840570"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16,000</w:t>
            </w:r>
          </w:p>
        </w:tc>
        <w:tc>
          <w:tcPr>
            <w:tcW w:w="1715" w:type="dxa"/>
            <w:shd w:val="clear" w:color="auto" w:fill="auto"/>
            <w:noWrap/>
            <w:vAlign w:val="center"/>
            <w:hideMark/>
          </w:tcPr>
          <w:p w14:paraId="039C9E13" w14:textId="0831FC88"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346,380</w:t>
            </w:r>
          </w:p>
        </w:tc>
        <w:tc>
          <w:tcPr>
            <w:tcW w:w="1715" w:type="dxa"/>
            <w:shd w:val="clear" w:color="auto" w:fill="auto"/>
            <w:noWrap/>
            <w:vAlign w:val="center"/>
            <w:hideMark/>
          </w:tcPr>
          <w:p w14:paraId="2A68F407" w14:textId="1D0FF168"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21.65</w:t>
            </w:r>
          </w:p>
        </w:tc>
      </w:tr>
      <w:tr w:rsidR="004865EF" w:rsidRPr="004865EF" w14:paraId="4A3B54BF" w14:textId="77777777" w:rsidTr="003D2521">
        <w:trPr>
          <w:trHeight w:val="397"/>
        </w:trPr>
        <w:tc>
          <w:tcPr>
            <w:tcW w:w="1423" w:type="dxa"/>
            <w:vMerge w:val="restart"/>
            <w:shd w:val="clear" w:color="auto" w:fill="auto"/>
            <w:noWrap/>
            <w:vAlign w:val="center"/>
            <w:hideMark/>
          </w:tcPr>
          <w:p w14:paraId="529891A1" w14:textId="34D73887" w:rsidR="00D43D5A" w:rsidRPr="004865EF" w:rsidRDefault="00D43D5A" w:rsidP="00FE02AF">
            <w:pPr>
              <w:widowControl/>
              <w:jc w:val="center"/>
              <w:rPr>
                <w:rFonts w:ascii="楷体" w:eastAsia="楷体" w:hAnsi="楷体" w:cs="Times New Roman"/>
                <w:b/>
                <w:kern w:val="0"/>
                <w:szCs w:val="21"/>
              </w:rPr>
            </w:pPr>
            <w:proofErr w:type="gramStart"/>
            <w:r w:rsidRPr="004865EF">
              <w:rPr>
                <w:rFonts w:ascii="楷体" w:eastAsia="楷体" w:hAnsi="楷体" w:cs="Times New Roman" w:hint="eastAsia"/>
                <w:b/>
                <w:kern w:val="0"/>
                <w:szCs w:val="21"/>
              </w:rPr>
              <w:t>数据港</w:t>
            </w:r>
            <w:proofErr w:type="gramEnd"/>
          </w:p>
        </w:tc>
        <w:tc>
          <w:tcPr>
            <w:tcW w:w="1843" w:type="dxa"/>
            <w:shd w:val="clear" w:color="auto" w:fill="auto"/>
            <w:noWrap/>
            <w:vAlign w:val="center"/>
            <w:hideMark/>
          </w:tcPr>
          <w:p w14:paraId="4217A3F5" w14:textId="77777777" w:rsidR="00D43D5A" w:rsidRPr="004865EF" w:rsidRDefault="00D43D5A" w:rsidP="00D43D5A">
            <w:pPr>
              <w:widowControl/>
              <w:jc w:val="center"/>
              <w:rPr>
                <w:rFonts w:ascii="楷体" w:eastAsia="楷体" w:hAnsi="楷体" w:cs="Times New Roman"/>
                <w:b/>
                <w:kern w:val="0"/>
                <w:szCs w:val="21"/>
              </w:rPr>
            </w:pPr>
            <w:r w:rsidRPr="004865EF">
              <w:rPr>
                <w:rFonts w:ascii="楷体" w:eastAsia="楷体" w:hAnsi="楷体" w:cs="Times New Roman"/>
                <w:b/>
                <w:kern w:val="0"/>
                <w:szCs w:val="21"/>
              </w:rPr>
              <w:t>JN13-B</w:t>
            </w:r>
          </w:p>
        </w:tc>
        <w:tc>
          <w:tcPr>
            <w:tcW w:w="5131" w:type="dxa"/>
            <w:gridSpan w:val="3"/>
            <w:vMerge w:val="restart"/>
            <w:shd w:val="clear" w:color="auto" w:fill="auto"/>
            <w:vAlign w:val="center"/>
            <w:hideMark/>
          </w:tcPr>
          <w:p w14:paraId="1FF9B902" w14:textId="77777777"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未披露单个数据中心项目机柜个数，无法对比</w:t>
            </w:r>
          </w:p>
        </w:tc>
      </w:tr>
      <w:tr w:rsidR="004865EF" w:rsidRPr="004865EF" w14:paraId="1414D880" w14:textId="77777777" w:rsidTr="003D2521">
        <w:trPr>
          <w:trHeight w:val="397"/>
        </w:trPr>
        <w:tc>
          <w:tcPr>
            <w:tcW w:w="1423" w:type="dxa"/>
            <w:vMerge/>
            <w:vAlign w:val="center"/>
            <w:hideMark/>
          </w:tcPr>
          <w:p w14:paraId="612F071D" w14:textId="77777777" w:rsidR="00D43D5A" w:rsidRPr="004865EF" w:rsidRDefault="00D43D5A" w:rsidP="00FE02AF">
            <w:pPr>
              <w:widowControl/>
              <w:jc w:val="center"/>
              <w:rPr>
                <w:rFonts w:ascii="楷体" w:eastAsia="楷体" w:hAnsi="楷体" w:cs="Times New Roman"/>
                <w:b/>
                <w:kern w:val="0"/>
                <w:szCs w:val="21"/>
              </w:rPr>
            </w:pPr>
          </w:p>
        </w:tc>
        <w:tc>
          <w:tcPr>
            <w:tcW w:w="1843" w:type="dxa"/>
            <w:shd w:val="clear" w:color="auto" w:fill="auto"/>
            <w:noWrap/>
            <w:vAlign w:val="center"/>
            <w:hideMark/>
          </w:tcPr>
          <w:p w14:paraId="6430DAAB" w14:textId="77777777" w:rsidR="00D43D5A" w:rsidRPr="004865EF" w:rsidRDefault="00D43D5A" w:rsidP="00D43D5A">
            <w:pPr>
              <w:widowControl/>
              <w:jc w:val="center"/>
              <w:rPr>
                <w:rFonts w:ascii="楷体" w:eastAsia="楷体" w:hAnsi="楷体" w:cs="Times New Roman"/>
                <w:b/>
                <w:kern w:val="0"/>
                <w:szCs w:val="21"/>
              </w:rPr>
            </w:pPr>
            <w:r w:rsidRPr="004865EF">
              <w:rPr>
                <w:rFonts w:ascii="楷体" w:eastAsia="楷体" w:hAnsi="楷体" w:cs="Times New Roman"/>
                <w:b/>
                <w:kern w:val="0"/>
                <w:szCs w:val="21"/>
              </w:rPr>
              <w:t>ZH13-A</w:t>
            </w:r>
          </w:p>
        </w:tc>
        <w:tc>
          <w:tcPr>
            <w:tcW w:w="5131" w:type="dxa"/>
            <w:gridSpan w:val="3"/>
            <w:vMerge/>
            <w:vAlign w:val="center"/>
            <w:hideMark/>
          </w:tcPr>
          <w:p w14:paraId="4141CAFB" w14:textId="77777777" w:rsidR="00D43D5A" w:rsidRPr="004865EF" w:rsidRDefault="00D43D5A" w:rsidP="00FE02AF">
            <w:pPr>
              <w:widowControl/>
              <w:jc w:val="center"/>
              <w:rPr>
                <w:rFonts w:ascii="楷体" w:eastAsia="楷体" w:hAnsi="楷体" w:cs="Times New Roman"/>
                <w:b/>
                <w:kern w:val="0"/>
                <w:sz w:val="22"/>
                <w:szCs w:val="22"/>
              </w:rPr>
            </w:pPr>
          </w:p>
        </w:tc>
      </w:tr>
      <w:tr w:rsidR="004865EF" w:rsidRPr="004865EF" w14:paraId="6E050303" w14:textId="77777777" w:rsidTr="003D2521">
        <w:trPr>
          <w:trHeight w:val="397"/>
        </w:trPr>
        <w:tc>
          <w:tcPr>
            <w:tcW w:w="1423" w:type="dxa"/>
            <w:vMerge/>
            <w:vAlign w:val="center"/>
            <w:hideMark/>
          </w:tcPr>
          <w:p w14:paraId="7EC26DC1" w14:textId="77777777" w:rsidR="00D43D5A" w:rsidRPr="004865EF" w:rsidRDefault="00D43D5A" w:rsidP="00FE02AF">
            <w:pPr>
              <w:widowControl/>
              <w:jc w:val="center"/>
              <w:rPr>
                <w:rFonts w:ascii="楷体" w:eastAsia="楷体" w:hAnsi="楷体" w:cs="Times New Roman"/>
                <w:b/>
                <w:kern w:val="0"/>
                <w:szCs w:val="21"/>
              </w:rPr>
            </w:pPr>
          </w:p>
        </w:tc>
        <w:tc>
          <w:tcPr>
            <w:tcW w:w="1843" w:type="dxa"/>
            <w:shd w:val="clear" w:color="auto" w:fill="auto"/>
            <w:noWrap/>
            <w:vAlign w:val="center"/>
            <w:hideMark/>
          </w:tcPr>
          <w:p w14:paraId="03F97B5B" w14:textId="77777777" w:rsidR="00D43D5A" w:rsidRPr="004865EF" w:rsidRDefault="00D43D5A" w:rsidP="00D43D5A">
            <w:pPr>
              <w:widowControl/>
              <w:jc w:val="center"/>
              <w:rPr>
                <w:rFonts w:ascii="楷体" w:eastAsia="楷体" w:hAnsi="楷体" w:cs="Times New Roman"/>
                <w:b/>
                <w:kern w:val="0"/>
                <w:szCs w:val="21"/>
              </w:rPr>
            </w:pPr>
            <w:proofErr w:type="gramStart"/>
            <w:r w:rsidRPr="004865EF">
              <w:rPr>
                <w:rFonts w:ascii="楷体" w:eastAsia="楷体" w:hAnsi="楷体" w:cs="Times New Roman" w:hint="eastAsia"/>
                <w:b/>
                <w:kern w:val="0"/>
                <w:szCs w:val="21"/>
              </w:rPr>
              <w:t>云创互通</w:t>
            </w:r>
            <w:proofErr w:type="gramEnd"/>
          </w:p>
        </w:tc>
        <w:tc>
          <w:tcPr>
            <w:tcW w:w="5131" w:type="dxa"/>
            <w:gridSpan w:val="3"/>
            <w:vMerge/>
            <w:vAlign w:val="center"/>
            <w:hideMark/>
          </w:tcPr>
          <w:p w14:paraId="14FDF74D" w14:textId="77777777" w:rsidR="00D43D5A" w:rsidRPr="004865EF" w:rsidRDefault="00D43D5A" w:rsidP="00FE02AF">
            <w:pPr>
              <w:widowControl/>
              <w:jc w:val="center"/>
              <w:rPr>
                <w:rFonts w:ascii="楷体" w:eastAsia="楷体" w:hAnsi="楷体" w:cs="Times New Roman"/>
                <w:b/>
                <w:kern w:val="0"/>
                <w:sz w:val="22"/>
                <w:szCs w:val="22"/>
              </w:rPr>
            </w:pPr>
          </w:p>
        </w:tc>
      </w:tr>
      <w:tr w:rsidR="004865EF" w:rsidRPr="004865EF" w14:paraId="7CFA689F" w14:textId="77777777" w:rsidTr="003D2521">
        <w:trPr>
          <w:trHeight w:val="397"/>
        </w:trPr>
        <w:tc>
          <w:tcPr>
            <w:tcW w:w="1423" w:type="dxa"/>
            <w:shd w:val="clear" w:color="auto" w:fill="auto"/>
            <w:noWrap/>
            <w:vAlign w:val="center"/>
            <w:hideMark/>
          </w:tcPr>
          <w:p w14:paraId="51517337" w14:textId="77777777" w:rsidR="00D43D5A" w:rsidRPr="004865EF" w:rsidRDefault="00D43D5A" w:rsidP="00D43D5A">
            <w:pPr>
              <w:widowControl/>
              <w:jc w:val="center"/>
              <w:rPr>
                <w:rFonts w:ascii="楷体" w:eastAsia="楷体" w:hAnsi="楷体" w:cs="Times New Roman"/>
                <w:b/>
                <w:kern w:val="0"/>
                <w:szCs w:val="21"/>
              </w:rPr>
            </w:pPr>
            <w:proofErr w:type="gramStart"/>
            <w:r w:rsidRPr="004865EF">
              <w:rPr>
                <w:rFonts w:ascii="楷体" w:eastAsia="楷体" w:hAnsi="楷体" w:cs="Times New Roman" w:hint="eastAsia"/>
                <w:b/>
                <w:kern w:val="0"/>
                <w:szCs w:val="21"/>
              </w:rPr>
              <w:t>奥飞数据</w:t>
            </w:r>
            <w:proofErr w:type="gramEnd"/>
          </w:p>
        </w:tc>
        <w:tc>
          <w:tcPr>
            <w:tcW w:w="1843" w:type="dxa"/>
            <w:shd w:val="clear" w:color="auto" w:fill="auto"/>
            <w:noWrap/>
            <w:vAlign w:val="center"/>
            <w:hideMark/>
          </w:tcPr>
          <w:p w14:paraId="3CBDD8D3" w14:textId="77777777" w:rsidR="00D43D5A" w:rsidRPr="004865EF" w:rsidRDefault="00D43D5A" w:rsidP="00D43D5A">
            <w:pPr>
              <w:widowControl/>
              <w:jc w:val="center"/>
              <w:rPr>
                <w:rFonts w:ascii="楷体" w:eastAsia="楷体" w:hAnsi="楷体" w:cs="Times New Roman"/>
                <w:b/>
                <w:kern w:val="0"/>
                <w:szCs w:val="21"/>
              </w:rPr>
            </w:pPr>
            <w:proofErr w:type="gramStart"/>
            <w:r w:rsidRPr="004865EF">
              <w:rPr>
                <w:rFonts w:ascii="楷体" w:eastAsia="楷体" w:hAnsi="楷体" w:cs="Times New Roman" w:hint="eastAsia"/>
                <w:b/>
                <w:kern w:val="0"/>
                <w:szCs w:val="21"/>
              </w:rPr>
              <w:t>廊坊讯云</w:t>
            </w:r>
            <w:proofErr w:type="gramEnd"/>
          </w:p>
        </w:tc>
        <w:tc>
          <w:tcPr>
            <w:tcW w:w="1701" w:type="dxa"/>
            <w:shd w:val="clear" w:color="auto" w:fill="auto"/>
            <w:noWrap/>
            <w:vAlign w:val="center"/>
            <w:hideMark/>
          </w:tcPr>
          <w:p w14:paraId="5A33FA4E" w14:textId="51960757"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1,500</w:t>
            </w:r>
          </w:p>
        </w:tc>
        <w:tc>
          <w:tcPr>
            <w:tcW w:w="1715" w:type="dxa"/>
            <w:shd w:val="clear" w:color="auto" w:fill="auto"/>
            <w:noWrap/>
            <w:vAlign w:val="center"/>
            <w:hideMark/>
          </w:tcPr>
          <w:p w14:paraId="17167282" w14:textId="1A8AE611"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34,380</w:t>
            </w:r>
          </w:p>
        </w:tc>
        <w:tc>
          <w:tcPr>
            <w:tcW w:w="1715" w:type="dxa"/>
            <w:shd w:val="clear" w:color="auto" w:fill="auto"/>
            <w:noWrap/>
            <w:vAlign w:val="center"/>
            <w:hideMark/>
          </w:tcPr>
          <w:p w14:paraId="5333957B" w14:textId="770F36AF"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22.92</w:t>
            </w:r>
          </w:p>
        </w:tc>
      </w:tr>
      <w:tr w:rsidR="004865EF" w:rsidRPr="004865EF" w14:paraId="2BA9347B" w14:textId="77777777" w:rsidTr="003D2521">
        <w:trPr>
          <w:trHeight w:val="397"/>
        </w:trPr>
        <w:tc>
          <w:tcPr>
            <w:tcW w:w="1423" w:type="dxa"/>
            <w:shd w:val="clear" w:color="auto" w:fill="auto"/>
            <w:noWrap/>
            <w:vAlign w:val="center"/>
            <w:hideMark/>
          </w:tcPr>
          <w:p w14:paraId="2D8C8CE8" w14:textId="77777777" w:rsidR="00D43D5A" w:rsidRPr="004865EF" w:rsidRDefault="00D43D5A" w:rsidP="00D43D5A">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宝信软件</w:t>
            </w:r>
          </w:p>
        </w:tc>
        <w:tc>
          <w:tcPr>
            <w:tcW w:w="1843" w:type="dxa"/>
            <w:shd w:val="clear" w:color="auto" w:fill="auto"/>
            <w:noWrap/>
            <w:vAlign w:val="center"/>
            <w:hideMark/>
          </w:tcPr>
          <w:p w14:paraId="04065E67" w14:textId="77777777" w:rsidR="00D43D5A" w:rsidRPr="004865EF" w:rsidRDefault="00D43D5A" w:rsidP="00D43D5A">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宝之云</w:t>
            </w:r>
            <w:r w:rsidRPr="004865EF">
              <w:rPr>
                <w:rFonts w:ascii="楷体" w:eastAsia="楷体" w:hAnsi="楷体" w:cs="Times New Roman"/>
                <w:b/>
                <w:kern w:val="0"/>
                <w:szCs w:val="21"/>
              </w:rPr>
              <w:t>IDC</w:t>
            </w:r>
            <w:r w:rsidRPr="004865EF">
              <w:rPr>
                <w:rFonts w:ascii="楷体" w:eastAsia="楷体" w:hAnsi="楷体" w:cs="Times New Roman" w:hint="eastAsia"/>
                <w:b/>
                <w:kern w:val="0"/>
                <w:szCs w:val="21"/>
              </w:rPr>
              <w:t>四期</w:t>
            </w:r>
          </w:p>
        </w:tc>
        <w:tc>
          <w:tcPr>
            <w:tcW w:w="1701" w:type="dxa"/>
            <w:shd w:val="clear" w:color="auto" w:fill="auto"/>
            <w:noWrap/>
            <w:vAlign w:val="center"/>
            <w:hideMark/>
          </w:tcPr>
          <w:p w14:paraId="036038CA" w14:textId="1F4EF105"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9,000</w:t>
            </w:r>
          </w:p>
        </w:tc>
        <w:tc>
          <w:tcPr>
            <w:tcW w:w="1715" w:type="dxa"/>
            <w:shd w:val="clear" w:color="auto" w:fill="auto"/>
            <w:noWrap/>
            <w:vAlign w:val="center"/>
            <w:hideMark/>
          </w:tcPr>
          <w:p w14:paraId="1D6F46AC" w14:textId="0AC8ED6A"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195,262</w:t>
            </w:r>
          </w:p>
        </w:tc>
        <w:tc>
          <w:tcPr>
            <w:tcW w:w="1715" w:type="dxa"/>
            <w:shd w:val="clear" w:color="auto" w:fill="auto"/>
            <w:noWrap/>
            <w:vAlign w:val="center"/>
            <w:hideMark/>
          </w:tcPr>
          <w:p w14:paraId="50F6EB2E" w14:textId="189AFA5A"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21.70</w:t>
            </w:r>
          </w:p>
        </w:tc>
      </w:tr>
      <w:tr w:rsidR="004865EF" w:rsidRPr="004865EF" w14:paraId="2F0F7B3E" w14:textId="77777777" w:rsidTr="003D2521">
        <w:trPr>
          <w:trHeight w:val="397"/>
        </w:trPr>
        <w:tc>
          <w:tcPr>
            <w:tcW w:w="1423" w:type="dxa"/>
            <w:shd w:val="clear" w:color="auto" w:fill="auto"/>
            <w:noWrap/>
            <w:vAlign w:val="center"/>
            <w:hideMark/>
          </w:tcPr>
          <w:p w14:paraId="332ACF71" w14:textId="77777777"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证通电子</w:t>
            </w:r>
          </w:p>
        </w:tc>
        <w:tc>
          <w:tcPr>
            <w:tcW w:w="1843" w:type="dxa"/>
            <w:shd w:val="clear" w:color="auto" w:fill="auto"/>
            <w:noWrap/>
            <w:vAlign w:val="center"/>
            <w:hideMark/>
          </w:tcPr>
          <w:p w14:paraId="0C65003D" w14:textId="77777777" w:rsidR="00D43D5A" w:rsidRPr="004865EF" w:rsidRDefault="00D43D5A" w:rsidP="003D2521">
            <w:pPr>
              <w:widowControl/>
              <w:jc w:val="center"/>
              <w:rPr>
                <w:rFonts w:ascii="楷体" w:eastAsia="楷体" w:hAnsi="楷体" w:cs="Times New Roman"/>
                <w:b/>
                <w:kern w:val="0"/>
                <w:szCs w:val="21"/>
              </w:rPr>
            </w:pPr>
            <w:proofErr w:type="gramStart"/>
            <w:r w:rsidRPr="004865EF">
              <w:rPr>
                <w:rFonts w:ascii="楷体" w:eastAsia="楷体" w:hAnsi="楷体" w:cs="Times New Roman" w:hint="eastAsia"/>
                <w:b/>
                <w:kern w:val="0"/>
                <w:szCs w:val="21"/>
              </w:rPr>
              <w:t>证通智慧</w:t>
            </w:r>
            <w:proofErr w:type="gramEnd"/>
          </w:p>
        </w:tc>
        <w:tc>
          <w:tcPr>
            <w:tcW w:w="1701" w:type="dxa"/>
            <w:shd w:val="clear" w:color="auto" w:fill="auto"/>
            <w:noWrap/>
            <w:vAlign w:val="center"/>
            <w:hideMark/>
          </w:tcPr>
          <w:p w14:paraId="19C6E400" w14:textId="3B711217"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1,520</w:t>
            </w:r>
          </w:p>
        </w:tc>
        <w:tc>
          <w:tcPr>
            <w:tcW w:w="1715" w:type="dxa"/>
            <w:shd w:val="clear" w:color="auto" w:fill="auto"/>
            <w:noWrap/>
            <w:vAlign w:val="center"/>
            <w:hideMark/>
          </w:tcPr>
          <w:p w14:paraId="7E25A48B" w14:textId="3F00F8B5" w:rsidR="00D43D5A" w:rsidRPr="004865EF" w:rsidRDefault="00D43D5A" w:rsidP="00FE02AF">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24,962</w:t>
            </w:r>
          </w:p>
        </w:tc>
        <w:tc>
          <w:tcPr>
            <w:tcW w:w="1715" w:type="dxa"/>
            <w:shd w:val="clear" w:color="auto" w:fill="auto"/>
            <w:noWrap/>
            <w:vAlign w:val="center"/>
            <w:hideMark/>
          </w:tcPr>
          <w:p w14:paraId="052672D1" w14:textId="2B150072" w:rsidR="00D43D5A" w:rsidRPr="004865EF" w:rsidRDefault="00D43D5A" w:rsidP="00D43D5A">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16.42</w:t>
            </w:r>
          </w:p>
        </w:tc>
      </w:tr>
    </w:tbl>
    <w:p w14:paraId="25253ECC" w14:textId="7E1DD021" w:rsidR="001D7895" w:rsidRPr="004865EF" w:rsidRDefault="0014561B" w:rsidP="00FE02AF">
      <w:pPr>
        <w:ind w:firstLine="422"/>
        <w:rPr>
          <w:rFonts w:ascii="楷体" w:eastAsia="楷体" w:hAnsi="楷体" w:cs="Times New Roman"/>
          <w:b/>
        </w:rPr>
      </w:pPr>
      <w:r w:rsidRPr="004865EF">
        <w:rPr>
          <w:rFonts w:ascii="楷体" w:eastAsia="楷体" w:hAnsi="楷体" w:cs="Times New Roman" w:hint="eastAsia"/>
          <w:b/>
        </w:rPr>
        <w:t>注1：燕郊二期、房山一期和嘉定一期为公司近三年的已投资项目，其中燕郊二期已完成建设，投资总额为实际投资金额，房山一期和嘉定一期仍在建设阶段，截至2020年6月末分别完成投资进度</w:t>
      </w:r>
      <w:r w:rsidRPr="004865EF">
        <w:rPr>
          <w:rFonts w:ascii="楷体" w:eastAsia="楷体" w:hAnsi="楷体" w:cs="Times New Roman"/>
          <w:b/>
        </w:rPr>
        <w:t>76.07%</w:t>
      </w:r>
      <w:r w:rsidRPr="004865EF">
        <w:rPr>
          <w:rFonts w:ascii="楷体" w:eastAsia="楷体" w:hAnsi="楷体" w:cs="Times New Roman" w:hint="eastAsia"/>
          <w:b/>
        </w:rPr>
        <w:t>和96.31%，投资总额为规划投资金额。</w:t>
      </w:r>
    </w:p>
    <w:p w14:paraId="3E9B7098" w14:textId="65735D2A" w:rsidR="0014561B" w:rsidRPr="004865EF" w:rsidRDefault="0014561B" w:rsidP="00FE02AF">
      <w:pPr>
        <w:ind w:firstLine="422"/>
        <w:rPr>
          <w:rFonts w:ascii="楷体" w:eastAsia="楷体" w:hAnsi="楷体" w:cs="Times New Roman"/>
          <w:b/>
        </w:rPr>
      </w:pPr>
      <w:r w:rsidRPr="004865EF">
        <w:rPr>
          <w:rFonts w:ascii="楷体" w:eastAsia="楷体" w:hAnsi="楷体" w:cs="Times New Roman" w:hint="eastAsia"/>
          <w:b/>
        </w:rPr>
        <w:t>注2：证通电子</w:t>
      </w:r>
      <w:proofErr w:type="gramStart"/>
      <w:r w:rsidRPr="004865EF">
        <w:rPr>
          <w:rFonts w:ascii="楷体" w:eastAsia="楷体" w:hAnsi="楷体" w:cs="Times New Roman" w:hint="eastAsia"/>
          <w:b/>
        </w:rPr>
        <w:t>的证通智慧</w:t>
      </w:r>
      <w:proofErr w:type="gramEnd"/>
      <w:r w:rsidRPr="004865EF">
        <w:rPr>
          <w:rFonts w:ascii="楷体" w:eastAsia="楷体" w:hAnsi="楷体" w:cs="Times New Roman" w:hint="eastAsia"/>
          <w:b/>
        </w:rPr>
        <w:t>光明</w:t>
      </w:r>
      <w:proofErr w:type="gramStart"/>
      <w:r w:rsidRPr="004865EF">
        <w:rPr>
          <w:rFonts w:ascii="楷体" w:eastAsia="楷体" w:hAnsi="楷体" w:cs="Times New Roman" w:hint="eastAsia"/>
          <w:b/>
        </w:rPr>
        <w:t>云数据</w:t>
      </w:r>
      <w:proofErr w:type="gramEnd"/>
      <w:r w:rsidRPr="004865EF">
        <w:rPr>
          <w:rFonts w:ascii="楷体" w:eastAsia="楷体" w:hAnsi="楷体" w:cs="Times New Roman" w:hint="eastAsia"/>
          <w:b/>
        </w:rPr>
        <w:t>中心项目的投资总额仅包含数据中心建设投资金额，未包含服务器等设备和软件平台</w:t>
      </w:r>
      <w:proofErr w:type="gramStart"/>
      <w:r w:rsidRPr="004865EF">
        <w:rPr>
          <w:rFonts w:ascii="楷体" w:eastAsia="楷体" w:hAnsi="楷体" w:cs="Times New Roman" w:hint="eastAsia"/>
          <w:b/>
        </w:rPr>
        <w:t>等云计算</w:t>
      </w:r>
      <w:proofErr w:type="gramEnd"/>
      <w:r w:rsidRPr="004865EF">
        <w:rPr>
          <w:rFonts w:ascii="楷体" w:eastAsia="楷体" w:hAnsi="楷体" w:cs="Times New Roman" w:hint="eastAsia"/>
          <w:b/>
        </w:rPr>
        <w:t>项目投资金额。</w:t>
      </w:r>
    </w:p>
    <w:p w14:paraId="0D238E02" w14:textId="2F715755" w:rsidR="00BF021C" w:rsidRPr="004865EF" w:rsidRDefault="00BA765C" w:rsidP="00FE02AF">
      <w:pPr>
        <w:spacing w:beforeLines="50" w:before="156" w:afterLines="50" w:after="156" w:line="360" w:lineRule="auto"/>
        <w:ind w:firstLineChars="200" w:firstLine="482"/>
        <w:rPr>
          <w:rFonts w:ascii="楷体" w:eastAsia="楷体" w:hAnsi="楷体" w:cs="Times New Roman"/>
          <w:b/>
          <w:sz w:val="24"/>
        </w:rPr>
      </w:pPr>
      <w:r w:rsidRPr="004865EF">
        <w:rPr>
          <w:rFonts w:ascii="楷体" w:eastAsia="楷体" w:hAnsi="楷体" w:cs="Times New Roman" w:hint="eastAsia"/>
          <w:b/>
          <w:sz w:val="24"/>
        </w:rPr>
        <w:t>本次</w:t>
      </w:r>
      <w:proofErr w:type="gramStart"/>
      <w:r w:rsidRPr="004865EF">
        <w:rPr>
          <w:rFonts w:ascii="楷体" w:eastAsia="楷体" w:hAnsi="楷体" w:cs="Times New Roman" w:hint="eastAsia"/>
          <w:b/>
          <w:sz w:val="24"/>
        </w:rPr>
        <w:t>募投项目</w:t>
      </w:r>
      <w:proofErr w:type="gramEnd"/>
      <w:r w:rsidRPr="004865EF">
        <w:rPr>
          <w:rFonts w:ascii="楷体" w:eastAsia="楷体" w:hAnsi="楷体" w:cs="Times New Roman" w:hint="eastAsia"/>
          <w:b/>
          <w:sz w:val="24"/>
        </w:rPr>
        <w:t>中，房山二期、嘉定二期的单机柜建造成本分别为24.42和26.00万元/架，略高于同行业上市公司</w:t>
      </w:r>
      <w:proofErr w:type="gramStart"/>
      <w:r w:rsidRPr="004865EF">
        <w:rPr>
          <w:rFonts w:ascii="楷体" w:eastAsia="楷体" w:hAnsi="楷体" w:cs="Times New Roman" w:hint="eastAsia"/>
          <w:b/>
          <w:sz w:val="24"/>
        </w:rPr>
        <w:t>的募投项目</w:t>
      </w:r>
      <w:proofErr w:type="gramEnd"/>
      <w:r w:rsidRPr="004865EF">
        <w:rPr>
          <w:rFonts w:ascii="楷体" w:eastAsia="楷体" w:hAnsi="楷体" w:cs="Times New Roman" w:hint="eastAsia"/>
          <w:b/>
          <w:sz w:val="24"/>
        </w:rPr>
        <w:t>，主要由于项目位于一线城市北京和上海，数据中心的土地费用、楼体建筑单位成本偏高；其次由于一线城市对数据中心的PUE指标要求严格，上述项目的规划PUE为1.3，因此导致配电和空调系统的配置成本增加。长沙一期</w:t>
      </w:r>
      <w:r w:rsidR="00624CDD" w:rsidRPr="004865EF">
        <w:rPr>
          <w:rFonts w:ascii="楷体" w:eastAsia="楷体" w:hAnsi="楷体" w:cs="Times New Roman" w:hint="eastAsia"/>
          <w:b/>
          <w:sz w:val="24"/>
        </w:rPr>
        <w:t>规划PUE为1.4，单机柜</w:t>
      </w:r>
      <w:r w:rsidRPr="004865EF">
        <w:rPr>
          <w:rFonts w:ascii="楷体" w:eastAsia="楷体" w:hAnsi="楷体" w:cs="Times New Roman" w:hint="eastAsia"/>
          <w:b/>
          <w:sz w:val="24"/>
        </w:rPr>
        <w:t>建造成本为21.65万元/架，</w:t>
      </w:r>
      <w:r w:rsidR="00624CDD" w:rsidRPr="004865EF">
        <w:rPr>
          <w:rFonts w:ascii="楷体" w:eastAsia="楷体" w:hAnsi="楷体" w:cs="Times New Roman" w:hint="eastAsia"/>
          <w:b/>
          <w:sz w:val="24"/>
        </w:rPr>
        <w:t>与宝信软件、</w:t>
      </w:r>
      <w:proofErr w:type="gramStart"/>
      <w:r w:rsidR="00624CDD" w:rsidRPr="004865EF">
        <w:rPr>
          <w:rFonts w:ascii="楷体" w:eastAsia="楷体" w:hAnsi="楷体" w:cs="Times New Roman" w:hint="eastAsia"/>
          <w:b/>
          <w:sz w:val="24"/>
        </w:rPr>
        <w:t>奥飞数据</w:t>
      </w:r>
      <w:proofErr w:type="gramEnd"/>
      <w:r w:rsidR="00624CDD" w:rsidRPr="004865EF">
        <w:rPr>
          <w:rFonts w:ascii="楷体" w:eastAsia="楷体" w:hAnsi="楷体" w:cs="Times New Roman" w:hint="eastAsia"/>
          <w:b/>
          <w:sz w:val="24"/>
        </w:rPr>
        <w:t>等公司</w:t>
      </w:r>
      <w:proofErr w:type="gramStart"/>
      <w:r w:rsidR="00624CDD" w:rsidRPr="004865EF">
        <w:rPr>
          <w:rFonts w:ascii="楷体" w:eastAsia="楷体" w:hAnsi="楷体" w:cs="Times New Roman" w:hint="eastAsia"/>
          <w:b/>
          <w:sz w:val="24"/>
        </w:rPr>
        <w:t>募投项目</w:t>
      </w:r>
      <w:proofErr w:type="gramEnd"/>
      <w:r w:rsidR="00624CDD" w:rsidRPr="004865EF">
        <w:rPr>
          <w:rFonts w:ascii="楷体" w:eastAsia="楷体" w:hAnsi="楷体" w:cs="Times New Roman" w:hint="eastAsia"/>
          <w:b/>
          <w:sz w:val="24"/>
        </w:rPr>
        <w:t>成本不存在重大差异</w:t>
      </w:r>
      <w:r w:rsidRPr="004865EF">
        <w:rPr>
          <w:rFonts w:ascii="楷体" w:eastAsia="楷体" w:hAnsi="楷体" w:cs="Times New Roman" w:hint="eastAsia"/>
          <w:b/>
          <w:sz w:val="24"/>
        </w:rPr>
        <w:t>。综上，公司的</w:t>
      </w:r>
      <w:proofErr w:type="gramStart"/>
      <w:r w:rsidRPr="004865EF">
        <w:rPr>
          <w:rFonts w:ascii="楷体" w:eastAsia="楷体" w:hAnsi="楷体" w:cs="Times New Roman" w:hint="eastAsia"/>
          <w:b/>
          <w:sz w:val="24"/>
        </w:rPr>
        <w:t>募投项目单</w:t>
      </w:r>
      <w:proofErr w:type="gramEnd"/>
      <w:r w:rsidRPr="004865EF">
        <w:rPr>
          <w:rFonts w:ascii="楷体" w:eastAsia="楷体" w:hAnsi="楷体" w:cs="Times New Roman" w:hint="eastAsia"/>
          <w:b/>
          <w:sz w:val="24"/>
        </w:rPr>
        <w:t>机柜造价成本合理。</w:t>
      </w:r>
    </w:p>
    <w:p w14:paraId="4BD304B8" w14:textId="0E244875" w:rsidR="00602898" w:rsidRPr="004865EF" w:rsidRDefault="00602898" w:rsidP="00A66425">
      <w:pPr>
        <w:pStyle w:val="2"/>
        <w:spacing w:before="156" w:after="156"/>
      </w:pPr>
      <w:r w:rsidRPr="004865EF">
        <w:rPr>
          <w:rFonts w:hint="eastAsia"/>
        </w:rPr>
        <w:t>三、</w:t>
      </w:r>
      <w:r w:rsidRPr="004865EF">
        <w:t>披露本次</w:t>
      </w:r>
      <w:proofErr w:type="gramStart"/>
      <w:r w:rsidRPr="004865EF">
        <w:t>募投项目</w:t>
      </w:r>
      <w:proofErr w:type="gramEnd"/>
      <w:r w:rsidRPr="004865EF">
        <w:t>的募集资金使用和项目建设的进度安排，本次募集资金是否包含本次发行董事会决议日前已投入资金</w:t>
      </w:r>
    </w:p>
    <w:p w14:paraId="7968D358" w14:textId="77777777"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1</w:t>
      </w:r>
      <w:r w:rsidRPr="004865EF">
        <w:rPr>
          <w:rFonts w:ascii="Times New Roman" w:eastAsia="宋体" w:hAnsi="Times New Roman" w:cs="Times New Roman"/>
          <w:sz w:val="24"/>
        </w:rPr>
        <w:t>、</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建设进度安排</w:t>
      </w:r>
    </w:p>
    <w:p w14:paraId="4580C244"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w:t>
      </w:r>
      <w:r w:rsidRPr="004865EF">
        <w:rPr>
          <w:rFonts w:ascii="Times New Roman" w:eastAsia="宋体" w:hAnsi="Times New Roman" w:cs="Times New Roman"/>
          <w:sz w:val="24"/>
        </w:rPr>
        <w:t>1</w:t>
      </w:r>
      <w:r w:rsidRPr="004865EF">
        <w:rPr>
          <w:rFonts w:ascii="Times New Roman" w:eastAsia="宋体" w:hAnsi="Times New Roman" w:cs="Times New Roman"/>
          <w:sz w:val="24"/>
        </w:rPr>
        <w:t>）</w:t>
      </w:r>
      <w:r w:rsidRPr="004865EF">
        <w:rPr>
          <w:rFonts w:ascii="Times New Roman" w:eastAsia="宋体" w:hAnsi="Times New Roman" w:cs="Times New Roman" w:hint="eastAsia"/>
          <w:sz w:val="24"/>
        </w:rPr>
        <w:t>北京房山绿色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数据中心二期</w:t>
      </w:r>
    </w:p>
    <w:p w14:paraId="77A988BC" w14:textId="77777777" w:rsidR="00602898" w:rsidRPr="004865EF" w:rsidRDefault="00602898" w:rsidP="00E87AF9">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房山二期项目于</w:t>
      </w:r>
      <w:r w:rsidRPr="004865EF">
        <w:rPr>
          <w:rFonts w:ascii="Times New Roman" w:eastAsia="宋体" w:hAnsi="Times New Roman" w:cs="Times New Roman"/>
          <w:sz w:val="24"/>
        </w:rPr>
        <w:t>2019</w:t>
      </w:r>
      <w:r w:rsidRPr="004865EF">
        <w:rPr>
          <w:rFonts w:ascii="Times New Roman" w:eastAsia="宋体" w:hAnsi="Times New Roman" w:cs="Times New Roman" w:hint="eastAsia"/>
          <w:sz w:val="24"/>
        </w:rPr>
        <w:t>年</w:t>
      </w:r>
      <w:r w:rsidRPr="004865EF">
        <w:rPr>
          <w:rFonts w:ascii="Times New Roman" w:eastAsia="宋体" w:hAnsi="Times New Roman" w:cs="Times New Roman"/>
          <w:sz w:val="24"/>
        </w:rPr>
        <w:t>1</w:t>
      </w:r>
      <w:r w:rsidRPr="004865EF">
        <w:rPr>
          <w:rFonts w:ascii="Times New Roman" w:eastAsia="宋体" w:hAnsi="Times New Roman" w:cs="Times New Roman" w:hint="eastAsia"/>
          <w:sz w:val="24"/>
        </w:rPr>
        <w:t>月开始正式施工，建设期为自开工后</w:t>
      </w:r>
      <w:r w:rsidRPr="004865EF">
        <w:rPr>
          <w:rFonts w:ascii="Times New Roman" w:eastAsia="宋体" w:hAnsi="Times New Roman" w:cs="Times New Roman"/>
          <w:sz w:val="24"/>
        </w:rPr>
        <w:t>36</w:t>
      </w:r>
      <w:r w:rsidRPr="004865EF">
        <w:rPr>
          <w:rFonts w:ascii="Times New Roman" w:eastAsia="宋体" w:hAnsi="Times New Roman" w:cs="Times New Roman" w:hint="eastAsia"/>
          <w:sz w:val="24"/>
        </w:rPr>
        <w:t>个月，预计进度安排如下：</w:t>
      </w: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610"/>
        <w:gridCol w:w="585"/>
        <w:gridCol w:w="585"/>
        <w:gridCol w:w="561"/>
        <w:gridCol w:w="585"/>
        <w:gridCol w:w="585"/>
        <w:gridCol w:w="585"/>
        <w:gridCol w:w="513"/>
        <w:gridCol w:w="585"/>
        <w:gridCol w:w="585"/>
        <w:gridCol w:w="585"/>
        <w:gridCol w:w="690"/>
      </w:tblGrid>
      <w:tr w:rsidR="004865EF" w:rsidRPr="004865EF" w14:paraId="174BF5AC" w14:textId="77777777" w:rsidTr="00675378">
        <w:trPr>
          <w:trHeight w:val="340"/>
          <w:jc w:val="center"/>
        </w:trPr>
        <w:tc>
          <w:tcPr>
            <w:tcW w:w="1411" w:type="dxa"/>
            <w:vMerge w:val="restart"/>
            <w:shd w:val="clear" w:color="auto" w:fill="auto"/>
            <w:noWrap/>
            <w:vAlign w:val="center"/>
          </w:tcPr>
          <w:p w14:paraId="3DEF92ED"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hint="eastAsia"/>
                <w:b/>
                <w:bCs/>
                <w:kern w:val="0"/>
                <w:szCs w:val="21"/>
              </w:rPr>
              <w:t>建设项目</w:t>
            </w:r>
          </w:p>
        </w:tc>
        <w:tc>
          <w:tcPr>
            <w:tcW w:w="7054" w:type="dxa"/>
            <w:gridSpan w:val="12"/>
            <w:shd w:val="clear" w:color="auto" w:fill="auto"/>
            <w:noWrap/>
            <w:vAlign w:val="center"/>
          </w:tcPr>
          <w:p w14:paraId="2AE466E4"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T+36</w:t>
            </w:r>
            <w:r w:rsidRPr="004865EF">
              <w:rPr>
                <w:rFonts w:ascii="Times New Roman" w:eastAsia="宋体" w:hAnsi="Times New Roman" w:cs="Times New Roman" w:hint="eastAsia"/>
                <w:b/>
                <w:bCs/>
                <w:kern w:val="0"/>
                <w:szCs w:val="21"/>
              </w:rPr>
              <w:t>个月</w:t>
            </w:r>
          </w:p>
        </w:tc>
      </w:tr>
      <w:tr w:rsidR="004865EF" w:rsidRPr="004865EF" w14:paraId="08C7E896" w14:textId="77777777" w:rsidTr="00675378">
        <w:trPr>
          <w:trHeight w:val="340"/>
          <w:jc w:val="center"/>
        </w:trPr>
        <w:tc>
          <w:tcPr>
            <w:tcW w:w="1411" w:type="dxa"/>
            <w:vMerge/>
            <w:vAlign w:val="center"/>
          </w:tcPr>
          <w:p w14:paraId="581C8DD7" w14:textId="77777777" w:rsidR="00602898" w:rsidRPr="004865EF" w:rsidRDefault="00602898" w:rsidP="00602898">
            <w:pPr>
              <w:widowControl/>
              <w:jc w:val="left"/>
              <w:rPr>
                <w:rFonts w:ascii="Times New Roman" w:eastAsia="宋体" w:hAnsi="Times New Roman" w:cs="Times New Roman"/>
                <w:bCs/>
                <w:kern w:val="0"/>
                <w:szCs w:val="21"/>
              </w:rPr>
            </w:pPr>
          </w:p>
        </w:tc>
        <w:tc>
          <w:tcPr>
            <w:tcW w:w="610" w:type="dxa"/>
            <w:shd w:val="clear" w:color="auto" w:fill="auto"/>
            <w:noWrap/>
            <w:vAlign w:val="center"/>
          </w:tcPr>
          <w:p w14:paraId="5A7A6073"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w:t>
            </w:r>
          </w:p>
        </w:tc>
        <w:tc>
          <w:tcPr>
            <w:tcW w:w="585" w:type="dxa"/>
            <w:shd w:val="clear" w:color="auto" w:fill="auto"/>
            <w:noWrap/>
            <w:vAlign w:val="center"/>
          </w:tcPr>
          <w:p w14:paraId="23D2F279"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6</w:t>
            </w:r>
          </w:p>
        </w:tc>
        <w:tc>
          <w:tcPr>
            <w:tcW w:w="585" w:type="dxa"/>
            <w:shd w:val="clear" w:color="auto" w:fill="auto"/>
            <w:noWrap/>
            <w:vAlign w:val="center"/>
          </w:tcPr>
          <w:p w14:paraId="6EACC580"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9</w:t>
            </w:r>
          </w:p>
        </w:tc>
        <w:tc>
          <w:tcPr>
            <w:tcW w:w="561" w:type="dxa"/>
            <w:shd w:val="clear" w:color="auto" w:fill="auto"/>
            <w:noWrap/>
            <w:vAlign w:val="center"/>
          </w:tcPr>
          <w:p w14:paraId="7521AC85"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12</w:t>
            </w:r>
          </w:p>
        </w:tc>
        <w:tc>
          <w:tcPr>
            <w:tcW w:w="585" w:type="dxa"/>
            <w:shd w:val="clear" w:color="auto" w:fill="auto"/>
            <w:noWrap/>
            <w:vAlign w:val="center"/>
          </w:tcPr>
          <w:p w14:paraId="27E44F3F"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15</w:t>
            </w:r>
          </w:p>
        </w:tc>
        <w:tc>
          <w:tcPr>
            <w:tcW w:w="585" w:type="dxa"/>
            <w:shd w:val="clear" w:color="auto" w:fill="auto"/>
            <w:noWrap/>
            <w:vAlign w:val="center"/>
          </w:tcPr>
          <w:p w14:paraId="7CC0F122"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18</w:t>
            </w:r>
          </w:p>
        </w:tc>
        <w:tc>
          <w:tcPr>
            <w:tcW w:w="585" w:type="dxa"/>
            <w:shd w:val="clear" w:color="auto" w:fill="auto"/>
            <w:noWrap/>
            <w:vAlign w:val="center"/>
          </w:tcPr>
          <w:p w14:paraId="10EFAFF9"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21</w:t>
            </w:r>
          </w:p>
        </w:tc>
        <w:tc>
          <w:tcPr>
            <w:tcW w:w="513" w:type="dxa"/>
            <w:shd w:val="clear" w:color="auto" w:fill="auto"/>
            <w:noWrap/>
            <w:vAlign w:val="center"/>
          </w:tcPr>
          <w:p w14:paraId="563E9848"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24</w:t>
            </w:r>
          </w:p>
        </w:tc>
        <w:tc>
          <w:tcPr>
            <w:tcW w:w="585" w:type="dxa"/>
            <w:shd w:val="clear" w:color="auto" w:fill="auto"/>
            <w:noWrap/>
            <w:vAlign w:val="center"/>
          </w:tcPr>
          <w:p w14:paraId="3A64DE2B"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27</w:t>
            </w:r>
          </w:p>
        </w:tc>
        <w:tc>
          <w:tcPr>
            <w:tcW w:w="585" w:type="dxa"/>
            <w:shd w:val="clear" w:color="auto" w:fill="auto"/>
            <w:noWrap/>
            <w:vAlign w:val="center"/>
          </w:tcPr>
          <w:p w14:paraId="4AABF38F"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30</w:t>
            </w:r>
          </w:p>
        </w:tc>
        <w:tc>
          <w:tcPr>
            <w:tcW w:w="585" w:type="dxa"/>
            <w:shd w:val="clear" w:color="auto" w:fill="auto"/>
            <w:noWrap/>
            <w:vAlign w:val="center"/>
          </w:tcPr>
          <w:p w14:paraId="41AB89EB"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33</w:t>
            </w:r>
          </w:p>
        </w:tc>
        <w:tc>
          <w:tcPr>
            <w:tcW w:w="690" w:type="dxa"/>
            <w:shd w:val="clear" w:color="auto" w:fill="auto"/>
            <w:noWrap/>
            <w:vAlign w:val="center"/>
          </w:tcPr>
          <w:p w14:paraId="6CD6D575"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36</w:t>
            </w:r>
          </w:p>
        </w:tc>
      </w:tr>
      <w:tr w:rsidR="004865EF" w:rsidRPr="004865EF" w14:paraId="5D7E6685" w14:textId="77777777" w:rsidTr="00675378">
        <w:trPr>
          <w:trHeight w:val="340"/>
          <w:jc w:val="center"/>
        </w:trPr>
        <w:tc>
          <w:tcPr>
            <w:tcW w:w="1411" w:type="dxa"/>
            <w:shd w:val="clear" w:color="auto" w:fill="auto"/>
            <w:noWrap/>
            <w:vAlign w:val="center"/>
          </w:tcPr>
          <w:p w14:paraId="7832785D" w14:textId="77777777" w:rsidR="00602898" w:rsidRPr="004865EF" w:rsidRDefault="00602898" w:rsidP="00602898">
            <w:pPr>
              <w:widowControl/>
              <w:jc w:val="center"/>
              <w:rPr>
                <w:rFonts w:ascii="楷体" w:eastAsia="楷体" w:hAnsi="楷体" w:cs="Times New Roman"/>
                <w:b/>
                <w:kern w:val="0"/>
                <w:szCs w:val="21"/>
              </w:rPr>
            </w:pPr>
            <w:r w:rsidRPr="004865EF">
              <w:rPr>
                <w:rFonts w:ascii="Times New Roman" w:eastAsia="宋体" w:hAnsi="Times New Roman" w:cs="Times New Roman" w:hint="eastAsia"/>
                <w:kern w:val="0"/>
                <w:szCs w:val="21"/>
              </w:rPr>
              <w:t>建筑进度</w:t>
            </w:r>
          </w:p>
        </w:tc>
        <w:tc>
          <w:tcPr>
            <w:tcW w:w="610" w:type="dxa"/>
            <w:shd w:val="clear" w:color="auto" w:fill="AEAAAA" w:themeFill="background2" w:themeFillShade="BF"/>
            <w:noWrap/>
            <w:vAlign w:val="center"/>
          </w:tcPr>
          <w:p w14:paraId="434078A1"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EAAAA" w:themeFill="background2" w:themeFillShade="BF"/>
            <w:noWrap/>
            <w:vAlign w:val="center"/>
          </w:tcPr>
          <w:p w14:paraId="1B608119"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EAAAA" w:themeFill="background2" w:themeFillShade="BF"/>
            <w:noWrap/>
            <w:vAlign w:val="center"/>
          </w:tcPr>
          <w:p w14:paraId="60454FEE" w14:textId="77777777" w:rsidR="00602898" w:rsidRPr="004865EF" w:rsidRDefault="00602898" w:rsidP="00602898">
            <w:pPr>
              <w:widowControl/>
              <w:jc w:val="left"/>
              <w:rPr>
                <w:rFonts w:ascii="楷体" w:eastAsia="楷体" w:hAnsi="楷体" w:cs="Times New Roman"/>
                <w:b/>
                <w:kern w:val="0"/>
                <w:szCs w:val="21"/>
              </w:rPr>
            </w:pPr>
          </w:p>
        </w:tc>
        <w:tc>
          <w:tcPr>
            <w:tcW w:w="561" w:type="dxa"/>
            <w:shd w:val="clear" w:color="auto" w:fill="AEAAAA" w:themeFill="background2" w:themeFillShade="BF"/>
            <w:noWrap/>
            <w:vAlign w:val="center"/>
          </w:tcPr>
          <w:p w14:paraId="5E1851F9"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EAAAA" w:themeFill="background2" w:themeFillShade="BF"/>
            <w:noWrap/>
            <w:vAlign w:val="center"/>
          </w:tcPr>
          <w:p w14:paraId="660DA89A"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EAAAA" w:themeFill="background2" w:themeFillShade="BF"/>
            <w:noWrap/>
            <w:vAlign w:val="center"/>
          </w:tcPr>
          <w:p w14:paraId="350A1268"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5E71004A" w14:textId="77777777" w:rsidR="00602898" w:rsidRPr="004865EF" w:rsidRDefault="00602898" w:rsidP="00602898">
            <w:pPr>
              <w:widowControl/>
              <w:jc w:val="left"/>
              <w:rPr>
                <w:rFonts w:ascii="楷体" w:eastAsia="楷体" w:hAnsi="楷体" w:cs="Times New Roman"/>
                <w:b/>
                <w:kern w:val="0"/>
                <w:szCs w:val="21"/>
              </w:rPr>
            </w:pPr>
          </w:p>
        </w:tc>
        <w:tc>
          <w:tcPr>
            <w:tcW w:w="513" w:type="dxa"/>
            <w:shd w:val="clear" w:color="auto" w:fill="auto"/>
            <w:noWrap/>
            <w:vAlign w:val="center"/>
          </w:tcPr>
          <w:p w14:paraId="3024EEED"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13EEBDFC"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48FB35C0"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6849F258" w14:textId="77777777" w:rsidR="00602898" w:rsidRPr="004865EF" w:rsidRDefault="00602898" w:rsidP="00602898">
            <w:pPr>
              <w:widowControl/>
              <w:jc w:val="left"/>
              <w:rPr>
                <w:rFonts w:ascii="Times New Roman" w:eastAsia="宋体" w:hAnsi="Times New Roman" w:cs="Times New Roman"/>
                <w:kern w:val="0"/>
                <w:szCs w:val="21"/>
              </w:rPr>
            </w:pPr>
          </w:p>
        </w:tc>
        <w:tc>
          <w:tcPr>
            <w:tcW w:w="690" w:type="dxa"/>
            <w:shd w:val="clear" w:color="auto" w:fill="auto"/>
            <w:noWrap/>
            <w:vAlign w:val="center"/>
          </w:tcPr>
          <w:p w14:paraId="77E313E0" w14:textId="77777777" w:rsidR="00602898" w:rsidRPr="004865EF" w:rsidRDefault="00602898" w:rsidP="00602898">
            <w:pPr>
              <w:widowControl/>
              <w:jc w:val="left"/>
              <w:rPr>
                <w:rFonts w:ascii="Times New Roman" w:eastAsia="宋体" w:hAnsi="Times New Roman" w:cs="Times New Roman"/>
                <w:kern w:val="0"/>
                <w:szCs w:val="21"/>
              </w:rPr>
            </w:pPr>
          </w:p>
        </w:tc>
      </w:tr>
      <w:tr w:rsidR="004865EF" w:rsidRPr="004865EF" w14:paraId="59516360" w14:textId="77777777" w:rsidTr="00675378">
        <w:trPr>
          <w:trHeight w:val="340"/>
          <w:jc w:val="center"/>
        </w:trPr>
        <w:tc>
          <w:tcPr>
            <w:tcW w:w="1411" w:type="dxa"/>
            <w:shd w:val="clear" w:color="auto" w:fill="auto"/>
            <w:noWrap/>
            <w:vAlign w:val="center"/>
          </w:tcPr>
          <w:p w14:paraId="552FD69B" w14:textId="77777777" w:rsidR="00602898" w:rsidRPr="004865EF" w:rsidRDefault="00602898" w:rsidP="00602898">
            <w:pPr>
              <w:widowControl/>
              <w:jc w:val="center"/>
              <w:rPr>
                <w:rFonts w:ascii="楷体" w:eastAsia="楷体" w:hAnsi="楷体" w:cs="Times New Roman"/>
                <w:b/>
                <w:kern w:val="0"/>
                <w:szCs w:val="21"/>
              </w:rPr>
            </w:pPr>
            <w:r w:rsidRPr="004865EF">
              <w:rPr>
                <w:rFonts w:ascii="Times New Roman" w:eastAsia="宋体" w:hAnsi="Times New Roman" w:cs="Times New Roman" w:hint="eastAsia"/>
                <w:kern w:val="0"/>
                <w:szCs w:val="21"/>
              </w:rPr>
              <w:t>机电进度</w:t>
            </w:r>
          </w:p>
        </w:tc>
        <w:tc>
          <w:tcPr>
            <w:tcW w:w="610" w:type="dxa"/>
            <w:shd w:val="clear" w:color="auto" w:fill="auto"/>
            <w:noWrap/>
            <w:vAlign w:val="center"/>
          </w:tcPr>
          <w:p w14:paraId="2748CD6E"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2EFDB5A0"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562D8B99" w14:textId="77777777" w:rsidR="00602898" w:rsidRPr="004865EF" w:rsidRDefault="00602898" w:rsidP="00602898">
            <w:pPr>
              <w:widowControl/>
              <w:jc w:val="left"/>
              <w:rPr>
                <w:rFonts w:ascii="楷体" w:eastAsia="楷体" w:hAnsi="楷体" w:cs="Times New Roman"/>
                <w:b/>
                <w:kern w:val="0"/>
                <w:szCs w:val="21"/>
              </w:rPr>
            </w:pPr>
          </w:p>
        </w:tc>
        <w:tc>
          <w:tcPr>
            <w:tcW w:w="561" w:type="dxa"/>
            <w:shd w:val="clear" w:color="auto" w:fill="auto"/>
            <w:noWrap/>
            <w:vAlign w:val="center"/>
          </w:tcPr>
          <w:p w14:paraId="2C514992"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B4C6E7" w:themeFill="accent1" w:themeFillTint="66"/>
            <w:noWrap/>
            <w:vAlign w:val="center"/>
          </w:tcPr>
          <w:p w14:paraId="45802979"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B4C6E7" w:themeFill="accent1" w:themeFillTint="66"/>
            <w:noWrap/>
            <w:vAlign w:val="center"/>
          </w:tcPr>
          <w:p w14:paraId="60C3F314"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B4C6E7" w:themeFill="accent1" w:themeFillTint="66"/>
            <w:noWrap/>
            <w:vAlign w:val="center"/>
          </w:tcPr>
          <w:p w14:paraId="58512439" w14:textId="77777777" w:rsidR="00602898" w:rsidRPr="004865EF" w:rsidRDefault="00602898" w:rsidP="00602898">
            <w:pPr>
              <w:widowControl/>
              <w:jc w:val="left"/>
              <w:rPr>
                <w:rFonts w:ascii="楷体" w:eastAsia="楷体" w:hAnsi="楷体" w:cs="Times New Roman"/>
                <w:b/>
                <w:kern w:val="0"/>
                <w:szCs w:val="21"/>
              </w:rPr>
            </w:pPr>
          </w:p>
        </w:tc>
        <w:tc>
          <w:tcPr>
            <w:tcW w:w="513" w:type="dxa"/>
            <w:shd w:val="clear" w:color="auto" w:fill="B4C6E7" w:themeFill="accent1" w:themeFillTint="66"/>
            <w:noWrap/>
            <w:vAlign w:val="center"/>
          </w:tcPr>
          <w:p w14:paraId="3BE7965E"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B4C6E7" w:themeFill="accent1" w:themeFillTint="66"/>
            <w:noWrap/>
            <w:vAlign w:val="center"/>
          </w:tcPr>
          <w:p w14:paraId="3E80710F"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B4C6E7" w:themeFill="accent1" w:themeFillTint="66"/>
            <w:noWrap/>
            <w:vAlign w:val="center"/>
          </w:tcPr>
          <w:p w14:paraId="607E2F47"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B4C6E7" w:themeFill="accent1" w:themeFillTint="66"/>
            <w:noWrap/>
            <w:vAlign w:val="center"/>
          </w:tcPr>
          <w:p w14:paraId="63E8A709" w14:textId="77777777" w:rsidR="00602898" w:rsidRPr="004865EF" w:rsidRDefault="00602898" w:rsidP="00602898">
            <w:pPr>
              <w:widowControl/>
              <w:jc w:val="left"/>
              <w:rPr>
                <w:rFonts w:ascii="Times New Roman" w:eastAsia="宋体" w:hAnsi="Times New Roman" w:cs="Times New Roman"/>
                <w:kern w:val="0"/>
                <w:szCs w:val="21"/>
              </w:rPr>
            </w:pPr>
          </w:p>
        </w:tc>
        <w:tc>
          <w:tcPr>
            <w:tcW w:w="690" w:type="dxa"/>
            <w:shd w:val="clear" w:color="auto" w:fill="B4C6E7" w:themeFill="accent1" w:themeFillTint="66"/>
            <w:noWrap/>
            <w:vAlign w:val="center"/>
          </w:tcPr>
          <w:p w14:paraId="6F5CE1DA" w14:textId="77777777" w:rsidR="00602898" w:rsidRPr="004865EF" w:rsidRDefault="00602898" w:rsidP="00602898">
            <w:pPr>
              <w:widowControl/>
              <w:jc w:val="left"/>
              <w:rPr>
                <w:rFonts w:ascii="Times New Roman" w:eastAsia="宋体" w:hAnsi="Times New Roman" w:cs="Times New Roman"/>
                <w:kern w:val="0"/>
                <w:szCs w:val="21"/>
              </w:rPr>
            </w:pPr>
          </w:p>
        </w:tc>
      </w:tr>
      <w:tr w:rsidR="004865EF" w:rsidRPr="004865EF" w14:paraId="1E1FFFA1" w14:textId="77777777" w:rsidTr="00675378">
        <w:trPr>
          <w:trHeight w:val="340"/>
          <w:jc w:val="center"/>
        </w:trPr>
        <w:tc>
          <w:tcPr>
            <w:tcW w:w="1411" w:type="dxa"/>
            <w:shd w:val="clear" w:color="auto" w:fill="auto"/>
            <w:noWrap/>
            <w:vAlign w:val="center"/>
          </w:tcPr>
          <w:p w14:paraId="225E4B65" w14:textId="77777777" w:rsidR="00602898" w:rsidRPr="004865EF" w:rsidRDefault="00602898" w:rsidP="00602898">
            <w:pPr>
              <w:widowControl/>
              <w:jc w:val="center"/>
              <w:rPr>
                <w:rFonts w:ascii="楷体" w:eastAsia="楷体" w:hAnsi="楷体" w:cs="Times New Roman"/>
                <w:b/>
                <w:kern w:val="0"/>
                <w:szCs w:val="21"/>
              </w:rPr>
            </w:pPr>
            <w:r w:rsidRPr="004865EF">
              <w:rPr>
                <w:rFonts w:ascii="Times New Roman" w:eastAsia="宋体" w:hAnsi="Times New Roman" w:cs="Times New Roman" w:hint="eastAsia"/>
                <w:kern w:val="0"/>
                <w:szCs w:val="21"/>
              </w:rPr>
              <w:t>网络进度</w:t>
            </w:r>
          </w:p>
        </w:tc>
        <w:tc>
          <w:tcPr>
            <w:tcW w:w="610" w:type="dxa"/>
            <w:shd w:val="clear" w:color="auto" w:fill="auto"/>
            <w:noWrap/>
            <w:vAlign w:val="center"/>
          </w:tcPr>
          <w:p w14:paraId="167F1C4A"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256CF802"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6073363F" w14:textId="77777777" w:rsidR="00602898" w:rsidRPr="004865EF" w:rsidRDefault="00602898" w:rsidP="00602898">
            <w:pPr>
              <w:widowControl/>
              <w:jc w:val="left"/>
              <w:rPr>
                <w:rFonts w:ascii="楷体" w:eastAsia="楷体" w:hAnsi="楷体" w:cs="Times New Roman"/>
                <w:b/>
                <w:kern w:val="0"/>
                <w:szCs w:val="21"/>
              </w:rPr>
            </w:pPr>
          </w:p>
        </w:tc>
        <w:tc>
          <w:tcPr>
            <w:tcW w:w="561" w:type="dxa"/>
            <w:shd w:val="clear" w:color="auto" w:fill="auto"/>
            <w:noWrap/>
            <w:vAlign w:val="center"/>
          </w:tcPr>
          <w:p w14:paraId="3EF500B4"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5828CFDB"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auto"/>
            <w:noWrap/>
            <w:vAlign w:val="center"/>
          </w:tcPr>
          <w:p w14:paraId="30BAF5ED"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F7CAAC" w:themeFill="accent2" w:themeFillTint="66"/>
            <w:noWrap/>
            <w:vAlign w:val="center"/>
          </w:tcPr>
          <w:p w14:paraId="0F79581F" w14:textId="77777777" w:rsidR="00602898" w:rsidRPr="004865EF" w:rsidRDefault="00602898" w:rsidP="00602898">
            <w:pPr>
              <w:widowControl/>
              <w:jc w:val="left"/>
              <w:rPr>
                <w:rFonts w:ascii="楷体" w:eastAsia="楷体" w:hAnsi="楷体" w:cs="Times New Roman"/>
                <w:b/>
                <w:kern w:val="0"/>
                <w:szCs w:val="21"/>
              </w:rPr>
            </w:pPr>
          </w:p>
        </w:tc>
        <w:tc>
          <w:tcPr>
            <w:tcW w:w="513" w:type="dxa"/>
            <w:shd w:val="clear" w:color="auto" w:fill="F7CAAC" w:themeFill="accent2" w:themeFillTint="66"/>
            <w:noWrap/>
            <w:vAlign w:val="center"/>
          </w:tcPr>
          <w:p w14:paraId="3D365AA1"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F7CAAC" w:themeFill="accent2" w:themeFillTint="66"/>
            <w:noWrap/>
            <w:vAlign w:val="center"/>
          </w:tcPr>
          <w:p w14:paraId="693FA342"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F7CAAC" w:themeFill="accent2" w:themeFillTint="66"/>
            <w:noWrap/>
            <w:vAlign w:val="center"/>
          </w:tcPr>
          <w:p w14:paraId="496713D6" w14:textId="77777777" w:rsidR="00602898" w:rsidRPr="004865EF" w:rsidRDefault="00602898" w:rsidP="00602898">
            <w:pPr>
              <w:widowControl/>
              <w:jc w:val="left"/>
              <w:rPr>
                <w:rFonts w:ascii="楷体" w:eastAsia="楷体" w:hAnsi="楷体" w:cs="Times New Roman"/>
                <w:b/>
                <w:kern w:val="0"/>
                <w:szCs w:val="21"/>
              </w:rPr>
            </w:pPr>
          </w:p>
        </w:tc>
        <w:tc>
          <w:tcPr>
            <w:tcW w:w="585" w:type="dxa"/>
            <w:shd w:val="clear" w:color="auto" w:fill="F7CAAC" w:themeFill="accent2" w:themeFillTint="66"/>
            <w:noWrap/>
            <w:vAlign w:val="center"/>
          </w:tcPr>
          <w:p w14:paraId="1270D20F" w14:textId="77777777" w:rsidR="00602898" w:rsidRPr="004865EF" w:rsidRDefault="00602898" w:rsidP="00602898">
            <w:pPr>
              <w:widowControl/>
              <w:jc w:val="left"/>
              <w:rPr>
                <w:rFonts w:ascii="Times New Roman" w:eastAsia="宋体" w:hAnsi="Times New Roman" w:cs="Times New Roman"/>
                <w:kern w:val="0"/>
                <w:szCs w:val="21"/>
              </w:rPr>
            </w:pPr>
          </w:p>
        </w:tc>
        <w:tc>
          <w:tcPr>
            <w:tcW w:w="690" w:type="dxa"/>
            <w:shd w:val="clear" w:color="auto" w:fill="F7CAAC" w:themeFill="accent2" w:themeFillTint="66"/>
            <w:noWrap/>
            <w:vAlign w:val="center"/>
          </w:tcPr>
          <w:p w14:paraId="0D3750B6" w14:textId="77777777" w:rsidR="00602898" w:rsidRPr="004865EF" w:rsidRDefault="00602898" w:rsidP="00602898">
            <w:pPr>
              <w:widowControl/>
              <w:jc w:val="left"/>
              <w:rPr>
                <w:rFonts w:ascii="Times New Roman" w:eastAsia="宋体" w:hAnsi="Times New Roman" w:cs="Times New Roman"/>
                <w:kern w:val="0"/>
                <w:szCs w:val="21"/>
              </w:rPr>
            </w:pPr>
          </w:p>
        </w:tc>
      </w:tr>
      <w:tr w:rsidR="004865EF" w:rsidRPr="004865EF" w14:paraId="1E5A63B8" w14:textId="77777777" w:rsidTr="00675378">
        <w:trPr>
          <w:trHeight w:val="340"/>
          <w:jc w:val="center"/>
        </w:trPr>
        <w:tc>
          <w:tcPr>
            <w:tcW w:w="1411" w:type="dxa"/>
            <w:shd w:val="clear" w:color="auto" w:fill="auto"/>
            <w:noWrap/>
            <w:vAlign w:val="center"/>
          </w:tcPr>
          <w:p w14:paraId="4C9E8F17" w14:textId="58684BEE"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运营</w:t>
            </w:r>
            <w:r w:rsidR="0015108C" w:rsidRPr="004865EF">
              <w:rPr>
                <w:rFonts w:ascii="Times New Roman" w:eastAsia="宋体" w:hAnsi="Times New Roman" w:cs="Times New Roman" w:hint="eastAsia"/>
                <w:kern w:val="0"/>
                <w:szCs w:val="21"/>
              </w:rPr>
              <w:t>交付</w:t>
            </w:r>
          </w:p>
        </w:tc>
        <w:tc>
          <w:tcPr>
            <w:tcW w:w="610" w:type="dxa"/>
            <w:shd w:val="clear" w:color="auto" w:fill="auto"/>
            <w:noWrap/>
            <w:vAlign w:val="center"/>
          </w:tcPr>
          <w:p w14:paraId="79E449C2"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85" w:type="dxa"/>
            <w:shd w:val="clear" w:color="auto" w:fill="auto"/>
            <w:noWrap/>
            <w:vAlign w:val="center"/>
          </w:tcPr>
          <w:p w14:paraId="45EE809A"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85" w:type="dxa"/>
            <w:shd w:val="clear" w:color="auto" w:fill="auto"/>
            <w:noWrap/>
            <w:vAlign w:val="center"/>
          </w:tcPr>
          <w:p w14:paraId="69C867CA"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61" w:type="dxa"/>
            <w:shd w:val="clear" w:color="auto" w:fill="auto"/>
            <w:noWrap/>
            <w:vAlign w:val="center"/>
          </w:tcPr>
          <w:p w14:paraId="4842940A"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85" w:type="dxa"/>
            <w:shd w:val="clear" w:color="auto" w:fill="auto"/>
            <w:noWrap/>
            <w:vAlign w:val="center"/>
          </w:tcPr>
          <w:p w14:paraId="3D360D70"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85" w:type="dxa"/>
            <w:shd w:val="clear" w:color="auto" w:fill="auto"/>
            <w:noWrap/>
            <w:vAlign w:val="center"/>
          </w:tcPr>
          <w:p w14:paraId="5DAE584E"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85" w:type="dxa"/>
            <w:shd w:val="clear" w:color="auto" w:fill="auto"/>
            <w:noWrap/>
            <w:vAlign w:val="center"/>
          </w:tcPr>
          <w:p w14:paraId="047E8148"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13" w:type="dxa"/>
            <w:shd w:val="clear" w:color="auto" w:fill="auto"/>
            <w:noWrap/>
            <w:vAlign w:val="center"/>
          </w:tcPr>
          <w:p w14:paraId="04324B93"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85" w:type="dxa"/>
            <w:shd w:val="clear" w:color="auto" w:fill="DBDBDB" w:themeFill="accent3" w:themeFillTint="66"/>
            <w:noWrap/>
            <w:vAlign w:val="center"/>
          </w:tcPr>
          <w:p w14:paraId="188A0485"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85" w:type="dxa"/>
            <w:shd w:val="clear" w:color="auto" w:fill="DBDBDB" w:themeFill="accent3" w:themeFillTint="66"/>
            <w:noWrap/>
            <w:vAlign w:val="center"/>
          </w:tcPr>
          <w:p w14:paraId="01DC2C0D"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585" w:type="dxa"/>
            <w:shd w:val="clear" w:color="auto" w:fill="DBDBDB" w:themeFill="accent3" w:themeFillTint="66"/>
            <w:noWrap/>
            <w:vAlign w:val="center"/>
          </w:tcPr>
          <w:p w14:paraId="76929801"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690" w:type="dxa"/>
            <w:shd w:val="clear" w:color="auto" w:fill="DBDBDB" w:themeFill="accent3" w:themeFillTint="66"/>
            <w:noWrap/>
            <w:vAlign w:val="center"/>
          </w:tcPr>
          <w:p w14:paraId="70DE61CA"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r>
    </w:tbl>
    <w:p w14:paraId="79ED6A9C" w14:textId="12213E24" w:rsidR="00F3011E" w:rsidRPr="004865EF" w:rsidRDefault="00F3011E" w:rsidP="00DF319D">
      <w:pPr>
        <w:rPr>
          <w:rFonts w:ascii="Times New Roman" w:eastAsia="宋体" w:hAnsi="Times New Roman" w:cs="Times New Roman"/>
        </w:rPr>
      </w:pPr>
      <w:r w:rsidRPr="004865EF">
        <w:rPr>
          <w:rFonts w:ascii="Times New Roman" w:eastAsia="宋体" w:hAnsi="Times New Roman" w:cs="Times New Roman" w:hint="eastAsia"/>
        </w:rPr>
        <w:t>注：运营</w:t>
      </w:r>
      <w:proofErr w:type="gramStart"/>
      <w:r w:rsidR="0015108C" w:rsidRPr="004865EF">
        <w:rPr>
          <w:rFonts w:ascii="Times New Roman" w:eastAsia="宋体" w:hAnsi="Times New Roman" w:cs="Times New Roman" w:hint="eastAsia"/>
        </w:rPr>
        <w:t>交付</w:t>
      </w:r>
      <w:r w:rsidRPr="004865EF">
        <w:rPr>
          <w:rFonts w:ascii="Times New Roman" w:eastAsia="宋体" w:hAnsi="Times New Roman" w:cs="Times New Roman" w:hint="eastAsia"/>
        </w:rPr>
        <w:t>指</w:t>
      </w:r>
      <w:proofErr w:type="gramEnd"/>
      <w:r w:rsidRPr="004865EF">
        <w:rPr>
          <w:rFonts w:ascii="Times New Roman" w:eastAsia="宋体" w:hAnsi="Times New Roman" w:cs="Times New Roman" w:hint="eastAsia"/>
        </w:rPr>
        <w:t>机柜经安装调试完毕后交付客户使用，</w:t>
      </w:r>
      <w:r w:rsidR="00D2638F" w:rsidRPr="004865EF">
        <w:rPr>
          <w:rFonts w:ascii="Times New Roman" w:eastAsia="宋体" w:hAnsi="Times New Roman" w:cs="Times New Roman" w:hint="eastAsia"/>
        </w:rPr>
        <w:t>从</w:t>
      </w:r>
      <w:r w:rsidR="00166889" w:rsidRPr="004865EF">
        <w:rPr>
          <w:rFonts w:ascii="Times New Roman" w:eastAsia="宋体" w:hAnsi="Times New Roman" w:cs="Times New Roman" w:hint="eastAsia"/>
        </w:rPr>
        <w:t>开始实现</w:t>
      </w:r>
      <w:r w:rsidRPr="004865EF">
        <w:rPr>
          <w:rFonts w:ascii="Times New Roman" w:eastAsia="宋体" w:hAnsi="Times New Roman" w:cs="Times New Roman" w:hint="eastAsia"/>
        </w:rPr>
        <w:t>销售</w:t>
      </w:r>
      <w:r w:rsidR="0015108C" w:rsidRPr="004865EF">
        <w:rPr>
          <w:rFonts w:ascii="Times New Roman" w:eastAsia="宋体" w:hAnsi="Times New Roman" w:cs="Times New Roman" w:hint="eastAsia"/>
        </w:rPr>
        <w:t>至</w:t>
      </w:r>
      <w:r w:rsidR="00D2638F" w:rsidRPr="004865EF">
        <w:rPr>
          <w:rFonts w:ascii="Times New Roman" w:eastAsia="宋体" w:hAnsi="Times New Roman" w:cs="Times New Roman" w:hint="eastAsia"/>
        </w:rPr>
        <w:t>全部</w:t>
      </w:r>
      <w:r w:rsidR="0015108C" w:rsidRPr="004865EF">
        <w:rPr>
          <w:rFonts w:ascii="Times New Roman" w:eastAsia="宋体" w:hAnsi="Times New Roman" w:cs="Times New Roman" w:hint="eastAsia"/>
        </w:rPr>
        <w:t>销售</w:t>
      </w:r>
      <w:r w:rsidR="00D2638F" w:rsidRPr="004865EF">
        <w:rPr>
          <w:rFonts w:ascii="Times New Roman" w:eastAsia="宋体" w:hAnsi="Times New Roman" w:cs="Times New Roman" w:hint="eastAsia"/>
        </w:rPr>
        <w:t>完毕为止</w:t>
      </w:r>
      <w:r w:rsidRPr="004865EF">
        <w:rPr>
          <w:rFonts w:ascii="Times New Roman" w:eastAsia="宋体" w:hAnsi="Times New Roman" w:cs="Times New Roman" w:hint="eastAsia"/>
        </w:rPr>
        <w:t>。</w:t>
      </w:r>
    </w:p>
    <w:p w14:paraId="5FE84790" w14:textId="241FE533"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w:t>
      </w:r>
      <w:r w:rsidRPr="004865EF">
        <w:rPr>
          <w:rFonts w:ascii="Times New Roman" w:eastAsia="宋体" w:hAnsi="Times New Roman" w:cs="Times New Roman" w:hint="eastAsia"/>
          <w:sz w:val="24"/>
        </w:rPr>
        <w:t>2</w:t>
      </w:r>
      <w:r w:rsidRPr="004865EF">
        <w:rPr>
          <w:rFonts w:ascii="Times New Roman" w:eastAsia="宋体" w:hAnsi="Times New Roman" w:cs="Times New Roman" w:hint="eastAsia"/>
          <w:sz w:val="24"/>
        </w:rPr>
        <w:t>）上海嘉定绿色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基地二期</w:t>
      </w:r>
    </w:p>
    <w:p w14:paraId="6D0E4EE1" w14:textId="77777777" w:rsidR="00602898" w:rsidRPr="004865EF" w:rsidRDefault="00602898" w:rsidP="00E87AF9">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嘉定二期项目于</w:t>
      </w:r>
      <w:r w:rsidRPr="004865EF">
        <w:rPr>
          <w:rFonts w:ascii="Times New Roman" w:eastAsia="宋体" w:hAnsi="Times New Roman" w:cs="Times New Roman"/>
          <w:sz w:val="24"/>
        </w:rPr>
        <w:t>2020</w:t>
      </w:r>
      <w:r w:rsidRPr="004865EF">
        <w:rPr>
          <w:rFonts w:ascii="Times New Roman" w:eastAsia="宋体" w:hAnsi="Times New Roman" w:cs="Times New Roman" w:hint="eastAsia"/>
          <w:sz w:val="24"/>
        </w:rPr>
        <w:t>年</w:t>
      </w:r>
      <w:r w:rsidRPr="004865EF">
        <w:rPr>
          <w:rFonts w:ascii="Times New Roman" w:eastAsia="宋体" w:hAnsi="Times New Roman" w:cs="Times New Roman"/>
          <w:sz w:val="24"/>
        </w:rPr>
        <w:t>5</w:t>
      </w:r>
      <w:r w:rsidRPr="004865EF">
        <w:rPr>
          <w:rFonts w:ascii="Times New Roman" w:eastAsia="宋体" w:hAnsi="Times New Roman" w:cs="Times New Roman" w:hint="eastAsia"/>
          <w:sz w:val="24"/>
        </w:rPr>
        <w:t>月开始正式施工，建设期为自开工后</w:t>
      </w:r>
      <w:r w:rsidRPr="004865EF">
        <w:rPr>
          <w:rFonts w:ascii="Times New Roman" w:eastAsia="宋体" w:hAnsi="Times New Roman" w:cs="Times New Roman"/>
          <w:sz w:val="24"/>
        </w:rPr>
        <w:t>24</w:t>
      </w:r>
      <w:r w:rsidRPr="004865EF">
        <w:rPr>
          <w:rFonts w:ascii="Times New Roman" w:eastAsia="宋体" w:hAnsi="Times New Roman" w:cs="Times New Roman" w:hint="eastAsia"/>
          <w:sz w:val="24"/>
        </w:rPr>
        <w:t>个月，预</w:t>
      </w:r>
      <w:r w:rsidRPr="004865EF">
        <w:rPr>
          <w:rFonts w:ascii="Times New Roman" w:eastAsia="宋体" w:hAnsi="Times New Roman" w:cs="Times New Roman" w:hint="eastAsia"/>
          <w:sz w:val="24"/>
        </w:rPr>
        <w:lastRenderedPageBreak/>
        <w:t>计进度安排如下：</w:t>
      </w:r>
    </w:p>
    <w:tbl>
      <w:tblPr>
        <w:tblW w:w="82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6"/>
        <w:gridCol w:w="680"/>
        <w:gridCol w:w="680"/>
        <w:gridCol w:w="680"/>
        <w:gridCol w:w="680"/>
        <w:gridCol w:w="680"/>
        <w:gridCol w:w="680"/>
        <w:gridCol w:w="680"/>
      </w:tblGrid>
      <w:tr w:rsidR="004865EF" w:rsidRPr="004865EF" w14:paraId="3FB2AC2A" w14:textId="77777777" w:rsidTr="00602898">
        <w:trPr>
          <w:trHeight w:val="113"/>
        </w:trPr>
        <w:tc>
          <w:tcPr>
            <w:tcW w:w="2835" w:type="dxa"/>
            <w:vMerge w:val="restart"/>
            <w:shd w:val="clear" w:color="auto" w:fill="auto"/>
            <w:noWrap/>
            <w:vAlign w:val="center"/>
          </w:tcPr>
          <w:p w14:paraId="58F4F956"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hint="eastAsia"/>
                <w:b/>
                <w:bCs/>
                <w:kern w:val="0"/>
                <w:szCs w:val="21"/>
              </w:rPr>
              <w:t>建设项目</w:t>
            </w:r>
          </w:p>
        </w:tc>
        <w:tc>
          <w:tcPr>
            <w:tcW w:w="5446" w:type="dxa"/>
            <w:gridSpan w:val="8"/>
            <w:shd w:val="clear" w:color="auto" w:fill="auto"/>
            <w:noWrap/>
            <w:vAlign w:val="center"/>
          </w:tcPr>
          <w:p w14:paraId="490E2BC9"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T+24</w:t>
            </w:r>
            <w:r w:rsidRPr="004865EF">
              <w:rPr>
                <w:rFonts w:ascii="Times New Roman" w:eastAsia="宋体" w:hAnsi="Times New Roman" w:cs="Times New Roman" w:hint="eastAsia"/>
                <w:b/>
                <w:bCs/>
                <w:kern w:val="0"/>
                <w:szCs w:val="21"/>
              </w:rPr>
              <w:t>个月</w:t>
            </w:r>
          </w:p>
        </w:tc>
      </w:tr>
      <w:tr w:rsidR="004865EF" w:rsidRPr="004865EF" w14:paraId="5F4B0AA0" w14:textId="77777777" w:rsidTr="00602898">
        <w:trPr>
          <w:trHeight w:val="20"/>
        </w:trPr>
        <w:tc>
          <w:tcPr>
            <w:tcW w:w="2835" w:type="dxa"/>
            <w:vMerge/>
            <w:vAlign w:val="center"/>
          </w:tcPr>
          <w:p w14:paraId="4483A18C" w14:textId="77777777" w:rsidR="00602898" w:rsidRPr="004865EF" w:rsidRDefault="00602898" w:rsidP="00602898">
            <w:pPr>
              <w:widowControl/>
              <w:jc w:val="left"/>
              <w:rPr>
                <w:rFonts w:ascii="Times New Roman" w:eastAsia="宋体" w:hAnsi="Times New Roman" w:cs="Times New Roman"/>
                <w:bCs/>
                <w:kern w:val="0"/>
                <w:szCs w:val="21"/>
              </w:rPr>
            </w:pPr>
          </w:p>
        </w:tc>
        <w:tc>
          <w:tcPr>
            <w:tcW w:w="686" w:type="dxa"/>
            <w:shd w:val="clear" w:color="auto" w:fill="auto"/>
            <w:noWrap/>
            <w:vAlign w:val="center"/>
          </w:tcPr>
          <w:p w14:paraId="08D94CFB"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w:t>
            </w:r>
          </w:p>
        </w:tc>
        <w:tc>
          <w:tcPr>
            <w:tcW w:w="680" w:type="dxa"/>
            <w:shd w:val="clear" w:color="auto" w:fill="auto"/>
            <w:noWrap/>
            <w:vAlign w:val="center"/>
          </w:tcPr>
          <w:p w14:paraId="136AF9DA"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6</w:t>
            </w:r>
          </w:p>
        </w:tc>
        <w:tc>
          <w:tcPr>
            <w:tcW w:w="680" w:type="dxa"/>
            <w:shd w:val="clear" w:color="auto" w:fill="auto"/>
            <w:noWrap/>
            <w:vAlign w:val="center"/>
          </w:tcPr>
          <w:p w14:paraId="09FFCA4F"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9</w:t>
            </w:r>
          </w:p>
        </w:tc>
        <w:tc>
          <w:tcPr>
            <w:tcW w:w="680" w:type="dxa"/>
            <w:shd w:val="clear" w:color="auto" w:fill="auto"/>
            <w:noWrap/>
            <w:vAlign w:val="center"/>
          </w:tcPr>
          <w:p w14:paraId="3500EF53"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12</w:t>
            </w:r>
          </w:p>
        </w:tc>
        <w:tc>
          <w:tcPr>
            <w:tcW w:w="680" w:type="dxa"/>
            <w:shd w:val="clear" w:color="auto" w:fill="auto"/>
            <w:noWrap/>
            <w:vAlign w:val="center"/>
          </w:tcPr>
          <w:p w14:paraId="7FEA0696"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15</w:t>
            </w:r>
          </w:p>
        </w:tc>
        <w:tc>
          <w:tcPr>
            <w:tcW w:w="680" w:type="dxa"/>
            <w:shd w:val="clear" w:color="auto" w:fill="auto"/>
            <w:noWrap/>
            <w:vAlign w:val="center"/>
          </w:tcPr>
          <w:p w14:paraId="500B949D"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18</w:t>
            </w:r>
          </w:p>
        </w:tc>
        <w:tc>
          <w:tcPr>
            <w:tcW w:w="680" w:type="dxa"/>
            <w:shd w:val="clear" w:color="auto" w:fill="auto"/>
            <w:noWrap/>
            <w:vAlign w:val="center"/>
          </w:tcPr>
          <w:p w14:paraId="67512911"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21</w:t>
            </w:r>
          </w:p>
        </w:tc>
        <w:tc>
          <w:tcPr>
            <w:tcW w:w="680" w:type="dxa"/>
            <w:shd w:val="clear" w:color="auto" w:fill="auto"/>
            <w:noWrap/>
            <w:vAlign w:val="center"/>
          </w:tcPr>
          <w:p w14:paraId="2FA16FCE"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24</w:t>
            </w:r>
          </w:p>
        </w:tc>
      </w:tr>
      <w:tr w:rsidR="004865EF" w:rsidRPr="004865EF" w14:paraId="23696DB6" w14:textId="77777777" w:rsidTr="00675378">
        <w:trPr>
          <w:trHeight w:val="20"/>
        </w:trPr>
        <w:tc>
          <w:tcPr>
            <w:tcW w:w="2835" w:type="dxa"/>
            <w:shd w:val="clear" w:color="auto" w:fill="auto"/>
            <w:noWrap/>
            <w:vAlign w:val="center"/>
          </w:tcPr>
          <w:p w14:paraId="5CE37F54" w14:textId="77777777" w:rsidR="00602898" w:rsidRPr="004865EF" w:rsidRDefault="00602898" w:rsidP="0067537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建筑进度</w:t>
            </w:r>
          </w:p>
        </w:tc>
        <w:tc>
          <w:tcPr>
            <w:tcW w:w="686" w:type="dxa"/>
            <w:shd w:val="clear" w:color="auto" w:fill="AEAAAA" w:themeFill="background2" w:themeFillShade="BF"/>
            <w:noWrap/>
            <w:vAlign w:val="center"/>
          </w:tcPr>
          <w:p w14:paraId="1E98A63D"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680" w:type="dxa"/>
            <w:shd w:val="clear" w:color="auto" w:fill="AEAAAA" w:themeFill="background2" w:themeFillShade="BF"/>
            <w:noWrap/>
            <w:vAlign w:val="center"/>
          </w:tcPr>
          <w:p w14:paraId="612E3B23"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680" w:type="dxa"/>
            <w:shd w:val="clear" w:color="auto" w:fill="AEAAAA" w:themeFill="background2" w:themeFillShade="BF"/>
            <w:noWrap/>
            <w:vAlign w:val="center"/>
          </w:tcPr>
          <w:p w14:paraId="459FAAC5"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680" w:type="dxa"/>
            <w:shd w:val="clear" w:color="auto" w:fill="AEAAAA" w:themeFill="background2" w:themeFillShade="BF"/>
            <w:noWrap/>
            <w:vAlign w:val="center"/>
          </w:tcPr>
          <w:p w14:paraId="1967277A"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680" w:type="dxa"/>
            <w:shd w:val="clear" w:color="auto" w:fill="auto"/>
            <w:noWrap/>
            <w:vAlign w:val="center"/>
          </w:tcPr>
          <w:p w14:paraId="256239FB"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680" w:type="dxa"/>
            <w:shd w:val="clear" w:color="auto" w:fill="auto"/>
            <w:noWrap/>
            <w:vAlign w:val="center"/>
          </w:tcPr>
          <w:p w14:paraId="445710AD"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680" w:type="dxa"/>
            <w:shd w:val="clear" w:color="auto" w:fill="auto"/>
            <w:noWrap/>
            <w:vAlign w:val="center"/>
          </w:tcPr>
          <w:p w14:paraId="5B27830E"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c>
          <w:tcPr>
            <w:tcW w:w="680" w:type="dxa"/>
            <w:shd w:val="clear" w:color="auto" w:fill="auto"/>
            <w:noWrap/>
            <w:vAlign w:val="center"/>
          </w:tcPr>
          <w:p w14:paraId="15DB917F" w14:textId="77777777" w:rsidR="00602898" w:rsidRPr="004865EF" w:rsidRDefault="00602898" w:rsidP="00602898">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 xml:space="preserve">　</w:t>
            </w:r>
          </w:p>
        </w:tc>
      </w:tr>
      <w:tr w:rsidR="004865EF" w:rsidRPr="004865EF" w14:paraId="3307DEA6" w14:textId="77777777" w:rsidTr="00675378">
        <w:trPr>
          <w:trHeight w:val="20"/>
        </w:trPr>
        <w:tc>
          <w:tcPr>
            <w:tcW w:w="2835" w:type="dxa"/>
            <w:shd w:val="clear" w:color="auto" w:fill="auto"/>
            <w:noWrap/>
            <w:vAlign w:val="center"/>
          </w:tcPr>
          <w:p w14:paraId="1EA297EA" w14:textId="77777777" w:rsidR="00602898" w:rsidRPr="004865EF" w:rsidRDefault="00602898" w:rsidP="00675378">
            <w:pPr>
              <w:widowControl/>
              <w:jc w:val="center"/>
              <w:rPr>
                <w:rFonts w:ascii="楷体" w:eastAsia="楷体" w:hAnsi="楷体" w:cs="Times New Roman"/>
                <w:b/>
                <w:kern w:val="0"/>
                <w:szCs w:val="21"/>
              </w:rPr>
            </w:pPr>
            <w:r w:rsidRPr="004865EF">
              <w:rPr>
                <w:rFonts w:ascii="Times New Roman" w:eastAsia="宋体" w:hAnsi="Times New Roman" w:cs="Times New Roman" w:hint="eastAsia"/>
                <w:kern w:val="0"/>
                <w:szCs w:val="21"/>
              </w:rPr>
              <w:t>机电进度</w:t>
            </w:r>
          </w:p>
        </w:tc>
        <w:tc>
          <w:tcPr>
            <w:tcW w:w="686" w:type="dxa"/>
            <w:shd w:val="clear" w:color="auto" w:fill="auto"/>
            <w:noWrap/>
            <w:vAlign w:val="center"/>
          </w:tcPr>
          <w:p w14:paraId="5EAAB9B5"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auto"/>
            <w:noWrap/>
            <w:vAlign w:val="center"/>
          </w:tcPr>
          <w:p w14:paraId="56A33C74"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B4C6E7" w:themeFill="accent1" w:themeFillTint="66"/>
            <w:noWrap/>
            <w:vAlign w:val="center"/>
          </w:tcPr>
          <w:p w14:paraId="4F5316F7"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B4C6E7" w:themeFill="accent1" w:themeFillTint="66"/>
            <w:noWrap/>
            <w:vAlign w:val="center"/>
          </w:tcPr>
          <w:p w14:paraId="41A4DFFE"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B4C6E7" w:themeFill="accent1" w:themeFillTint="66"/>
            <w:noWrap/>
            <w:vAlign w:val="center"/>
          </w:tcPr>
          <w:p w14:paraId="6D31DA14"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B4C6E7" w:themeFill="accent1" w:themeFillTint="66"/>
            <w:noWrap/>
            <w:vAlign w:val="center"/>
          </w:tcPr>
          <w:p w14:paraId="2C88240F"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B4C6E7" w:themeFill="accent1" w:themeFillTint="66"/>
            <w:noWrap/>
            <w:vAlign w:val="center"/>
          </w:tcPr>
          <w:p w14:paraId="7DDC1169" w14:textId="77777777" w:rsidR="00602898" w:rsidRPr="004865EF" w:rsidRDefault="00602898" w:rsidP="00602898">
            <w:pPr>
              <w:widowControl/>
              <w:jc w:val="left"/>
              <w:rPr>
                <w:rFonts w:ascii="Times New Roman" w:eastAsia="宋体" w:hAnsi="Times New Roman" w:cs="Times New Roman"/>
                <w:kern w:val="0"/>
                <w:szCs w:val="21"/>
              </w:rPr>
            </w:pPr>
          </w:p>
        </w:tc>
        <w:tc>
          <w:tcPr>
            <w:tcW w:w="680" w:type="dxa"/>
            <w:shd w:val="clear" w:color="auto" w:fill="B4C6E7" w:themeFill="accent1" w:themeFillTint="66"/>
            <w:noWrap/>
            <w:vAlign w:val="center"/>
          </w:tcPr>
          <w:p w14:paraId="7E94F1A9" w14:textId="77777777" w:rsidR="00602898" w:rsidRPr="004865EF" w:rsidRDefault="00602898" w:rsidP="00602898">
            <w:pPr>
              <w:widowControl/>
              <w:jc w:val="left"/>
              <w:rPr>
                <w:rFonts w:ascii="Times New Roman" w:eastAsia="宋体" w:hAnsi="Times New Roman" w:cs="Times New Roman"/>
                <w:kern w:val="0"/>
                <w:szCs w:val="21"/>
              </w:rPr>
            </w:pPr>
          </w:p>
        </w:tc>
      </w:tr>
      <w:tr w:rsidR="004865EF" w:rsidRPr="004865EF" w14:paraId="15D2D0CD" w14:textId="77777777" w:rsidTr="00675378">
        <w:trPr>
          <w:trHeight w:val="20"/>
        </w:trPr>
        <w:tc>
          <w:tcPr>
            <w:tcW w:w="2835" w:type="dxa"/>
            <w:shd w:val="clear" w:color="auto" w:fill="auto"/>
            <w:noWrap/>
            <w:vAlign w:val="center"/>
          </w:tcPr>
          <w:p w14:paraId="4FF562B1" w14:textId="77777777" w:rsidR="00602898" w:rsidRPr="004865EF" w:rsidRDefault="00602898" w:rsidP="00675378">
            <w:pPr>
              <w:widowControl/>
              <w:jc w:val="center"/>
              <w:rPr>
                <w:rFonts w:ascii="楷体" w:eastAsia="楷体" w:hAnsi="楷体" w:cs="Times New Roman"/>
                <w:b/>
                <w:kern w:val="0"/>
                <w:szCs w:val="21"/>
              </w:rPr>
            </w:pPr>
            <w:r w:rsidRPr="004865EF">
              <w:rPr>
                <w:rFonts w:ascii="Times New Roman" w:eastAsia="宋体" w:hAnsi="Times New Roman" w:cs="Times New Roman" w:hint="eastAsia"/>
                <w:kern w:val="0"/>
                <w:szCs w:val="21"/>
              </w:rPr>
              <w:t>网络进度</w:t>
            </w:r>
          </w:p>
        </w:tc>
        <w:tc>
          <w:tcPr>
            <w:tcW w:w="686" w:type="dxa"/>
            <w:shd w:val="clear" w:color="auto" w:fill="auto"/>
            <w:noWrap/>
            <w:vAlign w:val="center"/>
          </w:tcPr>
          <w:p w14:paraId="13D7F8B8"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auto"/>
            <w:noWrap/>
            <w:vAlign w:val="center"/>
          </w:tcPr>
          <w:p w14:paraId="5F6D6B35"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auto"/>
            <w:noWrap/>
            <w:vAlign w:val="center"/>
          </w:tcPr>
          <w:p w14:paraId="03B6AB39"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auto"/>
            <w:noWrap/>
            <w:vAlign w:val="center"/>
          </w:tcPr>
          <w:p w14:paraId="11D34A74"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F7CAAC" w:themeFill="accent2" w:themeFillTint="66"/>
            <w:noWrap/>
            <w:vAlign w:val="center"/>
          </w:tcPr>
          <w:p w14:paraId="71DC0613"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F7CAAC" w:themeFill="accent2" w:themeFillTint="66"/>
            <w:noWrap/>
            <w:vAlign w:val="center"/>
          </w:tcPr>
          <w:p w14:paraId="20E2011D"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F7CAAC" w:themeFill="accent2" w:themeFillTint="66"/>
            <w:noWrap/>
            <w:vAlign w:val="center"/>
          </w:tcPr>
          <w:p w14:paraId="195172E7" w14:textId="77777777" w:rsidR="00602898" w:rsidRPr="004865EF" w:rsidRDefault="00602898" w:rsidP="00602898">
            <w:pPr>
              <w:widowControl/>
              <w:jc w:val="left"/>
              <w:rPr>
                <w:rFonts w:ascii="Times New Roman" w:eastAsia="宋体" w:hAnsi="Times New Roman" w:cs="Times New Roman"/>
                <w:kern w:val="0"/>
                <w:szCs w:val="21"/>
              </w:rPr>
            </w:pPr>
          </w:p>
        </w:tc>
        <w:tc>
          <w:tcPr>
            <w:tcW w:w="680" w:type="dxa"/>
            <w:shd w:val="clear" w:color="auto" w:fill="F7CAAC" w:themeFill="accent2" w:themeFillTint="66"/>
            <w:noWrap/>
            <w:vAlign w:val="center"/>
          </w:tcPr>
          <w:p w14:paraId="64B1D8B0" w14:textId="77777777" w:rsidR="00602898" w:rsidRPr="004865EF" w:rsidRDefault="00602898" w:rsidP="00602898">
            <w:pPr>
              <w:widowControl/>
              <w:jc w:val="left"/>
              <w:rPr>
                <w:rFonts w:ascii="Times New Roman" w:eastAsia="宋体" w:hAnsi="Times New Roman" w:cs="Times New Roman"/>
                <w:kern w:val="0"/>
                <w:szCs w:val="21"/>
              </w:rPr>
            </w:pPr>
          </w:p>
        </w:tc>
      </w:tr>
      <w:tr w:rsidR="004865EF" w:rsidRPr="004865EF" w14:paraId="03000B01" w14:textId="77777777" w:rsidTr="00675378">
        <w:trPr>
          <w:trHeight w:val="20"/>
        </w:trPr>
        <w:tc>
          <w:tcPr>
            <w:tcW w:w="2835" w:type="dxa"/>
            <w:shd w:val="clear" w:color="auto" w:fill="auto"/>
            <w:noWrap/>
            <w:vAlign w:val="center"/>
          </w:tcPr>
          <w:p w14:paraId="53A0FB6C" w14:textId="2059ACF1" w:rsidR="00602898" w:rsidRPr="004865EF" w:rsidRDefault="00602898" w:rsidP="00675378">
            <w:pPr>
              <w:widowControl/>
              <w:jc w:val="center"/>
              <w:rPr>
                <w:rFonts w:ascii="楷体" w:eastAsia="楷体" w:hAnsi="楷体" w:cs="Times New Roman"/>
                <w:b/>
                <w:kern w:val="0"/>
                <w:szCs w:val="21"/>
              </w:rPr>
            </w:pPr>
            <w:r w:rsidRPr="004865EF">
              <w:rPr>
                <w:rFonts w:ascii="Times New Roman" w:eastAsia="宋体" w:hAnsi="Times New Roman" w:cs="Times New Roman" w:hint="eastAsia"/>
                <w:kern w:val="0"/>
                <w:szCs w:val="21"/>
              </w:rPr>
              <w:t>运营</w:t>
            </w:r>
            <w:r w:rsidR="0015108C" w:rsidRPr="004865EF">
              <w:rPr>
                <w:rFonts w:ascii="Times New Roman" w:eastAsia="宋体" w:hAnsi="Times New Roman" w:cs="Times New Roman" w:hint="eastAsia"/>
                <w:kern w:val="0"/>
                <w:szCs w:val="21"/>
              </w:rPr>
              <w:t>交付</w:t>
            </w:r>
          </w:p>
        </w:tc>
        <w:tc>
          <w:tcPr>
            <w:tcW w:w="686" w:type="dxa"/>
            <w:shd w:val="clear" w:color="auto" w:fill="auto"/>
            <w:noWrap/>
            <w:vAlign w:val="center"/>
          </w:tcPr>
          <w:p w14:paraId="61DA4BDA"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auto"/>
            <w:noWrap/>
            <w:vAlign w:val="center"/>
          </w:tcPr>
          <w:p w14:paraId="0E9CE06F"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auto"/>
            <w:noWrap/>
            <w:vAlign w:val="center"/>
          </w:tcPr>
          <w:p w14:paraId="335ACDEE"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auto"/>
            <w:noWrap/>
            <w:vAlign w:val="center"/>
          </w:tcPr>
          <w:p w14:paraId="3D9AE181"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auto"/>
            <w:noWrap/>
            <w:vAlign w:val="center"/>
          </w:tcPr>
          <w:p w14:paraId="79C9D49F"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DBDBDB" w:themeFill="accent3" w:themeFillTint="66"/>
            <w:noWrap/>
            <w:vAlign w:val="center"/>
          </w:tcPr>
          <w:p w14:paraId="4EEED1E5" w14:textId="77777777" w:rsidR="00602898" w:rsidRPr="004865EF" w:rsidRDefault="00602898" w:rsidP="00602898">
            <w:pPr>
              <w:widowControl/>
              <w:jc w:val="left"/>
              <w:rPr>
                <w:rFonts w:ascii="楷体" w:eastAsia="楷体" w:hAnsi="楷体" w:cs="Times New Roman"/>
                <w:b/>
                <w:kern w:val="0"/>
                <w:szCs w:val="21"/>
              </w:rPr>
            </w:pPr>
          </w:p>
        </w:tc>
        <w:tc>
          <w:tcPr>
            <w:tcW w:w="680" w:type="dxa"/>
            <w:shd w:val="clear" w:color="auto" w:fill="DBDBDB" w:themeFill="accent3" w:themeFillTint="66"/>
            <w:noWrap/>
            <w:vAlign w:val="center"/>
          </w:tcPr>
          <w:p w14:paraId="3AF71AE1" w14:textId="77777777" w:rsidR="00602898" w:rsidRPr="004865EF" w:rsidRDefault="00602898" w:rsidP="00602898">
            <w:pPr>
              <w:widowControl/>
              <w:jc w:val="left"/>
              <w:rPr>
                <w:rFonts w:ascii="Times New Roman" w:eastAsia="宋体" w:hAnsi="Times New Roman" w:cs="Times New Roman"/>
                <w:kern w:val="0"/>
                <w:szCs w:val="21"/>
              </w:rPr>
            </w:pPr>
          </w:p>
        </w:tc>
        <w:tc>
          <w:tcPr>
            <w:tcW w:w="680" w:type="dxa"/>
            <w:shd w:val="clear" w:color="auto" w:fill="DBDBDB" w:themeFill="accent3" w:themeFillTint="66"/>
            <w:noWrap/>
            <w:vAlign w:val="center"/>
          </w:tcPr>
          <w:p w14:paraId="34CEF7AA" w14:textId="77777777" w:rsidR="00602898" w:rsidRPr="004865EF" w:rsidRDefault="00602898" w:rsidP="00602898">
            <w:pPr>
              <w:widowControl/>
              <w:jc w:val="left"/>
              <w:rPr>
                <w:rFonts w:ascii="Times New Roman" w:eastAsia="宋体" w:hAnsi="Times New Roman" w:cs="Times New Roman"/>
                <w:kern w:val="0"/>
                <w:szCs w:val="21"/>
              </w:rPr>
            </w:pPr>
          </w:p>
        </w:tc>
      </w:tr>
    </w:tbl>
    <w:p w14:paraId="69CA0A85" w14:textId="4C126B4E" w:rsidR="00F3011E" w:rsidRPr="004865EF" w:rsidRDefault="00F3011E" w:rsidP="00DF319D">
      <w:pPr>
        <w:rPr>
          <w:rFonts w:ascii="Times New Roman" w:eastAsia="宋体" w:hAnsi="Times New Roman" w:cs="Times New Roman"/>
        </w:rPr>
      </w:pPr>
      <w:r w:rsidRPr="004865EF">
        <w:rPr>
          <w:rFonts w:ascii="Times New Roman" w:eastAsia="宋体" w:hAnsi="Times New Roman" w:cs="Times New Roman" w:hint="eastAsia"/>
        </w:rPr>
        <w:t>注：</w:t>
      </w:r>
      <w:r w:rsidR="00D2638F" w:rsidRPr="004865EF">
        <w:rPr>
          <w:rFonts w:ascii="Times New Roman" w:eastAsia="宋体" w:hAnsi="Times New Roman" w:cs="Times New Roman" w:hint="eastAsia"/>
        </w:rPr>
        <w:t>运营</w:t>
      </w:r>
      <w:proofErr w:type="gramStart"/>
      <w:r w:rsidR="00D2638F" w:rsidRPr="004865EF">
        <w:rPr>
          <w:rFonts w:ascii="Times New Roman" w:eastAsia="宋体" w:hAnsi="Times New Roman" w:cs="Times New Roman" w:hint="eastAsia"/>
        </w:rPr>
        <w:t>交付指</w:t>
      </w:r>
      <w:proofErr w:type="gramEnd"/>
      <w:r w:rsidR="00D2638F" w:rsidRPr="004865EF">
        <w:rPr>
          <w:rFonts w:ascii="Times New Roman" w:eastAsia="宋体" w:hAnsi="Times New Roman" w:cs="Times New Roman" w:hint="eastAsia"/>
        </w:rPr>
        <w:t>机柜经安装调试完毕后交付客户使用，从开始实现销售至全部销售完毕为止</w:t>
      </w:r>
      <w:r w:rsidRPr="004865EF">
        <w:rPr>
          <w:rFonts w:ascii="Times New Roman" w:eastAsia="宋体" w:hAnsi="Times New Roman" w:cs="Times New Roman" w:hint="eastAsia"/>
        </w:rPr>
        <w:t>。</w:t>
      </w:r>
    </w:p>
    <w:p w14:paraId="33B2DB76"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w:t>
      </w:r>
      <w:r w:rsidRPr="004865EF">
        <w:rPr>
          <w:rFonts w:ascii="Times New Roman" w:eastAsia="宋体" w:hAnsi="Times New Roman" w:cs="Times New Roman" w:hint="eastAsia"/>
          <w:sz w:val="24"/>
        </w:rPr>
        <w:t>3</w:t>
      </w:r>
      <w:r w:rsidRPr="004865EF">
        <w:rPr>
          <w:rFonts w:ascii="Times New Roman" w:eastAsia="宋体" w:hAnsi="Times New Roman" w:cs="Times New Roman" w:hint="eastAsia"/>
          <w:sz w:val="24"/>
        </w:rPr>
        <w:t>）</w:t>
      </w:r>
      <w:proofErr w:type="gramStart"/>
      <w:r w:rsidRPr="004865EF">
        <w:rPr>
          <w:rFonts w:ascii="Times New Roman" w:eastAsia="宋体" w:hAnsi="Times New Roman" w:cs="Times New Roman" w:hint="eastAsia"/>
          <w:sz w:val="24"/>
        </w:rPr>
        <w:t>向智达云创增资</w:t>
      </w:r>
      <w:proofErr w:type="gramEnd"/>
      <w:r w:rsidRPr="004865EF">
        <w:rPr>
          <w:rFonts w:ascii="Times New Roman" w:eastAsia="宋体" w:hAnsi="Times New Roman" w:cs="Times New Roman" w:hint="eastAsia"/>
          <w:sz w:val="24"/>
        </w:rPr>
        <w:t>取得</w:t>
      </w:r>
      <w:r w:rsidRPr="004865EF">
        <w:rPr>
          <w:rFonts w:ascii="Times New Roman" w:eastAsia="宋体" w:hAnsi="Times New Roman" w:cs="Times New Roman" w:hint="eastAsia"/>
          <w:sz w:val="24"/>
        </w:rPr>
        <w:t>65%</w:t>
      </w:r>
      <w:r w:rsidRPr="004865EF">
        <w:rPr>
          <w:rFonts w:ascii="Times New Roman" w:eastAsia="宋体" w:hAnsi="Times New Roman" w:cs="Times New Roman" w:hint="eastAsia"/>
          <w:sz w:val="24"/>
        </w:rPr>
        <w:t>股权并投资建设燕郊绿色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基地三四期</w:t>
      </w:r>
    </w:p>
    <w:p w14:paraId="6F9A1D40" w14:textId="77777777" w:rsidR="00602898" w:rsidRPr="004865EF" w:rsidRDefault="00602898" w:rsidP="00E87AF9">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燕郊三四期项目于</w:t>
      </w:r>
      <w:r w:rsidRPr="004865EF">
        <w:rPr>
          <w:rFonts w:ascii="Times New Roman" w:eastAsia="宋体" w:hAnsi="Times New Roman" w:cs="Times New Roman"/>
          <w:sz w:val="24"/>
        </w:rPr>
        <w:t>2019</w:t>
      </w:r>
      <w:r w:rsidRPr="004865EF">
        <w:rPr>
          <w:rFonts w:ascii="Times New Roman" w:eastAsia="宋体" w:hAnsi="Times New Roman" w:cs="Times New Roman" w:hint="eastAsia"/>
          <w:sz w:val="24"/>
        </w:rPr>
        <w:t>年</w:t>
      </w:r>
      <w:r w:rsidRPr="004865EF">
        <w:rPr>
          <w:rFonts w:ascii="Times New Roman" w:eastAsia="宋体" w:hAnsi="Times New Roman" w:cs="Times New Roman"/>
          <w:sz w:val="24"/>
        </w:rPr>
        <w:t>10</w:t>
      </w:r>
      <w:r w:rsidRPr="004865EF">
        <w:rPr>
          <w:rFonts w:ascii="Times New Roman" w:eastAsia="宋体" w:hAnsi="Times New Roman" w:cs="Times New Roman" w:hint="eastAsia"/>
          <w:sz w:val="24"/>
        </w:rPr>
        <w:t>月开始正式施工，建设期为自开工后</w:t>
      </w:r>
      <w:r w:rsidRPr="004865EF">
        <w:rPr>
          <w:rFonts w:ascii="Times New Roman" w:eastAsia="宋体" w:hAnsi="Times New Roman" w:cs="Times New Roman"/>
          <w:sz w:val="24"/>
        </w:rPr>
        <w:t>51</w:t>
      </w:r>
      <w:r w:rsidRPr="004865EF">
        <w:rPr>
          <w:rFonts w:ascii="Times New Roman" w:eastAsia="宋体" w:hAnsi="Times New Roman" w:cs="Times New Roman" w:hint="eastAsia"/>
          <w:sz w:val="24"/>
        </w:rPr>
        <w:t>个月，预计进度安排如下：</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454"/>
        <w:gridCol w:w="454"/>
        <w:gridCol w:w="454"/>
        <w:gridCol w:w="454"/>
        <w:gridCol w:w="454"/>
        <w:gridCol w:w="454"/>
        <w:gridCol w:w="454"/>
        <w:gridCol w:w="454"/>
        <w:gridCol w:w="454"/>
        <w:gridCol w:w="454"/>
        <w:gridCol w:w="454"/>
        <w:gridCol w:w="454"/>
        <w:gridCol w:w="454"/>
        <w:gridCol w:w="454"/>
        <w:gridCol w:w="454"/>
        <w:gridCol w:w="454"/>
        <w:gridCol w:w="454"/>
      </w:tblGrid>
      <w:tr w:rsidR="004865EF" w:rsidRPr="004865EF" w14:paraId="1F672572" w14:textId="77777777" w:rsidTr="00675378">
        <w:trPr>
          <w:trHeight w:val="20"/>
          <w:jc w:val="center"/>
        </w:trPr>
        <w:tc>
          <w:tcPr>
            <w:tcW w:w="1203" w:type="dxa"/>
            <w:vMerge w:val="restart"/>
            <w:shd w:val="clear" w:color="auto" w:fill="auto"/>
            <w:noWrap/>
            <w:vAlign w:val="center"/>
          </w:tcPr>
          <w:p w14:paraId="066119DD" w14:textId="77777777" w:rsidR="00602898" w:rsidRPr="004865EF" w:rsidRDefault="00602898" w:rsidP="00602898">
            <w:pPr>
              <w:widowControl/>
              <w:jc w:val="center"/>
              <w:rPr>
                <w:rFonts w:ascii="Times New Roman" w:eastAsia="宋体" w:hAnsi="Times New Roman" w:cs="宋体"/>
                <w:bCs/>
                <w:kern w:val="0"/>
                <w:szCs w:val="21"/>
              </w:rPr>
            </w:pPr>
            <w:r w:rsidRPr="004865EF">
              <w:rPr>
                <w:rFonts w:ascii="Times New Roman" w:eastAsia="宋体" w:hAnsi="Times New Roman" w:cs="宋体" w:hint="eastAsia"/>
                <w:b/>
                <w:bCs/>
                <w:kern w:val="0"/>
                <w:szCs w:val="21"/>
              </w:rPr>
              <w:t>建设项目</w:t>
            </w:r>
          </w:p>
        </w:tc>
        <w:tc>
          <w:tcPr>
            <w:tcW w:w="7718" w:type="dxa"/>
            <w:gridSpan w:val="17"/>
            <w:shd w:val="clear" w:color="auto" w:fill="auto"/>
            <w:noWrap/>
            <w:vAlign w:val="center"/>
          </w:tcPr>
          <w:p w14:paraId="5629DF44" w14:textId="77777777" w:rsidR="00602898" w:rsidRPr="004865EF" w:rsidRDefault="00602898" w:rsidP="00602898">
            <w:pPr>
              <w:widowControl/>
              <w:jc w:val="center"/>
              <w:rPr>
                <w:rFonts w:ascii="Times New Roman" w:eastAsia="宋体" w:hAnsi="Times New Roman" w:cs="宋体"/>
                <w:b/>
                <w:kern w:val="0"/>
                <w:sz w:val="22"/>
                <w:szCs w:val="22"/>
              </w:rPr>
            </w:pPr>
            <w:r w:rsidRPr="004865EF">
              <w:rPr>
                <w:rFonts w:ascii="Times New Roman" w:eastAsia="宋体" w:hAnsi="Times New Roman" w:cs="Times New Roman"/>
                <w:b/>
                <w:bCs/>
                <w:kern w:val="0"/>
                <w:szCs w:val="21"/>
              </w:rPr>
              <w:t>T+51</w:t>
            </w:r>
            <w:r w:rsidRPr="004865EF">
              <w:rPr>
                <w:rFonts w:ascii="Times New Roman" w:eastAsia="宋体" w:hAnsi="Times New Roman" w:cs="Times New Roman" w:hint="eastAsia"/>
                <w:b/>
                <w:bCs/>
                <w:kern w:val="0"/>
                <w:szCs w:val="21"/>
              </w:rPr>
              <w:t>个月</w:t>
            </w:r>
          </w:p>
        </w:tc>
      </w:tr>
      <w:tr w:rsidR="004865EF" w:rsidRPr="004865EF" w14:paraId="2AED80CC" w14:textId="77777777" w:rsidTr="00675378">
        <w:trPr>
          <w:trHeight w:val="20"/>
          <w:jc w:val="center"/>
        </w:trPr>
        <w:tc>
          <w:tcPr>
            <w:tcW w:w="1203" w:type="dxa"/>
            <w:vMerge/>
            <w:vAlign w:val="center"/>
          </w:tcPr>
          <w:p w14:paraId="531455EA" w14:textId="77777777" w:rsidR="00602898" w:rsidRPr="004865EF" w:rsidRDefault="00602898" w:rsidP="00602898">
            <w:pPr>
              <w:widowControl/>
              <w:jc w:val="left"/>
              <w:rPr>
                <w:rFonts w:ascii="Times New Roman" w:eastAsia="宋体" w:hAnsi="Times New Roman" w:cs="宋体"/>
                <w:bCs/>
                <w:kern w:val="0"/>
                <w:szCs w:val="21"/>
              </w:rPr>
            </w:pPr>
          </w:p>
        </w:tc>
        <w:tc>
          <w:tcPr>
            <w:tcW w:w="454" w:type="dxa"/>
            <w:shd w:val="clear" w:color="auto" w:fill="auto"/>
            <w:noWrap/>
            <w:vAlign w:val="center"/>
          </w:tcPr>
          <w:p w14:paraId="4E30C122"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w:t>
            </w:r>
          </w:p>
        </w:tc>
        <w:tc>
          <w:tcPr>
            <w:tcW w:w="454" w:type="dxa"/>
            <w:shd w:val="clear" w:color="auto" w:fill="auto"/>
            <w:noWrap/>
            <w:vAlign w:val="center"/>
          </w:tcPr>
          <w:p w14:paraId="3F6E07FF"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6</w:t>
            </w:r>
          </w:p>
        </w:tc>
        <w:tc>
          <w:tcPr>
            <w:tcW w:w="454" w:type="dxa"/>
            <w:shd w:val="clear" w:color="auto" w:fill="auto"/>
            <w:noWrap/>
            <w:vAlign w:val="center"/>
          </w:tcPr>
          <w:p w14:paraId="7B35A8E2"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9</w:t>
            </w:r>
          </w:p>
        </w:tc>
        <w:tc>
          <w:tcPr>
            <w:tcW w:w="454" w:type="dxa"/>
            <w:shd w:val="clear" w:color="auto" w:fill="auto"/>
            <w:noWrap/>
            <w:vAlign w:val="center"/>
          </w:tcPr>
          <w:p w14:paraId="549CF1D8"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12</w:t>
            </w:r>
          </w:p>
        </w:tc>
        <w:tc>
          <w:tcPr>
            <w:tcW w:w="454" w:type="dxa"/>
            <w:shd w:val="clear" w:color="auto" w:fill="auto"/>
            <w:noWrap/>
            <w:vAlign w:val="center"/>
          </w:tcPr>
          <w:p w14:paraId="23F6BC2B"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15</w:t>
            </w:r>
          </w:p>
        </w:tc>
        <w:tc>
          <w:tcPr>
            <w:tcW w:w="454" w:type="dxa"/>
            <w:shd w:val="clear" w:color="auto" w:fill="auto"/>
            <w:noWrap/>
            <w:vAlign w:val="center"/>
          </w:tcPr>
          <w:p w14:paraId="4B9D8926"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18</w:t>
            </w:r>
          </w:p>
        </w:tc>
        <w:tc>
          <w:tcPr>
            <w:tcW w:w="454" w:type="dxa"/>
            <w:shd w:val="clear" w:color="auto" w:fill="auto"/>
            <w:noWrap/>
            <w:vAlign w:val="center"/>
          </w:tcPr>
          <w:p w14:paraId="75A3543D"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21</w:t>
            </w:r>
          </w:p>
        </w:tc>
        <w:tc>
          <w:tcPr>
            <w:tcW w:w="454" w:type="dxa"/>
            <w:shd w:val="clear" w:color="auto" w:fill="auto"/>
            <w:noWrap/>
            <w:vAlign w:val="center"/>
          </w:tcPr>
          <w:p w14:paraId="15E39569"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24</w:t>
            </w:r>
          </w:p>
        </w:tc>
        <w:tc>
          <w:tcPr>
            <w:tcW w:w="454" w:type="dxa"/>
            <w:shd w:val="clear" w:color="auto" w:fill="auto"/>
            <w:noWrap/>
            <w:vAlign w:val="center"/>
          </w:tcPr>
          <w:p w14:paraId="56E78A2D"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27</w:t>
            </w:r>
          </w:p>
        </w:tc>
        <w:tc>
          <w:tcPr>
            <w:tcW w:w="454" w:type="dxa"/>
            <w:shd w:val="clear" w:color="auto" w:fill="auto"/>
            <w:noWrap/>
            <w:vAlign w:val="center"/>
          </w:tcPr>
          <w:p w14:paraId="0BACC08F"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30</w:t>
            </w:r>
          </w:p>
        </w:tc>
        <w:tc>
          <w:tcPr>
            <w:tcW w:w="454" w:type="dxa"/>
            <w:shd w:val="clear" w:color="auto" w:fill="auto"/>
            <w:noWrap/>
            <w:vAlign w:val="center"/>
          </w:tcPr>
          <w:p w14:paraId="7D63EA1D"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33</w:t>
            </w:r>
          </w:p>
        </w:tc>
        <w:tc>
          <w:tcPr>
            <w:tcW w:w="454" w:type="dxa"/>
            <w:shd w:val="clear" w:color="auto" w:fill="auto"/>
            <w:noWrap/>
            <w:vAlign w:val="center"/>
          </w:tcPr>
          <w:p w14:paraId="7D195544"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36</w:t>
            </w:r>
          </w:p>
        </w:tc>
        <w:tc>
          <w:tcPr>
            <w:tcW w:w="454" w:type="dxa"/>
            <w:shd w:val="clear" w:color="auto" w:fill="auto"/>
            <w:noWrap/>
            <w:vAlign w:val="center"/>
          </w:tcPr>
          <w:p w14:paraId="4FE8FFC6"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39</w:t>
            </w:r>
          </w:p>
        </w:tc>
        <w:tc>
          <w:tcPr>
            <w:tcW w:w="454" w:type="dxa"/>
            <w:shd w:val="clear" w:color="auto" w:fill="auto"/>
            <w:noWrap/>
            <w:vAlign w:val="center"/>
          </w:tcPr>
          <w:p w14:paraId="38A92253"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42</w:t>
            </w:r>
          </w:p>
        </w:tc>
        <w:tc>
          <w:tcPr>
            <w:tcW w:w="454" w:type="dxa"/>
            <w:shd w:val="clear" w:color="auto" w:fill="auto"/>
            <w:noWrap/>
            <w:vAlign w:val="center"/>
          </w:tcPr>
          <w:p w14:paraId="4B96AA5C"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45</w:t>
            </w:r>
          </w:p>
        </w:tc>
        <w:tc>
          <w:tcPr>
            <w:tcW w:w="454" w:type="dxa"/>
            <w:shd w:val="clear" w:color="auto" w:fill="auto"/>
            <w:noWrap/>
            <w:vAlign w:val="center"/>
          </w:tcPr>
          <w:p w14:paraId="6E126DF3"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48</w:t>
            </w:r>
          </w:p>
        </w:tc>
        <w:tc>
          <w:tcPr>
            <w:tcW w:w="454" w:type="dxa"/>
            <w:shd w:val="clear" w:color="auto" w:fill="auto"/>
            <w:noWrap/>
            <w:vAlign w:val="center"/>
          </w:tcPr>
          <w:p w14:paraId="5410FE02"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51</w:t>
            </w:r>
          </w:p>
        </w:tc>
      </w:tr>
      <w:tr w:rsidR="004865EF" w:rsidRPr="004865EF" w14:paraId="2752C1FB" w14:textId="77777777" w:rsidTr="00675378">
        <w:trPr>
          <w:trHeight w:val="20"/>
          <w:jc w:val="center"/>
        </w:trPr>
        <w:tc>
          <w:tcPr>
            <w:tcW w:w="1203" w:type="dxa"/>
            <w:shd w:val="clear" w:color="auto" w:fill="auto"/>
            <w:noWrap/>
            <w:vAlign w:val="center"/>
          </w:tcPr>
          <w:p w14:paraId="7472E56D" w14:textId="77777777" w:rsidR="00602898" w:rsidRPr="004865EF" w:rsidRDefault="00602898" w:rsidP="0067537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建筑进度</w:t>
            </w:r>
          </w:p>
        </w:tc>
        <w:tc>
          <w:tcPr>
            <w:tcW w:w="454" w:type="dxa"/>
            <w:shd w:val="clear" w:color="auto" w:fill="AEAAAA" w:themeFill="background2" w:themeFillShade="BF"/>
            <w:noWrap/>
            <w:vAlign w:val="center"/>
          </w:tcPr>
          <w:p w14:paraId="76D88633"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EAAAA" w:themeFill="background2" w:themeFillShade="BF"/>
            <w:noWrap/>
            <w:vAlign w:val="center"/>
          </w:tcPr>
          <w:p w14:paraId="6BA13940"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EAAAA" w:themeFill="background2" w:themeFillShade="BF"/>
            <w:noWrap/>
            <w:vAlign w:val="center"/>
          </w:tcPr>
          <w:p w14:paraId="231E4DA7"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EAAAA" w:themeFill="background2" w:themeFillShade="BF"/>
            <w:noWrap/>
            <w:vAlign w:val="center"/>
          </w:tcPr>
          <w:p w14:paraId="5C95CDD1"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EAAAA" w:themeFill="background2" w:themeFillShade="BF"/>
            <w:noWrap/>
            <w:vAlign w:val="center"/>
          </w:tcPr>
          <w:p w14:paraId="7A05B612"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EAAAA" w:themeFill="background2" w:themeFillShade="BF"/>
            <w:noWrap/>
            <w:vAlign w:val="center"/>
          </w:tcPr>
          <w:p w14:paraId="4826C700"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EAAAA" w:themeFill="background2" w:themeFillShade="BF"/>
            <w:noWrap/>
            <w:vAlign w:val="center"/>
          </w:tcPr>
          <w:p w14:paraId="12AD2B96"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EAAAA" w:themeFill="background2" w:themeFillShade="BF"/>
            <w:noWrap/>
            <w:vAlign w:val="center"/>
          </w:tcPr>
          <w:p w14:paraId="186DD224"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uto"/>
            <w:noWrap/>
            <w:vAlign w:val="center"/>
          </w:tcPr>
          <w:p w14:paraId="48236ED8"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uto"/>
            <w:noWrap/>
            <w:vAlign w:val="center"/>
          </w:tcPr>
          <w:p w14:paraId="12601E0D"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uto"/>
            <w:noWrap/>
            <w:vAlign w:val="center"/>
          </w:tcPr>
          <w:p w14:paraId="0C6D9A70" w14:textId="77777777" w:rsidR="00602898" w:rsidRPr="004865EF" w:rsidRDefault="00602898" w:rsidP="00602898">
            <w:pPr>
              <w:widowControl/>
              <w:jc w:val="left"/>
              <w:rPr>
                <w:rFonts w:ascii="Times New Roman" w:eastAsia="宋体" w:hAnsi="Times New Roman" w:cs="宋体"/>
                <w:kern w:val="0"/>
                <w:szCs w:val="21"/>
              </w:rPr>
            </w:pPr>
            <w:r w:rsidRPr="004865EF">
              <w:rPr>
                <w:rFonts w:ascii="Times New Roman" w:eastAsia="宋体" w:hAnsi="Times New Roman" w:cs="宋体" w:hint="eastAsia"/>
                <w:kern w:val="0"/>
                <w:szCs w:val="21"/>
              </w:rPr>
              <w:t xml:space="preserve">　</w:t>
            </w:r>
          </w:p>
        </w:tc>
        <w:tc>
          <w:tcPr>
            <w:tcW w:w="454" w:type="dxa"/>
            <w:shd w:val="clear" w:color="auto" w:fill="auto"/>
            <w:noWrap/>
            <w:vAlign w:val="center"/>
          </w:tcPr>
          <w:p w14:paraId="63CA79A0" w14:textId="77777777" w:rsidR="00602898" w:rsidRPr="004865EF" w:rsidRDefault="00602898" w:rsidP="00602898">
            <w:pPr>
              <w:widowControl/>
              <w:jc w:val="left"/>
              <w:rPr>
                <w:rFonts w:ascii="楷体" w:eastAsia="楷体" w:hAnsi="楷体" w:cs="宋体"/>
                <w:b/>
                <w:kern w:val="0"/>
                <w:szCs w:val="21"/>
              </w:rPr>
            </w:pPr>
            <w:r w:rsidRPr="004865EF">
              <w:rPr>
                <w:rFonts w:ascii="Times New Roman" w:eastAsia="宋体" w:hAnsi="Times New Roman" w:cs="宋体" w:hint="eastAsia"/>
                <w:kern w:val="0"/>
                <w:szCs w:val="21"/>
              </w:rPr>
              <w:t xml:space="preserve">　</w:t>
            </w:r>
          </w:p>
        </w:tc>
        <w:tc>
          <w:tcPr>
            <w:tcW w:w="454" w:type="dxa"/>
            <w:shd w:val="clear" w:color="auto" w:fill="auto"/>
            <w:noWrap/>
            <w:vAlign w:val="center"/>
          </w:tcPr>
          <w:p w14:paraId="69A8DF24"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auto"/>
            <w:noWrap/>
            <w:vAlign w:val="center"/>
          </w:tcPr>
          <w:p w14:paraId="0E855720"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auto"/>
            <w:noWrap/>
            <w:vAlign w:val="center"/>
          </w:tcPr>
          <w:p w14:paraId="2C6C2172"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auto"/>
            <w:noWrap/>
            <w:vAlign w:val="center"/>
          </w:tcPr>
          <w:p w14:paraId="4B4BDC71" w14:textId="77777777" w:rsidR="00602898" w:rsidRPr="004865EF" w:rsidRDefault="00602898" w:rsidP="00602898">
            <w:pPr>
              <w:widowControl/>
              <w:jc w:val="left"/>
              <w:rPr>
                <w:rFonts w:ascii="Times New Roman" w:eastAsia="宋体" w:hAnsi="Times New Roman" w:cs="宋体"/>
                <w:kern w:val="0"/>
                <w:sz w:val="22"/>
                <w:szCs w:val="22"/>
              </w:rPr>
            </w:pPr>
          </w:p>
        </w:tc>
        <w:tc>
          <w:tcPr>
            <w:tcW w:w="454" w:type="dxa"/>
            <w:shd w:val="clear" w:color="auto" w:fill="auto"/>
            <w:noWrap/>
            <w:vAlign w:val="center"/>
          </w:tcPr>
          <w:p w14:paraId="3854C693" w14:textId="77777777" w:rsidR="00602898" w:rsidRPr="004865EF" w:rsidRDefault="00602898" w:rsidP="00602898">
            <w:pPr>
              <w:widowControl/>
              <w:jc w:val="left"/>
              <w:rPr>
                <w:rFonts w:ascii="Times New Roman" w:eastAsia="宋体" w:hAnsi="Times New Roman" w:cs="宋体"/>
                <w:kern w:val="0"/>
                <w:sz w:val="22"/>
                <w:szCs w:val="22"/>
              </w:rPr>
            </w:pPr>
          </w:p>
        </w:tc>
      </w:tr>
      <w:tr w:rsidR="004865EF" w:rsidRPr="004865EF" w14:paraId="03BC41B4" w14:textId="77777777" w:rsidTr="00675378">
        <w:trPr>
          <w:trHeight w:val="20"/>
          <w:jc w:val="center"/>
        </w:trPr>
        <w:tc>
          <w:tcPr>
            <w:tcW w:w="1203" w:type="dxa"/>
            <w:shd w:val="clear" w:color="auto" w:fill="auto"/>
            <w:noWrap/>
            <w:vAlign w:val="center"/>
          </w:tcPr>
          <w:p w14:paraId="2CE88616" w14:textId="77777777" w:rsidR="00602898" w:rsidRPr="004865EF" w:rsidRDefault="00602898" w:rsidP="00675378">
            <w:pPr>
              <w:widowControl/>
              <w:jc w:val="center"/>
              <w:rPr>
                <w:rFonts w:ascii="楷体" w:eastAsia="楷体" w:hAnsi="楷体" w:cs="Times New Roman"/>
                <w:b/>
                <w:kern w:val="0"/>
                <w:szCs w:val="21"/>
              </w:rPr>
            </w:pPr>
            <w:r w:rsidRPr="004865EF">
              <w:rPr>
                <w:rFonts w:ascii="Times New Roman" w:eastAsia="宋体" w:hAnsi="Times New Roman" w:cs="Times New Roman" w:hint="eastAsia"/>
                <w:kern w:val="0"/>
                <w:szCs w:val="21"/>
              </w:rPr>
              <w:t>机电进度</w:t>
            </w:r>
          </w:p>
        </w:tc>
        <w:tc>
          <w:tcPr>
            <w:tcW w:w="454" w:type="dxa"/>
            <w:shd w:val="clear" w:color="auto" w:fill="auto"/>
            <w:noWrap/>
            <w:vAlign w:val="center"/>
          </w:tcPr>
          <w:p w14:paraId="6F6CD3E7"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3D0A43EC"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4DDC8A14"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20A9F6D6"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B4C6E7" w:themeFill="accent1" w:themeFillTint="66"/>
            <w:noWrap/>
            <w:vAlign w:val="center"/>
          </w:tcPr>
          <w:p w14:paraId="336F33DA"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B4C6E7" w:themeFill="accent1" w:themeFillTint="66"/>
            <w:noWrap/>
            <w:vAlign w:val="center"/>
          </w:tcPr>
          <w:p w14:paraId="4C25104E"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B4C6E7" w:themeFill="accent1" w:themeFillTint="66"/>
            <w:noWrap/>
            <w:vAlign w:val="center"/>
          </w:tcPr>
          <w:p w14:paraId="44EF5F92"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B4C6E7" w:themeFill="accent1" w:themeFillTint="66"/>
            <w:noWrap/>
            <w:vAlign w:val="center"/>
          </w:tcPr>
          <w:p w14:paraId="2E3238B6"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B4C6E7" w:themeFill="accent1" w:themeFillTint="66"/>
            <w:noWrap/>
            <w:vAlign w:val="center"/>
          </w:tcPr>
          <w:p w14:paraId="57B65B55"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B4C6E7" w:themeFill="accent1" w:themeFillTint="66"/>
            <w:noWrap/>
            <w:vAlign w:val="center"/>
          </w:tcPr>
          <w:p w14:paraId="09DAB515"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B4C6E7" w:themeFill="accent1" w:themeFillTint="66"/>
            <w:noWrap/>
            <w:vAlign w:val="center"/>
          </w:tcPr>
          <w:p w14:paraId="26619B01"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B4C6E7" w:themeFill="accent1" w:themeFillTint="66"/>
            <w:noWrap/>
            <w:vAlign w:val="center"/>
          </w:tcPr>
          <w:p w14:paraId="09844DEF"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B4C6E7" w:themeFill="accent1" w:themeFillTint="66"/>
            <w:noWrap/>
            <w:vAlign w:val="center"/>
          </w:tcPr>
          <w:p w14:paraId="33AE71C3"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B4C6E7" w:themeFill="accent1" w:themeFillTint="66"/>
            <w:noWrap/>
            <w:vAlign w:val="center"/>
          </w:tcPr>
          <w:p w14:paraId="464F1890"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B4C6E7" w:themeFill="accent1" w:themeFillTint="66"/>
            <w:noWrap/>
            <w:vAlign w:val="center"/>
          </w:tcPr>
          <w:p w14:paraId="636E142B"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B4C6E7" w:themeFill="accent1" w:themeFillTint="66"/>
            <w:noWrap/>
            <w:vAlign w:val="center"/>
          </w:tcPr>
          <w:p w14:paraId="110896E2" w14:textId="77777777" w:rsidR="00602898" w:rsidRPr="004865EF" w:rsidRDefault="00602898" w:rsidP="00602898">
            <w:pPr>
              <w:widowControl/>
              <w:jc w:val="left"/>
              <w:rPr>
                <w:rFonts w:ascii="Times New Roman" w:eastAsia="宋体" w:hAnsi="Times New Roman" w:cs="宋体"/>
                <w:kern w:val="0"/>
                <w:sz w:val="22"/>
                <w:szCs w:val="22"/>
              </w:rPr>
            </w:pPr>
          </w:p>
        </w:tc>
        <w:tc>
          <w:tcPr>
            <w:tcW w:w="454" w:type="dxa"/>
            <w:shd w:val="clear" w:color="auto" w:fill="B4C6E7" w:themeFill="accent1" w:themeFillTint="66"/>
            <w:noWrap/>
            <w:vAlign w:val="center"/>
          </w:tcPr>
          <w:p w14:paraId="119106BD" w14:textId="77777777" w:rsidR="00602898" w:rsidRPr="004865EF" w:rsidRDefault="00602898" w:rsidP="00602898">
            <w:pPr>
              <w:widowControl/>
              <w:jc w:val="left"/>
              <w:rPr>
                <w:rFonts w:ascii="Times New Roman" w:eastAsia="宋体" w:hAnsi="Times New Roman" w:cs="宋体"/>
                <w:kern w:val="0"/>
                <w:sz w:val="22"/>
                <w:szCs w:val="22"/>
              </w:rPr>
            </w:pPr>
          </w:p>
        </w:tc>
      </w:tr>
      <w:tr w:rsidR="004865EF" w:rsidRPr="004865EF" w14:paraId="725A569D" w14:textId="77777777" w:rsidTr="00675378">
        <w:trPr>
          <w:trHeight w:val="20"/>
          <w:jc w:val="center"/>
        </w:trPr>
        <w:tc>
          <w:tcPr>
            <w:tcW w:w="1203" w:type="dxa"/>
            <w:shd w:val="clear" w:color="auto" w:fill="auto"/>
            <w:noWrap/>
            <w:vAlign w:val="center"/>
          </w:tcPr>
          <w:p w14:paraId="68313CFA" w14:textId="77777777" w:rsidR="00602898" w:rsidRPr="004865EF" w:rsidRDefault="00602898" w:rsidP="00675378">
            <w:pPr>
              <w:widowControl/>
              <w:jc w:val="center"/>
              <w:rPr>
                <w:rFonts w:ascii="楷体" w:eastAsia="楷体" w:hAnsi="楷体" w:cs="Times New Roman"/>
                <w:b/>
                <w:kern w:val="0"/>
                <w:szCs w:val="21"/>
              </w:rPr>
            </w:pPr>
            <w:r w:rsidRPr="004865EF">
              <w:rPr>
                <w:rFonts w:ascii="Times New Roman" w:eastAsia="宋体" w:hAnsi="Times New Roman" w:cs="Times New Roman" w:hint="eastAsia"/>
                <w:kern w:val="0"/>
                <w:szCs w:val="21"/>
              </w:rPr>
              <w:t>网络进度</w:t>
            </w:r>
          </w:p>
        </w:tc>
        <w:tc>
          <w:tcPr>
            <w:tcW w:w="454" w:type="dxa"/>
            <w:shd w:val="clear" w:color="auto" w:fill="auto"/>
            <w:noWrap/>
            <w:vAlign w:val="center"/>
          </w:tcPr>
          <w:p w14:paraId="43FD3190"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63634CFC"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738D3A0F"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0BF93B7A"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736B6BB1"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7B0F643A"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F7CAAC" w:themeFill="accent2" w:themeFillTint="66"/>
            <w:noWrap/>
            <w:vAlign w:val="center"/>
          </w:tcPr>
          <w:p w14:paraId="1884F9BD"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F7CAAC" w:themeFill="accent2" w:themeFillTint="66"/>
            <w:noWrap/>
            <w:vAlign w:val="center"/>
          </w:tcPr>
          <w:p w14:paraId="406D7418"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F7CAAC" w:themeFill="accent2" w:themeFillTint="66"/>
            <w:noWrap/>
            <w:vAlign w:val="center"/>
          </w:tcPr>
          <w:p w14:paraId="420B8B8B"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F7CAAC" w:themeFill="accent2" w:themeFillTint="66"/>
            <w:noWrap/>
            <w:vAlign w:val="center"/>
          </w:tcPr>
          <w:p w14:paraId="4FF530A2"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F7CAAC" w:themeFill="accent2" w:themeFillTint="66"/>
            <w:noWrap/>
            <w:vAlign w:val="center"/>
          </w:tcPr>
          <w:p w14:paraId="0C57883A"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F7CAAC" w:themeFill="accent2" w:themeFillTint="66"/>
            <w:noWrap/>
            <w:vAlign w:val="center"/>
          </w:tcPr>
          <w:p w14:paraId="1511D697"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F7CAAC" w:themeFill="accent2" w:themeFillTint="66"/>
            <w:noWrap/>
            <w:vAlign w:val="center"/>
          </w:tcPr>
          <w:p w14:paraId="68621733"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F7CAAC" w:themeFill="accent2" w:themeFillTint="66"/>
            <w:noWrap/>
            <w:vAlign w:val="center"/>
          </w:tcPr>
          <w:p w14:paraId="1620F026"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F7CAAC" w:themeFill="accent2" w:themeFillTint="66"/>
            <w:noWrap/>
            <w:vAlign w:val="center"/>
          </w:tcPr>
          <w:p w14:paraId="08A99582"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F7CAAC" w:themeFill="accent2" w:themeFillTint="66"/>
            <w:noWrap/>
            <w:vAlign w:val="center"/>
          </w:tcPr>
          <w:p w14:paraId="6CD95C70" w14:textId="77777777" w:rsidR="00602898" w:rsidRPr="004865EF" w:rsidRDefault="00602898" w:rsidP="00602898">
            <w:pPr>
              <w:widowControl/>
              <w:jc w:val="left"/>
              <w:rPr>
                <w:rFonts w:ascii="Times New Roman" w:eastAsia="宋体" w:hAnsi="Times New Roman" w:cs="宋体"/>
                <w:kern w:val="0"/>
                <w:sz w:val="22"/>
                <w:szCs w:val="22"/>
              </w:rPr>
            </w:pPr>
          </w:p>
        </w:tc>
        <w:tc>
          <w:tcPr>
            <w:tcW w:w="454" w:type="dxa"/>
            <w:shd w:val="clear" w:color="auto" w:fill="F7CAAC" w:themeFill="accent2" w:themeFillTint="66"/>
            <w:noWrap/>
            <w:vAlign w:val="center"/>
          </w:tcPr>
          <w:p w14:paraId="69BC2813" w14:textId="77777777" w:rsidR="00602898" w:rsidRPr="004865EF" w:rsidRDefault="00602898" w:rsidP="00602898">
            <w:pPr>
              <w:widowControl/>
              <w:jc w:val="left"/>
              <w:rPr>
                <w:rFonts w:ascii="Times New Roman" w:eastAsia="宋体" w:hAnsi="Times New Roman" w:cs="宋体"/>
                <w:kern w:val="0"/>
                <w:sz w:val="22"/>
                <w:szCs w:val="22"/>
              </w:rPr>
            </w:pPr>
          </w:p>
        </w:tc>
      </w:tr>
      <w:tr w:rsidR="004865EF" w:rsidRPr="004865EF" w14:paraId="4DD1CA3E" w14:textId="77777777" w:rsidTr="00675378">
        <w:trPr>
          <w:trHeight w:val="20"/>
          <w:jc w:val="center"/>
        </w:trPr>
        <w:tc>
          <w:tcPr>
            <w:tcW w:w="1203" w:type="dxa"/>
            <w:shd w:val="clear" w:color="auto" w:fill="auto"/>
            <w:noWrap/>
            <w:vAlign w:val="center"/>
          </w:tcPr>
          <w:p w14:paraId="0EB9AC97" w14:textId="79AB6979" w:rsidR="00602898" w:rsidRPr="004865EF" w:rsidRDefault="00602898" w:rsidP="00675378">
            <w:pPr>
              <w:widowControl/>
              <w:jc w:val="center"/>
              <w:rPr>
                <w:rFonts w:ascii="楷体" w:eastAsia="楷体" w:hAnsi="楷体" w:cs="Times New Roman"/>
                <w:b/>
                <w:kern w:val="0"/>
                <w:szCs w:val="21"/>
              </w:rPr>
            </w:pPr>
            <w:r w:rsidRPr="004865EF">
              <w:rPr>
                <w:rFonts w:ascii="Times New Roman" w:eastAsia="宋体" w:hAnsi="Times New Roman" w:cs="Times New Roman" w:hint="eastAsia"/>
                <w:kern w:val="0"/>
                <w:szCs w:val="21"/>
              </w:rPr>
              <w:t>运营</w:t>
            </w:r>
            <w:r w:rsidR="0015108C" w:rsidRPr="004865EF">
              <w:rPr>
                <w:rFonts w:ascii="Times New Roman" w:eastAsia="宋体" w:hAnsi="Times New Roman" w:cs="Times New Roman" w:hint="eastAsia"/>
                <w:kern w:val="0"/>
                <w:szCs w:val="21"/>
              </w:rPr>
              <w:t>交付</w:t>
            </w:r>
          </w:p>
        </w:tc>
        <w:tc>
          <w:tcPr>
            <w:tcW w:w="454" w:type="dxa"/>
            <w:shd w:val="clear" w:color="auto" w:fill="auto"/>
            <w:noWrap/>
            <w:vAlign w:val="center"/>
          </w:tcPr>
          <w:p w14:paraId="041ED162"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2D535CBE"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7219AB14"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5DC51819"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6D3A5E41"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733EE862"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4F65F2B5"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auto"/>
            <w:noWrap/>
            <w:vAlign w:val="center"/>
          </w:tcPr>
          <w:p w14:paraId="151CF461"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DBDBDB" w:themeFill="accent3" w:themeFillTint="66"/>
            <w:noWrap/>
            <w:vAlign w:val="center"/>
          </w:tcPr>
          <w:p w14:paraId="12D7F2ED"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DBDBDB" w:themeFill="accent3" w:themeFillTint="66"/>
            <w:noWrap/>
            <w:vAlign w:val="center"/>
          </w:tcPr>
          <w:p w14:paraId="018F1EBB"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DBDBDB" w:themeFill="accent3" w:themeFillTint="66"/>
            <w:noWrap/>
            <w:vAlign w:val="center"/>
          </w:tcPr>
          <w:p w14:paraId="6A9A9AFC"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DBDBDB" w:themeFill="accent3" w:themeFillTint="66"/>
            <w:noWrap/>
            <w:vAlign w:val="center"/>
          </w:tcPr>
          <w:p w14:paraId="4838B873" w14:textId="77777777" w:rsidR="00602898" w:rsidRPr="004865EF" w:rsidRDefault="00602898" w:rsidP="00602898">
            <w:pPr>
              <w:widowControl/>
              <w:jc w:val="left"/>
              <w:rPr>
                <w:rFonts w:ascii="楷体" w:eastAsia="楷体" w:hAnsi="楷体" w:cs="宋体"/>
                <w:b/>
                <w:kern w:val="0"/>
                <w:szCs w:val="21"/>
              </w:rPr>
            </w:pPr>
          </w:p>
        </w:tc>
        <w:tc>
          <w:tcPr>
            <w:tcW w:w="454" w:type="dxa"/>
            <w:shd w:val="clear" w:color="auto" w:fill="DBDBDB" w:themeFill="accent3" w:themeFillTint="66"/>
            <w:noWrap/>
            <w:vAlign w:val="center"/>
          </w:tcPr>
          <w:p w14:paraId="4308DF3B"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DBDBDB" w:themeFill="accent3" w:themeFillTint="66"/>
            <w:noWrap/>
            <w:vAlign w:val="center"/>
          </w:tcPr>
          <w:p w14:paraId="4668B0E7"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DBDBDB" w:themeFill="accent3" w:themeFillTint="66"/>
            <w:noWrap/>
            <w:vAlign w:val="center"/>
          </w:tcPr>
          <w:p w14:paraId="395758EC" w14:textId="77777777" w:rsidR="00602898" w:rsidRPr="004865EF" w:rsidRDefault="00602898" w:rsidP="00602898">
            <w:pPr>
              <w:widowControl/>
              <w:jc w:val="left"/>
              <w:rPr>
                <w:rFonts w:ascii="楷体" w:eastAsia="楷体" w:hAnsi="楷体" w:cs="宋体"/>
                <w:b/>
                <w:kern w:val="0"/>
                <w:sz w:val="22"/>
                <w:szCs w:val="22"/>
              </w:rPr>
            </w:pPr>
          </w:p>
        </w:tc>
        <w:tc>
          <w:tcPr>
            <w:tcW w:w="454" w:type="dxa"/>
            <w:shd w:val="clear" w:color="auto" w:fill="DBDBDB" w:themeFill="accent3" w:themeFillTint="66"/>
            <w:noWrap/>
            <w:vAlign w:val="center"/>
          </w:tcPr>
          <w:p w14:paraId="66FB28C1" w14:textId="77777777" w:rsidR="00602898" w:rsidRPr="004865EF" w:rsidRDefault="00602898" w:rsidP="00602898">
            <w:pPr>
              <w:widowControl/>
              <w:jc w:val="left"/>
              <w:rPr>
                <w:rFonts w:ascii="Times New Roman" w:eastAsia="宋体" w:hAnsi="Times New Roman" w:cs="宋体"/>
                <w:kern w:val="0"/>
                <w:sz w:val="22"/>
                <w:szCs w:val="22"/>
              </w:rPr>
            </w:pPr>
          </w:p>
        </w:tc>
        <w:tc>
          <w:tcPr>
            <w:tcW w:w="454" w:type="dxa"/>
            <w:shd w:val="clear" w:color="auto" w:fill="DBDBDB" w:themeFill="accent3" w:themeFillTint="66"/>
            <w:noWrap/>
            <w:vAlign w:val="center"/>
          </w:tcPr>
          <w:p w14:paraId="4C5757D8" w14:textId="77777777" w:rsidR="00602898" w:rsidRPr="004865EF" w:rsidRDefault="00602898" w:rsidP="00602898">
            <w:pPr>
              <w:widowControl/>
              <w:jc w:val="left"/>
              <w:rPr>
                <w:rFonts w:ascii="Times New Roman" w:eastAsia="宋体" w:hAnsi="Times New Roman" w:cs="宋体"/>
                <w:kern w:val="0"/>
                <w:sz w:val="22"/>
                <w:szCs w:val="22"/>
              </w:rPr>
            </w:pPr>
          </w:p>
        </w:tc>
      </w:tr>
    </w:tbl>
    <w:p w14:paraId="36619229" w14:textId="3FFA3481" w:rsidR="00F3011E" w:rsidRPr="004865EF" w:rsidRDefault="00F3011E" w:rsidP="00DF319D">
      <w:pPr>
        <w:rPr>
          <w:rFonts w:ascii="Times New Roman" w:eastAsia="宋体" w:hAnsi="Times New Roman" w:cs="Times New Roman"/>
        </w:rPr>
      </w:pPr>
      <w:r w:rsidRPr="004865EF">
        <w:rPr>
          <w:rFonts w:ascii="Times New Roman" w:eastAsia="宋体" w:hAnsi="Times New Roman" w:cs="Times New Roman" w:hint="eastAsia"/>
        </w:rPr>
        <w:t>注：</w:t>
      </w:r>
      <w:r w:rsidR="00D2638F" w:rsidRPr="004865EF">
        <w:rPr>
          <w:rFonts w:ascii="Times New Roman" w:eastAsia="宋体" w:hAnsi="Times New Roman" w:cs="Times New Roman" w:hint="eastAsia"/>
        </w:rPr>
        <w:t>运营</w:t>
      </w:r>
      <w:proofErr w:type="gramStart"/>
      <w:r w:rsidR="00D2638F" w:rsidRPr="004865EF">
        <w:rPr>
          <w:rFonts w:ascii="Times New Roman" w:eastAsia="宋体" w:hAnsi="Times New Roman" w:cs="Times New Roman" w:hint="eastAsia"/>
        </w:rPr>
        <w:t>交付指</w:t>
      </w:r>
      <w:proofErr w:type="gramEnd"/>
      <w:r w:rsidR="00D2638F" w:rsidRPr="004865EF">
        <w:rPr>
          <w:rFonts w:ascii="Times New Roman" w:eastAsia="宋体" w:hAnsi="Times New Roman" w:cs="Times New Roman" w:hint="eastAsia"/>
        </w:rPr>
        <w:t>机柜经安装调试完毕后交付客户使用，从开始实现销售至全部销售完毕为止</w:t>
      </w:r>
      <w:r w:rsidRPr="004865EF">
        <w:rPr>
          <w:rFonts w:ascii="Times New Roman" w:eastAsia="宋体" w:hAnsi="Times New Roman" w:cs="Times New Roman" w:hint="eastAsia"/>
        </w:rPr>
        <w:t>。</w:t>
      </w:r>
    </w:p>
    <w:p w14:paraId="04487F06"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4</w:t>
      </w:r>
      <w:r w:rsidRPr="004865EF">
        <w:rPr>
          <w:rFonts w:ascii="Times New Roman" w:eastAsia="宋体" w:hAnsi="Times New Roman" w:cs="Times New Roman" w:hint="eastAsia"/>
          <w:sz w:val="24"/>
        </w:rPr>
        <w:t>）长沙绿色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基地一期</w:t>
      </w:r>
    </w:p>
    <w:p w14:paraId="6C3DBC21" w14:textId="77777777" w:rsidR="00602898" w:rsidRPr="004865EF" w:rsidRDefault="00602898" w:rsidP="00E87AF9">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长沙一期项目预计于</w:t>
      </w:r>
      <w:r w:rsidRPr="004865EF">
        <w:rPr>
          <w:rFonts w:ascii="Times New Roman" w:eastAsia="宋体" w:hAnsi="Times New Roman" w:cs="Times New Roman"/>
          <w:sz w:val="24"/>
        </w:rPr>
        <w:t>2021</w:t>
      </w:r>
      <w:r w:rsidRPr="004865EF">
        <w:rPr>
          <w:rFonts w:ascii="Times New Roman" w:eastAsia="宋体" w:hAnsi="Times New Roman" w:cs="Times New Roman" w:hint="eastAsia"/>
          <w:sz w:val="24"/>
        </w:rPr>
        <w:t>年</w:t>
      </w:r>
      <w:r w:rsidRPr="004865EF">
        <w:rPr>
          <w:rFonts w:ascii="Times New Roman" w:eastAsia="宋体" w:hAnsi="Times New Roman" w:cs="Times New Roman"/>
          <w:sz w:val="24"/>
        </w:rPr>
        <w:t>1</w:t>
      </w:r>
      <w:r w:rsidRPr="004865EF">
        <w:rPr>
          <w:rFonts w:ascii="Times New Roman" w:eastAsia="宋体" w:hAnsi="Times New Roman" w:cs="Times New Roman" w:hint="eastAsia"/>
          <w:sz w:val="24"/>
        </w:rPr>
        <w:t>月开始正式施工，建设期为自开工后</w:t>
      </w:r>
      <w:r w:rsidRPr="004865EF">
        <w:rPr>
          <w:rFonts w:ascii="Times New Roman" w:eastAsia="宋体" w:hAnsi="Times New Roman" w:cs="Times New Roman"/>
          <w:sz w:val="24"/>
        </w:rPr>
        <w:t>36</w:t>
      </w:r>
      <w:r w:rsidRPr="004865EF">
        <w:rPr>
          <w:rFonts w:ascii="Times New Roman" w:eastAsia="宋体" w:hAnsi="Times New Roman" w:cs="Times New Roman" w:hint="eastAsia"/>
          <w:sz w:val="24"/>
        </w:rPr>
        <w:t>个月，预计进度安排如下：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686"/>
        <w:gridCol w:w="623"/>
        <w:gridCol w:w="623"/>
        <w:gridCol w:w="623"/>
        <w:gridCol w:w="623"/>
        <w:gridCol w:w="623"/>
        <w:gridCol w:w="623"/>
        <w:gridCol w:w="623"/>
        <w:gridCol w:w="623"/>
        <w:gridCol w:w="623"/>
        <w:gridCol w:w="598"/>
        <w:gridCol w:w="567"/>
      </w:tblGrid>
      <w:tr w:rsidR="004865EF" w:rsidRPr="004865EF" w14:paraId="7629D954" w14:textId="77777777" w:rsidTr="003A34A9">
        <w:trPr>
          <w:trHeight w:val="290"/>
        </w:trPr>
        <w:tc>
          <w:tcPr>
            <w:tcW w:w="1062" w:type="dxa"/>
            <w:vMerge w:val="restart"/>
            <w:shd w:val="clear" w:color="auto" w:fill="auto"/>
            <w:noWrap/>
            <w:vAlign w:val="center"/>
          </w:tcPr>
          <w:p w14:paraId="17672B9C"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hint="eastAsia"/>
                <w:b/>
                <w:bCs/>
                <w:kern w:val="0"/>
                <w:szCs w:val="21"/>
              </w:rPr>
              <w:t>建设项目</w:t>
            </w:r>
          </w:p>
        </w:tc>
        <w:tc>
          <w:tcPr>
            <w:tcW w:w="7458" w:type="dxa"/>
            <w:gridSpan w:val="12"/>
            <w:shd w:val="clear" w:color="auto" w:fill="auto"/>
            <w:noWrap/>
            <w:vAlign w:val="center"/>
          </w:tcPr>
          <w:p w14:paraId="6C00CF9E"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T+36</w:t>
            </w:r>
            <w:r w:rsidRPr="004865EF">
              <w:rPr>
                <w:rFonts w:ascii="Times New Roman" w:eastAsia="宋体" w:hAnsi="Times New Roman" w:cs="Times New Roman" w:hint="eastAsia"/>
                <w:b/>
                <w:bCs/>
                <w:kern w:val="0"/>
                <w:szCs w:val="21"/>
              </w:rPr>
              <w:t>个月</w:t>
            </w:r>
          </w:p>
        </w:tc>
      </w:tr>
      <w:tr w:rsidR="004865EF" w:rsidRPr="004865EF" w14:paraId="6BA2DFD6" w14:textId="77777777" w:rsidTr="003A34A9">
        <w:trPr>
          <w:trHeight w:val="290"/>
        </w:trPr>
        <w:tc>
          <w:tcPr>
            <w:tcW w:w="1062" w:type="dxa"/>
            <w:vMerge/>
            <w:vAlign w:val="center"/>
          </w:tcPr>
          <w:p w14:paraId="3E83722A" w14:textId="77777777" w:rsidR="00602898" w:rsidRPr="004865EF" w:rsidRDefault="00602898" w:rsidP="00602898">
            <w:pPr>
              <w:widowControl/>
              <w:jc w:val="left"/>
              <w:rPr>
                <w:rFonts w:ascii="Times New Roman" w:eastAsia="宋体" w:hAnsi="Times New Roman" w:cs="Times New Roman"/>
                <w:bCs/>
                <w:kern w:val="0"/>
                <w:szCs w:val="21"/>
              </w:rPr>
            </w:pPr>
          </w:p>
        </w:tc>
        <w:tc>
          <w:tcPr>
            <w:tcW w:w="686" w:type="dxa"/>
            <w:shd w:val="clear" w:color="auto" w:fill="auto"/>
            <w:noWrap/>
            <w:vAlign w:val="center"/>
          </w:tcPr>
          <w:p w14:paraId="53BF7878"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w:t>
            </w:r>
          </w:p>
        </w:tc>
        <w:tc>
          <w:tcPr>
            <w:tcW w:w="623" w:type="dxa"/>
            <w:shd w:val="clear" w:color="auto" w:fill="auto"/>
            <w:noWrap/>
            <w:vAlign w:val="center"/>
          </w:tcPr>
          <w:p w14:paraId="737D6ACF"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6</w:t>
            </w:r>
          </w:p>
        </w:tc>
        <w:tc>
          <w:tcPr>
            <w:tcW w:w="623" w:type="dxa"/>
            <w:shd w:val="clear" w:color="auto" w:fill="auto"/>
            <w:noWrap/>
            <w:vAlign w:val="center"/>
          </w:tcPr>
          <w:p w14:paraId="2D777186"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9</w:t>
            </w:r>
          </w:p>
        </w:tc>
        <w:tc>
          <w:tcPr>
            <w:tcW w:w="623" w:type="dxa"/>
            <w:shd w:val="clear" w:color="auto" w:fill="auto"/>
            <w:noWrap/>
            <w:vAlign w:val="center"/>
          </w:tcPr>
          <w:p w14:paraId="5A4AF1ED"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12</w:t>
            </w:r>
          </w:p>
        </w:tc>
        <w:tc>
          <w:tcPr>
            <w:tcW w:w="623" w:type="dxa"/>
            <w:shd w:val="clear" w:color="auto" w:fill="auto"/>
            <w:noWrap/>
            <w:vAlign w:val="center"/>
          </w:tcPr>
          <w:p w14:paraId="082FFF8C"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15</w:t>
            </w:r>
          </w:p>
        </w:tc>
        <w:tc>
          <w:tcPr>
            <w:tcW w:w="623" w:type="dxa"/>
            <w:shd w:val="clear" w:color="auto" w:fill="auto"/>
            <w:noWrap/>
            <w:vAlign w:val="center"/>
          </w:tcPr>
          <w:p w14:paraId="346B474C"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18</w:t>
            </w:r>
          </w:p>
        </w:tc>
        <w:tc>
          <w:tcPr>
            <w:tcW w:w="623" w:type="dxa"/>
            <w:shd w:val="clear" w:color="auto" w:fill="auto"/>
            <w:noWrap/>
            <w:vAlign w:val="center"/>
          </w:tcPr>
          <w:p w14:paraId="129AF33F"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21</w:t>
            </w:r>
          </w:p>
        </w:tc>
        <w:tc>
          <w:tcPr>
            <w:tcW w:w="623" w:type="dxa"/>
            <w:shd w:val="clear" w:color="auto" w:fill="auto"/>
            <w:noWrap/>
            <w:vAlign w:val="center"/>
          </w:tcPr>
          <w:p w14:paraId="5D727A0C"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24</w:t>
            </w:r>
          </w:p>
        </w:tc>
        <w:tc>
          <w:tcPr>
            <w:tcW w:w="623" w:type="dxa"/>
            <w:shd w:val="clear" w:color="auto" w:fill="auto"/>
            <w:noWrap/>
            <w:vAlign w:val="center"/>
          </w:tcPr>
          <w:p w14:paraId="0BC1071D"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27</w:t>
            </w:r>
          </w:p>
        </w:tc>
        <w:tc>
          <w:tcPr>
            <w:tcW w:w="623" w:type="dxa"/>
            <w:shd w:val="clear" w:color="auto" w:fill="auto"/>
            <w:noWrap/>
            <w:vAlign w:val="center"/>
          </w:tcPr>
          <w:p w14:paraId="073A9478"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30</w:t>
            </w:r>
          </w:p>
        </w:tc>
        <w:tc>
          <w:tcPr>
            <w:tcW w:w="598" w:type="dxa"/>
          </w:tcPr>
          <w:p w14:paraId="6D5E6428" w14:textId="77777777" w:rsidR="00602898" w:rsidRPr="004865EF" w:rsidRDefault="00602898" w:rsidP="00602898">
            <w:pPr>
              <w:widowControl/>
              <w:jc w:val="center"/>
              <w:rPr>
                <w:rFonts w:ascii="Times New Roman" w:eastAsia="宋体" w:hAnsi="Times New Roman" w:cs="Times New Roman"/>
                <w:bCs/>
                <w:kern w:val="0"/>
                <w:szCs w:val="21"/>
              </w:rPr>
            </w:pPr>
            <w:r w:rsidRPr="004865EF">
              <w:rPr>
                <w:rFonts w:ascii="Times New Roman" w:eastAsia="宋体" w:hAnsi="Times New Roman" w:cs="Times New Roman"/>
                <w:b/>
                <w:bCs/>
                <w:kern w:val="0"/>
                <w:szCs w:val="21"/>
              </w:rPr>
              <w:t>33</w:t>
            </w:r>
          </w:p>
        </w:tc>
        <w:tc>
          <w:tcPr>
            <w:tcW w:w="567" w:type="dxa"/>
          </w:tcPr>
          <w:p w14:paraId="593544F2"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36</w:t>
            </w:r>
          </w:p>
        </w:tc>
      </w:tr>
      <w:tr w:rsidR="004865EF" w:rsidRPr="004865EF" w14:paraId="0E6019BF" w14:textId="77777777" w:rsidTr="003A34A9">
        <w:trPr>
          <w:trHeight w:val="290"/>
        </w:trPr>
        <w:tc>
          <w:tcPr>
            <w:tcW w:w="1062" w:type="dxa"/>
            <w:shd w:val="clear" w:color="auto" w:fill="auto"/>
            <w:noWrap/>
            <w:vAlign w:val="center"/>
          </w:tcPr>
          <w:p w14:paraId="62721278" w14:textId="77777777" w:rsidR="00602898" w:rsidRPr="004865EF" w:rsidRDefault="00602898" w:rsidP="00602898">
            <w:pPr>
              <w:widowControl/>
              <w:jc w:val="left"/>
              <w:rPr>
                <w:rFonts w:ascii="楷体" w:eastAsia="楷体" w:hAnsi="楷体" w:cs="Times New Roman"/>
                <w:b/>
                <w:kern w:val="0"/>
                <w:szCs w:val="21"/>
              </w:rPr>
            </w:pPr>
            <w:r w:rsidRPr="004865EF">
              <w:rPr>
                <w:rFonts w:ascii="Times New Roman" w:eastAsia="宋体" w:hAnsi="Times New Roman" w:cs="Times New Roman" w:hint="eastAsia"/>
                <w:kern w:val="0"/>
                <w:szCs w:val="21"/>
              </w:rPr>
              <w:t>建筑进度</w:t>
            </w:r>
          </w:p>
        </w:tc>
        <w:tc>
          <w:tcPr>
            <w:tcW w:w="686" w:type="dxa"/>
            <w:shd w:val="clear" w:color="auto" w:fill="AEAAAA" w:themeFill="background2" w:themeFillShade="BF"/>
            <w:noWrap/>
            <w:vAlign w:val="center"/>
          </w:tcPr>
          <w:p w14:paraId="4D3B7DDA"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EAAAA" w:themeFill="background2" w:themeFillShade="BF"/>
            <w:noWrap/>
            <w:vAlign w:val="center"/>
          </w:tcPr>
          <w:p w14:paraId="7E58027C"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EAAAA" w:themeFill="background2" w:themeFillShade="BF"/>
            <w:noWrap/>
            <w:vAlign w:val="center"/>
          </w:tcPr>
          <w:p w14:paraId="11645DA3"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EAAAA" w:themeFill="background2" w:themeFillShade="BF"/>
            <w:noWrap/>
            <w:vAlign w:val="center"/>
          </w:tcPr>
          <w:p w14:paraId="5269032A"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EAAAA" w:themeFill="background2" w:themeFillShade="BF"/>
            <w:noWrap/>
            <w:vAlign w:val="center"/>
          </w:tcPr>
          <w:p w14:paraId="21AB5101"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EAAAA" w:themeFill="background2" w:themeFillShade="BF"/>
            <w:noWrap/>
            <w:vAlign w:val="center"/>
          </w:tcPr>
          <w:p w14:paraId="444F58AC"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EAAAA" w:themeFill="background2" w:themeFillShade="BF"/>
            <w:noWrap/>
            <w:vAlign w:val="center"/>
          </w:tcPr>
          <w:p w14:paraId="33099900"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EAAAA" w:themeFill="background2" w:themeFillShade="BF"/>
            <w:noWrap/>
            <w:vAlign w:val="center"/>
          </w:tcPr>
          <w:p w14:paraId="123F58AA"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2339260F"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6275DF0B" w14:textId="77777777" w:rsidR="00602898" w:rsidRPr="004865EF" w:rsidRDefault="00602898" w:rsidP="00602898">
            <w:pPr>
              <w:widowControl/>
              <w:jc w:val="left"/>
              <w:rPr>
                <w:rFonts w:ascii="楷体" w:eastAsia="楷体" w:hAnsi="楷体" w:cs="Times New Roman"/>
                <w:b/>
                <w:kern w:val="0"/>
                <w:szCs w:val="21"/>
              </w:rPr>
            </w:pPr>
          </w:p>
        </w:tc>
        <w:tc>
          <w:tcPr>
            <w:tcW w:w="598" w:type="dxa"/>
          </w:tcPr>
          <w:p w14:paraId="5EFAA1C7" w14:textId="77777777" w:rsidR="00602898" w:rsidRPr="004865EF" w:rsidRDefault="00602898" w:rsidP="00602898">
            <w:pPr>
              <w:widowControl/>
              <w:jc w:val="left"/>
              <w:rPr>
                <w:rFonts w:ascii="Times New Roman" w:eastAsia="宋体" w:hAnsi="Times New Roman" w:cs="Times New Roman"/>
                <w:kern w:val="0"/>
                <w:szCs w:val="21"/>
              </w:rPr>
            </w:pPr>
          </w:p>
        </w:tc>
        <w:tc>
          <w:tcPr>
            <w:tcW w:w="567" w:type="dxa"/>
          </w:tcPr>
          <w:p w14:paraId="501D4800" w14:textId="77777777" w:rsidR="00602898" w:rsidRPr="004865EF" w:rsidRDefault="00602898" w:rsidP="00602898">
            <w:pPr>
              <w:widowControl/>
              <w:jc w:val="left"/>
              <w:rPr>
                <w:rFonts w:ascii="Times New Roman" w:eastAsia="宋体" w:hAnsi="Times New Roman" w:cs="Times New Roman"/>
                <w:kern w:val="0"/>
                <w:szCs w:val="21"/>
              </w:rPr>
            </w:pPr>
          </w:p>
        </w:tc>
      </w:tr>
      <w:tr w:rsidR="004865EF" w:rsidRPr="004865EF" w14:paraId="61BEDE41" w14:textId="77777777" w:rsidTr="003A34A9">
        <w:trPr>
          <w:trHeight w:val="290"/>
        </w:trPr>
        <w:tc>
          <w:tcPr>
            <w:tcW w:w="1062" w:type="dxa"/>
            <w:shd w:val="clear" w:color="auto" w:fill="auto"/>
            <w:noWrap/>
            <w:vAlign w:val="center"/>
          </w:tcPr>
          <w:p w14:paraId="17C85D86" w14:textId="77777777" w:rsidR="00602898" w:rsidRPr="004865EF" w:rsidRDefault="00602898" w:rsidP="00602898">
            <w:pPr>
              <w:widowControl/>
              <w:jc w:val="left"/>
              <w:rPr>
                <w:rFonts w:ascii="楷体" w:eastAsia="楷体" w:hAnsi="楷体" w:cs="Times New Roman"/>
                <w:b/>
                <w:kern w:val="0"/>
                <w:szCs w:val="21"/>
              </w:rPr>
            </w:pPr>
            <w:r w:rsidRPr="004865EF">
              <w:rPr>
                <w:rFonts w:ascii="Times New Roman" w:eastAsia="宋体" w:hAnsi="Times New Roman" w:cs="Times New Roman" w:hint="eastAsia"/>
                <w:kern w:val="0"/>
                <w:szCs w:val="21"/>
              </w:rPr>
              <w:t>机电进度</w:t>
            </w:r>
          </w:p>
        </w:tc>
        <w:tc>
          <w:tcPr>
            <w:tcW w:w="686" w:type="dxa"/>
            <w:shd w:val="clear" w:color="auto" w:fill="auto"/>
            <w:noWrap/>
            <w:vAlign w:val="center"/>
          </w:tcPr>
          <w:p w14:paraId="7CB8ACCD"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53CA2D7B"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0E3FAF03"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CB9CA" w:themeFill="text2" w:themeFillTint="66"/>
            <w:noWrap/>
            <w:vAlign w:val="center"/>
          </w:tcPr>
          <w:p w14:paraId="3C29CC13"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CB9CA" w:themeFill="text2" w:themeFillTint="66"/>
            <w:noWrap/>
            <w:vAlign w:val="center"/>
          </w:tcPr>
          <w:p w14:paraId="2A86C168"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CB9CA" w:themeFill="text2" w:themeFillTint="66"/>
            <w:noWrap/>
            <w:vAlign w:val="center"/>
          </w:tcPr>
          <w:p w14:paraId="0EB677B8"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CB9CA" w:themeFill="text2" w:themeFillTint="66"/>
            <w:noWrap/>
            <w:vAlign w:val="center"/>
          </w:tcPr>
          <w:p w14:paraId="091B8585"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CB9CA" w:themeFill="text2" w:themeFillTint="66"/>
            <w:noWrap/>
            <w:vAlign w:val="center"/>
          </w:tcPr>
          <w:p w14:paraId="7FDDF137"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CB9CA" w:themeFill="text2" w:themeFillTint="66"/>
            <w:noWrap/>
            <w:vAlign w:val="center"/>
          </w:tcPr>
          <w:p w14:paraId="007BCA23"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CB9CA" w:themeFill="text2" w:themeFillTint="66"/>
            <w:noWrap/>
            <w:vAlign w:val="center"/>
          </w:tcPr>
          <w:p w14:paraId="28065DA2" w14:textId="77777777" w:rsidR="00602898" w:rsidRPr="004865EF" w:rsidRDefault="00602898" w:rsidP="00602898">
            <w:pPr>
              <w:widowControl/>
              <w:jc w:val="left"/>
              <w:rPr>
                <w:rFonts w:ascii="楷体" w:eastAsia="楷体" w:hAnsi="楷体" w:cs="Times New Roman"/>
                <w:b/>
                <w:kern w:val="0"/>
                <w:szCs w:val="21"/>
              </w:rPr>
            </w:pPr>
          </w:p>
        </w:tc>
        <w:tc>
          <w:tcPr>
            <w:tcW w:w="598" w:type="dxa"/>
            <w:shd w:val="clear" w:color="auto" w:fill="ACB9CA" w:themeFill="text2" w:themeFillTint="66"/>
          </w:tcPr>
          <w:p w14:paraId="1742DD2E" w14:textId="77777777" w:rsidR="00602898" w:rsidRPr="004865EF" w:rsidRDefault="00602898" w:rsidP="00602898">
            <w:pPr>
              <w:widowControl/>
              <w:jc w:val="left"/>
              <w:rPr>
                <w:rFonts w:ascii="Times New Roman" w:eastAsia="宋体" w:hAnsi="Times New Roman" w:cs="Times New Roman"/>
                <w:kern w:val="0"/>
                <w:szCs w:val="21"/>
              </w:rPr>
            </w:pPr>
          </w:p>
        </w:tc>
        <w:tc>
          <w:tcPr>
            <w:tcW w:w="567" w:type="dxa"/>
            <w:shd w:val="clear" w:color="auto" w:fill="ACB9CA" w:themeFill="text2" w:themeFillTint="66"/>
          </w:tcPr>
          <w:p w14:paraId="7B2BFE11" w14:textId="77777777" w:rsidR="00602898" w:rsidRPr="004865EF" w:rsidRDefault="00602898" w:rsidP="00602898">
            <w:pPr>
              <w:widowControl/>
              <w:jc w:val="left"/>
              <w:rPr>
                <w:rFonts w:ascii="Times New Roman" w:eastAsia="宋体" w:hAnsi="Times New Roman" w:cs="Times New Roman"/>
                <w:kern w:val="0"/>
                <w:szCs w:val="21"/>
              </w:rPr>
            </w:pPr>
          </w:p>
        </w:tc>
      </w:tr>
      <w:tr w:rsidR="004865EF" w:rsidRPr="004865EF" w14:paraId="2B1F0594" w14:textId="77777777" w:rsidTr="003A34A9">
        <w:trPr>
          <w:trHeight w:val="290"/>
        </w:trPr>
        <w:tc>
          <w:tcPr>
            <w:tcW w:w="1062" w:type="dxa"/>
            <w:shd w:val="clear" w:color="auto" w:fill="auto"/>
            <w:noWrap/>
            <w:vAlign w:val="center"/>
          </w:tcPr>
          <w:p w14:paraId="72614072" w14:textId="77777777" w:rsidR="00602898" w:rsidRPr="004865EF" w:rsidRDefault="00602898" w:rsidP="00602898">
            <w:pPr>
              <w:widowControl/>
              <w:jc w:val="left"/>
              <w:rPr>
                <w:rFonts w:ascii="楷体" w:eastAsia="楷体" w:hAnsi="楷体" w:cs="Times New Roman"/>
                <w:b/>
                <w:kern w:val="0"/>
                <w:szCs w:val="21"/>
              </w:rPr>
            </w:pPr>
            <w:r w:rsidRPr="004865EF">
              <w:rPr>
                <w:rFonts w:ascii="Times New Roman" w:eastAsia="宋体" w:hAnsi="Times New Roman" w:cs="Times New Roman" w:hint="eastAsia"/>
                <w:kern w:val="0"/>
                <w:szCs w:val="21"/>
              </w:rPr>
              <w:t>网络进度</w:t>
            </w:r>
          </w:p>
        </w:tc>
        <w:tc>
          <w:tcPr>
            <w:tcW w:w="686" w:type="dxa"/>
            <w:shd w:val="clear" w:color="auto" w:fill="auto"/>
            <w:noWrap/>
            <w:vAlign w:val="center"/>
          </w:tcPr>
          <w:p w14:paraId="17F257A4"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4718FC94"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249E96FA"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7312CD28"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33557DA7"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F7CAAC" w:themeFill="accent2" w:themeFillTint="66"/>
            <w:noWrap/>
            <w:vAlign w:val="center"/>
          </w:tcPr>
          <w:p w14:paraId="71C24EC0"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F7CAAC" w:themeFill="accent2" w:themeFillTint="66"/>
            <w:noWrap/>
            <w:vAlign w:val="center"/>
          </w:tcPr>
          <w:p w14:paraId="465408D8"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F7CAAC" w:themeFill="accent2" w:themeFillTint="66"/>
            <w:noWrap/>
            <w:vAlign w:val="center"/>
          </w:tcPr>
          <w:p w14:paraId="20E4324B"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F7CAAC" w:themeFill="accent2" w:themeFillTint="66"/>
            <w:noWrap/>
            <w:vAlign w:val="center"/>
          </w:tcPr>
          <w:p w14:paraId="6D6A2955"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F7CAAC" w:themeFill="accent2" w:themeFillTint="66"/>
            <w:noWrap/>
            <w:vAlign w:val="center"/>
          </w:tcPr>
          <w:p w14:paraId="1CC083AA" w14:textId="77777777" w:rsidR="00602898" w:rsidRPr="004865EF" w:rsidRDefault="00602898" w:rsidP="00602898">
            <w:pPr>
              <w:widowControl/>
              <w:jc w:val="left"/>
              <w:rPr>
                <w:rFonts w:ascii="楷体" w:eastAsia="楷体" w:hAnsi="楷体" w:cs="Times New Roman"/>
                <w:b/>
                <w:kern w:val="0"/>
                <w:szCs w:val="21"/>
              </w:rPr>
            </w:pPr>
          </w:p>
        </w:tc>
        <w:tc>
          <w:tcPr>
            <w:tcW w:w="598" w:type="dxa"/>
            <w:shd w:val="clear" w:color="auto" w:fill="F7CAAC" w:themeFill="accent2" w:themeFillTint="66"/>
          </w:tcPr>
          <w:p w14:paraId="2087C5E2" w14:textId="77777777" w:rsidR="00602898" w:rsidRPr="004865EF" w:rsidRDefault="00602898" w:rsidP="00602898">
            <w:pPr>
              <w:widowControl/>
              <w:jc w:val="left"/>
              <w:rPr>
                <w:rFonts w:ascii="Times New Roman" w:eastAsia="宋体" w:hAnsi="Times New Roman" w:cs="Times New Roman"/>
                <w:kern w:val="0"/>
                <w:szCs w:val="21"/>
              </w:rPr>
            </w:pPr>
          </w:p>
        </w:tc>
        <w:tc>
          <w:tcPr>
            <w:tcW w:w="567" w:type="dxa"/>
            <w:shd w:val="clear" w:color="auto" w:fill="F7CAAC" w:themeFill="accent2" w:themeFillTint="66"/>
          </w:tcPr>
          <w:p w14:paraId="13BF40A0" w14:textId="77777777" w:rsidR="00602898" w:rsidRPr="004865EF" w:rsidRDefault="00602898" w:rsidP="00602898">
            <w:pPr>
              <w:widowControl/>
              <w:jc w:val="left"/>
              <w:rPr>
                <w:rFonts w:ascii="Times New Roman" w:eastAsia="宋体" w:hAnsi="Times New Roman" w:cs="Times New Roman"/>
                <w:kern w:val="0"/>
                <w:szCs w:val="21"/>
              </w:rPr>
            </w:pPr>
          </w:p>
        </w:tc>
      </w:tr>
      <w:tr w:rsidR="004865EF" w:rsidRPr="004865EF" w14:paraId="30B15A0B" w14:textId="77777777" w:rsidTr="003A34A9">
        <w:trPr>
          <w:trHeight w:val="290"/>
        </w:trPr>
        <w:tc>
          <w:tcPr>
            <w:tcW w:w="1062" w:type="dxa"/>
            <w:shd w:val="clear" w:color="auto" w:fill="auto"/>
            <w:noWrap/>
            <w:vAlign w:val="center"/>
          </w:tcPr>
          <w:p w14:paraId="6025D53B" w14:textId="7CBD01C4" w:rsidR="00602898" w:rsidRPr="004865EF" w:rsidRDefault="00602898" w:rsidP="00602898">
            <w:pPr>
              <w:widowControl/>
              <w:jc w:val="left"/>
              <w:rPr>
                <w:rFonts w:ascii="楷体" w:eastAsia="楷体" w:hAnsi="楷体" w:cs="Times New Roman"/>
                <w:b/>
                <w:kern w:val="0"/>
                <w:szCs w:val="21"/>
              </w:rPr>
            </w:pPr>
            <w:r w:rsidRPr="004865EF">
              <w:rPr>
                <w:rFonts w:ascii="Times New Roman" w:eastAsia="宋体" w:hAnsi="Times New Roman" w:cs="Times New Roman" w:hint="eastAsia"/>
                <w:kern w:val="0"/>
                <w:szCs w:val="21"/>
              </w:rPr>
              <w:t>运营</w:t>
            </w:r>
            <w:r w:rsidR="00D2638F" w:rsidRPr="004865EF">
              <w:rPr>
                <w:rFonts w:ascii="Times New Roman" w:eastAsia="宋体" w:hAnsi="Times New Roman" w:cs="Times New Roman" w:hint="eastAsia"/>
                <w:kern w:val="0"/>
                <w:szCs w:val="21"/>
              </w:rPr>
              <w:t>交付</w:t>
            </w:r>
          </w:p>
        </w:tc>
        <w:tc>
          <w:tcPr>
            <w:tcW w:w="686" w:type="dxa"/>
            <w:shd w:val="clear" w:color="auto" w:fill="auto"/>
            <w:noWrap/>
            <w:vAlign w:val="center"/>
          </w:tcPr>
          <w:p w14:paraId="267229CD"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04BA707F"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7F7A7580"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17FAA6A4"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05D78DB7"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3964586F"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auto"/>
            <w:noWrap/>
            <w:vAlign w:val="center"/>
          </w:tcPr>
          <w:p w14:paraId="59A16194"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DBDBDB" w:themeFill="accent3" w:themeFillTint="66"/>
            <w:noWrap/>
            <w:vAlign w:val="center"/>
          </w:tcPr>
          <w:p w14:paraId="1F296101"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DBDBDB" w:themeFill="accent3" w:themeFillTint="66"/>
            <w:noWrap/>
            <w:vAlign w:val="center"/>
          </w:tcPr>
          <w:p w14:paraId="117B2EF8" w14:textId="77777777" w:rsidR="00602898" w:rsidRPr="004865EF" w:rsidRDefault="00602898" w:rsidP="00602898">
            <w:pPr>
              <w:widowControl/>
              <w:jc w:val="left"/>
              <w:rPr>
                <w:rFonts w:ascii="楷体" w:eastAsia="楷体" w:hAnsi="楷体" w:cs="Times New Roman"/>
                <w:b/>
                <w:kern w:val="0"/>
                <w:szCs w:val="21"/>
              </w:rPr>
            </w:pPr>
          </w:p>
        </w:tc>
        <w:tc>
          <w:tcPr>
            <w:tcW w:w="623" w:type="dxa"/>
            <w:shd w:val="clear" w:color="auto" w:fill="DBDBDB" w:themeFill="accent3" w:themeFillTint="66"/>
            <w:noWrap/>
            <w:vAlign w:val="center"/>
          </w:tcPr>
          <w:p w14:paraId="3DC59E23" w14:textId="77777777" w:rsidR="00602898" w:rsidRPr="004865EF" w:rsidRDefault="00602898" w:rsidP="00602898">
            <w:pPr>
              <w:widowControl/>
              <w:jc w:val="left"/>
              <w:rPr>
                <w:rFonts w:ascii="楷体" w:eastAsia="楷体" w:hAnsi="楷体" w:cs="Times New Roman"/>
                <w:b/>
                <w:kern w:val="0"/>
                <w:szCs w:val="21"/>
              </w:rPr>
            </w:pPr>
          </w:p>
        </w:tc>
        <w:tc>
          <w:tcPr>
            <w:tcW w:w="598" w:type="dxa"/>
            <w:shd w:val="clear" w:color="auto" w:fill="DBDBDB" w:themeFill="accent3" w:themeFillTint="66"/>
          </w:tcPr>
          <w:p w14:paraId="61506779" w14:textId="77777777" w:rsidR="00602898" w:rsidRPr="004865EF" w:rsidRDefault="00602898" w:rsidP="00602898">
            <w:pPr>
              <w:widowControl/>
              <w:jc w:val="left"/>
              <w:rPr>
                <w:rFonts w:ascii="Times New Roman" w:eastAsia="宋体" w:hAnsi="Times New Roman" w:cs="Times New Roman"/>
                <w:kern w:val="0"/>
                <w:szCs w:val="21"/>
              </w:rPr>
            </w:pPr>
          </w:p>
        </w:tc>
        <w:tc>
          <w:tcPr>
            <w:tcW w:w="567" w:type="dxa"/>
            <w:shd w:val="clear" w:color="auto" w:fill="DBDBDB" w:themeFill="accent3" w:themeFillTint="66"/>
          </w:tcPr>
          <w:p w14:paraId="649E8717" w14:textId="77777777" w:rsidR="00602898" w:rsidRPr="004865EF" w:rsidRDefault="00602898" w:rsidP="00602898">
            <w:pPr>
              <w:widowControl/>
              <w:jc w:val="left"/>
              <w:rPr>
                <w:rFonts w:ascii="Times New Roman" w:eastAsia="宋体" w:hAnsi="Times New Roman" w:cs="Times New Roman"/>
                <w:kern w:val="0"/>
                <w:szCs w:val="21"/>
              </w:rPr>
            </w:pPr>
          </w:p>
        </w:tc>
      </w:tr>
    </w:tbl>
    <w:p w14:paraId="5830F4F4" w14:textId="79F9B249" w:rsidR="00F3011E" w:rsidRPr="004865EF" w:rsidRDefault="00F3011E" w:rsidP="00DF319D">
      <w:pPr>
        <w:rPr>
          <w:rFonts w:ascii="Times New Roman" w:eastAsia="宋体" w:hAnsi="Times New Roman" w:cs="Times New Roman"/>
        </w:rPr>
      </w:pPr>
      <w:r w:rsidRPr="004865EF">
        <w:rPr>
          <w:rFonts w:ascii="Times New Roman" w:eastAsia="宋体" w:hAnsi="Times New Roman" w:cs="Times New Roman" w:hint="eastAsia"/>
        </w:rPr>
        <w:t>注：</w:t>
      </w:r>
      <w:r w:rsidR="00D2638F" w:rsidRPr="004865EF">
        <w:rPr>
          <w:rFonts w:ascii="Times New Roman" w:eastAsia="宋体" w:hAnsi="Times New Roman" w:cs="Times New Roman" w:hint="eastAsia"/>
        </w:rPr>
        <w:t>运营</w:t>
      </w:r>
      <w:proofErr w:type="gramStart"/>
      <w:r w:rsidR="00D2638F" w:rsidRPr="004865EF">
        <w:rPr>
          <w:rFonts w:ascii="Times New Roman" w:eastAsia="宋体" w:hAnsi="Times New Roman" w:cs="Times New Roman" w:hint="eastAsia"/>
        </w:rPr>
        <w:t>交付指</w:t>
      </w:r>
      <w:proofErr w:type="gramEnd"/>
      <w:r w:rsidR="00D2638F" w:rsidRPr="004865EF">
        <w:rPr>
          <w:rFonts w:ascii="Times New Roman" w:eastAsia="宋体" w:hAnsi="Times New Roman" w:cs="Times New Roman" w:hint="eastAsia"/>
        </w:rPr>
        <w:t>机柜经安装调试完毕后交付客户使用，从开始实现销售至全部销售完毕为止</w:t>
      </w:r>
      <w:r w:rsidRPr="004865EF">
        <w:rPr>
          <w:rFonts w:ascii="Times New Roman" w:eastAsia="宋体" w:hAnsi="Times New Roman" w:cs="Times New Roman" w:hint="eastAsia"/>
        </w:rPr>
        <w:t>。</w:t>
      </w:r>
    </w:p>
    <w:p w14:paraId="1D4A7F26" w14:textId="28085FD3" w:rsidR="00A354CE" w:rsidRPr="004865EF" w:rsidRDefault="00EF1E13" w:rsidP="00095D57">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根据工业和信息化部发布的《关于数据中心建设布局的指导意见》，</w:t>
      </w:r>
      <w:r w:rsidR="003A34A9" w:rsidRPr="004865EF">
        <w:rPr>
          <w:rFonts w:ascii="Times New Roman" w:eastAsia="宋体" w:hAnsi="Times New Roman" w:cs="Times New Roman" w:hint="eastAsia"/>
          <w:sz w:val="24"/>
        </w:rPr>
        <w:t>超大型数据中心标准机架数量≥</w:t>
      </w:r>
      <w:r w:rsidR="003A34A9" w:rsidRPr="004865EF">
        <w:rPr>
          <w:rFonts w:ascii="Times New Roman" w:eastAsia="宋体" w:hAnsi="Times New Roman" w:cs="Times New Roman"/>
          <w:sz w:val="24"/>
        </w:rPr>
        <w:t>10,000</w:t>
      </w:r>
      <w:r w:rsidR="003A34A9" w:rsidRPr="004865EF">
        <w:rPr>
          <w:rFonts w:ascii="Times New Roman" w:eastAsia="宋体" w:hAnsi="Times New Roman" w:cs="Times New Roman" w:hint="eastAsia"/>
          <w:sz w:val="24"/>
        </w:rPr>
        <w:t>个，大型数据中心标准机架数量为</w:t>
      </w:r>
      <w:r w:rsidR="003A34A9" w:rsidRPr="004865EF">
        <w:rPr>
          <w:rFonts w:ascii="Times New Roman" w:eastAsia="宋体" w:hAnsi="Times New Roman" w:cs="Times New Roman"/>
          <w:sz w:val="24"/>
        </w:rPr>
        <w:t>3,000-10,000</w:t>
      </w:r>
      <w:r w:rsidR="003A34A9" w:rsidRPr="004865EF">
        <w:rPr>
          <w:rFonts w:ascii="Times New Roman" w:eastAsia="宋体" w:hAnsi="Times New Roman" w:cs="Times New Roman" w:hint="eastAsia"/>
          <w:sz w:val="24"/>
        </w:rPr>
        <w:t>个，中小型数据中心标准机架数量</w:t>
      </w:r>
      <w:r w:rsidR="00095D57" w:rsidRPr="004865EF">
        <w:rPr>
          <w:rFonts w:ascii="Times New Roman" w:eastAsia="宋体" w:hAnsi="Times New Roman" w:cs="Times New Roman" w:hint="eastAsia"/>
          <w:sz w:val="24"/>
        </w:rPr>
        <w:t>＜</w:t>
      </w:r>
      <w:r w:rsidR="003A34A9" w:rsidRPr="004865EF">
        <w:rPr>
          <w:rFonts w:ascii="Times New Roman" w:eastAsia="宋体" w:hAnsi="Times New Roman" w:cs="Times New Roman"/>
          <w:sz w:val="24"/>
        </w:rPr>
        <w:t>3,000</w:t>
      </w:r>
      <w:r w:rsidR="003A34A9" w:rsidRPr="004865EF">
        <w:rPr>
          <w:rFonts w:ascii="Times New Roman" w:eastAsia="宋体" w:hAnsi="Times New Roman" w:cs="Times New Roman" w:hint="eastAsia"/>
          <w:sz w:val="24"/>
        </w:rPr>
        <w:t>个（标准机架为换算单位，以功率</w:t>
      </w:r>
      <w:r w:rsidR="003A34A9" w:rsidRPr="004865EF">
        <w:rPr>
          <w:rFonts w:ascii="Times New Roman" w:eastAsia="宋体" w:hAnsi="Times New Roman" w:cs="Times New Roman"/>
          <w:sz w:val="24"/>
        </w:rPr>
        <w:t>2.5</w:t>
      </w:r>
      <w:r w:rsidR="003A34A9" w:rsidRPr="004865EF">
        <w:rPr>
          <w:rFonts w:ascii="Times New Roman" w:eastAsia="宋体" w:hAnsi="Times New Roman" w:cs="Times New Roman" w:hint="eastAsia"/>
          <w:sz w:val="24"/>
        </w:rPr>
        <w:t>千瓦为一个标准机架）。</w:t>
      </w:r>
      <w:r w:rsidR="00095D57" w:rsidRPr="004865EF">
        <w:rPr>
          <w:rFonts w:ascii="Times New Roman" w:eastAsia="宋体" w:hAnsi="Times New Roman" w:cs="Times New Roman" w:hint="eastAsia"/>
          <w:sz w:val="24"/>
        </w:rPr>
        <w:t>本次</w:t>
      </w:r>
      <w:proofErr w:type="gramStart"/>
      <w:r w:rsidR="003A34A9" w:rsidRPr="004865EF">
        <w:rPr>
          <w:rFonts w:ascii="Times New Roman" w:eastAsia="宋体" w:hAnsi="Times New Roman" w:cs="Times New Roman" w:hint="eastAsia"/>
          <w:sz w:val="24"/>
        </w:rPr>
        <w:t>募投项目</w:t>
      </w:r>
      <w:proofErr w:type="gramEnd"/>
      <w:r w:rsidR="00095D57" w:rsidRPr="004865EF">
        <w:rPr>
          <w:rFonts w:ascii="Times New Roman" w:eastAsia="宋体" w:hAnsi="Times New Roman" w:cs="Times New Roman" w:hint="eastAsia"/>
          <w:sz w:val="24"/>
        </w:rPr>
        <w:t>规划全部为高功率机柜（≥</w:t>
      </w:r>
      <w:r w:rsidR="00095D57" w:rsidRPr="004865EF">
        <w:rPr>
          <w:rFonts w:ascii="Times New Roman" w:eastAsia="宋体" w:hAnsi="Times New Roman" w:cs="Times New Roman"/>
          <w:sz w:val="24"/>
        </w:rPr>
        <w:t>5KVA</w:t>
      </w:r>
      <w:r w:rsidR="00095D57" w:rsidRPr="004865EF">
        <w:rPr>
          <w:rFonts w:ascii="Times New Roman" w:eastAsia="宋体" w:hAnsi="Times New Roman" w:cs="Times New Roman" w:hint="eastAsia"/>
          <w:sz w:val="24"/>
        </w:rPr>
        <w:t>），单个数据中心建设</w:t>
      </w:r>
      <w:r w:rsidR="003A34A9" w:rsidRPr="004865EF">
        <w:rPr>
          <w:rFonts w:ascii="Times New Roman" w:eastAsia="宋体" w:hAnsi="Times New Roman" w:cs="Times New Roman" w:hint="eastAsia"/>
          <w:sz w:val="24"/>
        </w:rPr>
        <w:t>数量</w:t>
      </w:r>
      <w:r w:rsidR="00095D57" w:rsidRPr="004865EF">
        <w:rPr>
          <w:rFonts w:ascii="Times New Roman" w:eastAsia="宋体" w:hAnsi="Times New Roman" w:cs="Times New Roman" w:hint="eastAsia"/>
          <w:sz w:val="24"/>
        </w:rPr>
        <w:t>均</w:t>
      </w:r>
      <w:r w:rsidR="003A34A9" w:rsidRPr="004865EF">
        <w:rPr>
          <w:rFonts w:ascii="Times New Roman" w:eastAsia="宋体" w:hAnsi="Times New Roman" w:cs="Times New Roman" w:hint="eastAsia"/>
          <w:sz w:val="24"/>
        </w:rPr>
        <w:t>在</w:t>
      </w:r>
      <w:r w:rsidR="003A34A9" w:rsidRPr="004865EF">
        <w:rPr>
          <w:rFonts w:ascii="Times New Roman" w:eastAsia="宋体" w:hAnsi="Times New Roman" w:cs="Times New Roman"/>
          <w:sz w:val="24"/>
        </w:rPr>
        <w:t>5,000</w:t>
      </w:r>
      <w:r w:rsidR="003A34A9" w:rsidRPr="004865EF">
        <w:rPr>
          <w:rFonts w:ascii="Times New Roman" w:eastAsia="宋体" w:hAnsi="Times New Roman" w:cs="Times New Roman" w:hint="eastAsia"/>
          <w:sz w:val="24"/>
        </w:rPr>
        <w:t>个</w:t>
      </w:r>
      <w:r w:rsidR="00095D57" w:rsidRPr="004865EF">
        <w:rPr>
          <w:rFonts w:ascii="Times New Roman" w:eastAsia="宋体" w:hAnsi="Times New Roman" w:cs="Times New Roman" w:hint="eastAsia"/>
          <w:sz w:val="24"/>
        </w:rPr>
        <w:t>以上，投资总额分别为</w:t>
      </w:r>
      <w:r w:rsidR="00095D57" w:rsidRPr="004865EF">
        <w:rPr>
          <w:rFonts w:ascii="Times New Roman" w:eastAsia="宋体" w:hAnsi="Times New Roman" w:cs="Times New Roman"/>
          <w:sz w:val="24"/>
        </w:rPr>
        <w:t>12.21</w:t>
      </w:r>
      <w:r w:rsidR="00095D57" w:rsidRPr="004865EF">
        <w:rPr>
          <w:rFonts w:ascii="Times New Roman" w:eastAsia="宋体" w:hAnsi="Times New Roman" w:cs="Times New Roman" w:hint="eastAsia"/>
          <w:sz w:val="24"/>
        </w:rPr>
        <w:t>亿元、</w:t>
      </w:r>
      <w:r w:rsidR="00095D57" w:rsidRPr="004865EF">
        <w:rPr>
          <w:rFonts w:ascii="Times New Roman" w:eastAsia="宋体" w:hAnsi="Times New Roman" w:cs="Times New Roman"/>
          <w:sz w:val="24"/>
        </w:rPr>
        <w:t>13.00</w:t>
      </w:r>
      <w:r w:rsidR="00095D57" w:rsidRPr="004865EF">
        <w:rPr>
          <w:rFonts w:ascii="Times New Roman" w:eastAsia="宋体" w:hAnsi="Times New Roman" w:cs="Times New Roman" w:hint="eastAsia"/>
          <w:sz w:val="24"/>
        </w:rPr>
        <w:t>亿元、</w:t>
      </w:r>
      <w:r w:rsidR="00095D57" w:rsidRPr="004865EF">
        <w:rPr>
          <w:rFonts w:ascii="Times New Roman" w:eastAsia="宋体" w:hAnsi="Times New Roman" w:cs="Times New Roman"/>
          <w:sz w:val="24"/>
        </w:rPr>
        <w:t>29.86</w:t>
      </w:r>
      <w:r w:rsidR="00095D57" w:rsidRPr="004865EF">
        <w:rPr>
          <w:rFonts w:ascii="Times New Roman" w:eastAsia="宋体" w:hAnsi="Times New Roman" w:cs="Times New Roman" w:hint="eastAsia"/>
          <w:sz w:val="24"/>
        </w:rPr>
        <w:t>亿元和</w:t>
      </w:r>
      <w:r w:rsidR="00095D57" w:rsidRPr="004865EF">
        <w:rPr>
          <w:rFonts w:ascii="Times New Roman" w:eastAsia="宋体" w:hAnsi="Times New Roman" w:cs="Times New Roman"/>
          <w:sz w:val="24"/>
        </w:rPr>
        <w:t>34.64</w:t>
      </w:r>
      <w:r w:rsidR="00095D57" w:rsidRPr="004865EF">
        <w:rPr>
          <w:rFonts w:ascii="Times New Roman" w:eastAsia="宋体" w:hAnsi="Times New Roman" w:cs="Times New Roman" w:hint="eastAsia"/>
          <w:sz w:val="24"/>
        </w:rPr>
        <w:t>亿元，属于超大型数据中心建设项目，因此</w:t>
      </w:r>
      <w:r w:rsidR="00A354CE" w:rsidRPr="004865EF">
        <w:rPr>
          <w:rFonts w:ascii="Times New Roman" w:eastAsia="宋体" w:hAnsi="Times New Roman" w:cs="Times New Roman" w:hint="eastAsia"/>
          <w:sz w:val="24"/>
        </w:rPr>
        <w:t>与同行业上市公</w:t>
      </w:r>
      <w:r w:rsidR="00A354CE" w:rsidRPr="004865EF">
        <w:rPr>
          <w:rFonts w:ascii="Times New Roman" w:eastAsia="宋体" w:hAnsi="Times New Roman" w:cs="Times New Roman" w:hint="eastAsia"/>
          <w:sz w:val="24"/>
        </w:rPr>
        <w:lastRenderedPageBreak/>
        <w:t>司中小型数据中心项目相比，</w:t>
      </w:r>
      <w:r w:rsidR="00095D57" w:rsidRPr="004865EF">
        <w:rPr>
          <w:rFonts w:ascii="Times New Roman" w:eastAsia="宋体" w:hAnsi="Times New Roman" w:cs="Times New Roman" w:hint="eastAsia"/>
          <w:sz w:val="24"/>
        </w:rPr>
        <w:t>建设</w:t>
      </w:r>
      <w:r w:rsidR="00A354CE" w:rsidRPr="004865EF">
        <w:rPr>
          <w:rFonts w:ascii="Times New Roman" w:eastAsia="宋体" w:hAnsi="Times New Roman" w:cs="Times New Roman" w:hint="eastAsia"/>
          <w:sz w:val="24"/>
        </w:rPr>
        <w:t>、运营及回收</w:t>
      </w:r>
      <w:r w:rsidR="00095D57" w:rsidRPr="004865EF">
        <w:rPr>
          <w:rFonts w:ascii="Times New Roman" w:eastAsia="宋体" w:hAnsi="Times New Roman" w:cs="Times New Roman" w:hint="eastAsia"/>
          <w:sz w:val="24"/>
        </w:rPr>
        <w:t>周期</w:t>
      </w:r>
      <w:r w:rsidR="00A354CE" w:rsidRPr="004865EF">
        <w:rPr>
          <w:rFonts w:ascii="Times New Roman" w:eastAsia="宋体" w:hAnsi="Times New Roman" w:cs="Times New Roman" w:hint="eastAsia"/>
          <w:sz w:val="24"/>
        </w:rPr>
        <w:t>均较长。</w:t>
      </w:r>
    </w:p>
    <w:p w14:paraId="7FEFE5F3" w14:textId="2004B06A" w:rsidR="00207D66" w:rsidRPr="004865EF" w:rsidRDefault="00A354CE" w:rsidP="00095D57">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发行人作为零售型为主的</w:t>
      </w:r>
      <w:r w:rsidRPr="004865EF">
        <w:rPr>
          <w:rFonts w:ascii="Times New Roman" w:eastAsia="宋体" w:hAnsi="Times New Roman" w:cs="Times New Roman"/>
          <w:sz w:val="24"/>
        </w:rPr>
        <w:t>IDC</w:t>
      </w:r>
      <w:r w:rsidR="00971978" w:rsidRPr="004865EF">
        <w:rPr>
          <w:rFonts w:ascii="Times New Roman" w:eastAsia="宋体" w:hAnsi="Times New Roman" w:cs="Times New Roman" w:hint="eastAsia"/>
          <w:sz w:val="24"/>
        </w:rPr>
        <w:t>厂商，为</w:t>
      </w:r>
      <w:r w:rsidRPr="004865EF">
        <w:rPr>
          <w:rFonts w:ascii="Times New Roman" w:eastAsia="宋体" w:hAnsi="Times New Roman" w:cs="Times New Roman" w:hint="eastAsia"/>
          <w:sz w:val="24"/>
        </w:rPr>
        <w:t>客户提供机房定制化服务，与批发型</w:t>
      </w:r>
      <w:r w:rsidRPr="004865EF">
        <w:rPr>
          <w:rFonts w:ascii="Times New Roman" w:eastAsia="宋体" w:hAnsi="Times New Roman" w:cs="Times New Roman"/>
          <w:sz w:val="24"/>
        </w:rPr>
        <w:t>IDC</w:t>
      </w:r>
      <w:r w:rsidR="00971978" w:rsidRPr="004865EF">
        <w:rPr>
          <w:rFonts w:ascii="Times New Roman" w:eastAsia="宋体" w:hAnsi="Times New Roman" w:cs="Times New Roman" w:hint="eastAsia"/>
          <w:sz w:val="24"/>
        </w:rPr>
        <w:t>的定制开发建设存在较大差异。数据中心建设包括建筑物、电力</w:t>
      </w:r>
      <w:r w:rsidRPr="004865EF">
        <w:rPr>
          <w:rFonts w:ascii="Times New Roman" w:eastAsia="宋体" w:hAnsi="Times New Roman" w:cs="Times New Roman" w:hint="eastAsia"/>
          <w:sz w:val="24"/>
        </w:rPr>
        <w:t>、空调、消防、监控、网络安全等</w:t>
      </w:r>
      <w:r w:rsidR="00971978" w:rsidRPr="004865EF">
        <w:rPr>
          <w:rFonts w:ascii="Times New Roman" w:eastAsia="宋体" w:hAnsi="Times New Roman" w:cs="Times New Roman" w:hint="eastAsia"/>
          <w:sz w:val="24"/>
        </w:rPr>
        <w:t>系统，其中厂房、高压外线、制冷站、发电机组</w:t>
      </w:r>
      <w:r w:rsidR="00621617" w:rsidRPr="004865EF">
        <w:rPr>
          <w:rFonts w:ascii="Times New Roman" w:eastAsia="宋体" w:hAnsi="Times New Roman" w:cs="Times New Roman" w:hint="eastAsia"/>
          <w:sz w:val="24"/>
        </w:rPr>
        <w:t>等属于</w:t>
      </w:r>
      <w:r w:rsidRPr="004865EF">
        <w:rPr>
          <w:rFonts w:ascii="Times New Roman" w:eastAsia="宋体" w:hAnsi="Times New Roman" w:cs="Times New Roman" w:hint="eastAsia"/>
          <w:sz w:val="24"/>
        </w:rPr>
        <w:t>机房共同使用</w:t>
      </w:r>
      <w:r w:rsidR="00971978" w:rsidRPr="004865EF">
        <w:rPr>
          <w:rFonts w:ascii="Times New Roman" w:eastAsia="宋体" w:hAnsi="Times New Roman" w:cs="Times New Roman" w:hint="eastAsia"/>
          <w:sz w:val="24"/>
        </w:rPr>
        <w:t>设施；其余内部设施</w:t>
      </w:r>
      <w:r w:rsidRPr="004865EF">
        <w:rPr>
          <w:rFonts w:ascii="Times New Roman" w:eastAsia="宋体" w:hAnsi="Times New Roman" w:cs="Times New Roman" w:hint="eastAsia"/>
          <w:sz w:val="24"/>
        </w:rPr>
        <w:t>由签约的零售客户（对某层、某区域机房）提出</w:t>
      </w:r>
      <w:r w:rsidR="00971978" w:rsidRPr="004865EF">
        <w:rPr>
          <w:rFonts w:ascii="Times New Roman" w:eastAsia="宋体" w:hAnsi="Times New Roman" w:cs="Times New Roman" w:hint="eastAsia"/>
          <w:sz w:val="24"/>
        </w:rPr>
        <w:t>定制化、差异化需求，由发行人</w:t>
      </w:r>
      <w:r w:rsidRPr="004865EF">
        <w:rPr>
          <w:rFonts w:ascii="Times New Roman" w:eastAsia="宋体" w:hAnsi="Times New Roman" w:cs="Times New Roman" w:hint="eastAsia"/>
          <w:sz w:val="24"/>
        </w:rPr>
        <w:t>提供数据中心内部的模块化装修改造。</w:t>
      </w:r>
    </w:p>
    <w:p w14:paraId="6533A4FA" w14:textId="51A4DDDD" w:rsidR="00602898" w:rsidRPr="004865EF" w:rsidRDefault="00207D66" w:rsidP="00095D57">
      <w:pPr>
        <w:spacing w:beforeLines="50" w:before="156" w:afterLines="50" w:after="156" w:line="360" w:lineRule="auto"/>
        <w:ind w:firstLineChars="200" w:firstLine="480"/>
        <w:rPr>
          <w:rFonts w:ascii="Times New Roman" w:eastAsia="宋体" w:hAnsi="Times New Roman" w:cs="Times New Roman"/>
          <w:sz w:val="24"/>
        </w:rPr>
        <w:sectPr w:rsidR="00602898" w:rsidRPr="004865EF" w:rsidSect="00B97782">
          <w:footerReference w:type="even" r:id="rId11"/>
          <w:footerReference w:type="default" r:id="rId12"/>
          <w:pgSz w:w="11906" w:h="16838"/>
          <w:pgMar w:top="1440" w:right="1800" w:bottom="1440" w:left="1800" w:header="851" w:footer="992" w:gutter="0"/>
          <w:pgNumType w:start="1"/>
          <w:cols w:space="425"/>
          <w:docGrid w:type="lines" w:linePitch="312"/>
        </w:sectPr>
      </w:pPr>
      <w:r w:rsidRPr="004865EF">
        <w:rPr>
          <w:rFonts w:ascii="Times New Roman" w:eastAsia="宋体" w:hAnsi="Times New Roman" w:cs="Times New Roman" w:hint="eastAsia"/>
          <w:sz w:val="24"/>
        </w:rPr>
        <w:t>为提高资金的使用效率，发行人先行投资建设公用设施模块，再根据机柜销售实际签约情况，精准把控机房内部设施的模块化建设和投产进度，</w:t>
      </w:r>
      <w:r w:rsidR="00A411A1" w:rsidRPr="004865EF">
        <w:rPr>
          <w:rFonts w:ascii="Times New Roman" w:eastAsia="宋体" w:hAnsi="Times New Roman" w:cs="Times New Roman" w:hint="eastAsia"/>
          <w:sz w:val="24"/>
        </w:rPr>
        <w:t>降低</w:t>
      </w:r>
      <w:r w:rsidRPr="004865EF">
        <w:rPr>
          <w:rFonts w:ascii="Times New Roman" w:eastAsia="宋体" w:hAnsi="Times New Roman" w:cs="Times New Roman" w:hint="eastAsia"/>
          <w:sz w:val="24"/>
        </w:rPr>
        <w:t>机柜空置对公司利润的影响。因此，</w:t>
      </w:r>
      <w:r w:rsidR="00971978" w:rsidRPr="004865EF">
        <w:rPr>
          <w:rFonts w:ascii="Times New Roman" w:eastAsia="宋体" w:hAnsi="Times New Roman" w:cs="Times New Roman" w:hint="eastAsia"/>
          <w:sz w:val="24"/>
        </w:rPr>
        <w:t>本次四个</w:t>
      </w:r>
      <w:proofErr w:type="gramStart"/>
      <w:r w:rsidR="00971978" w:rsidRPr="004865EF">
        <w:rPr>
          <w:rFonts w:ascii="Times New Roman" w:eastAsia="宋体" w:hAnsi="Times New Roman" w:cs="Times New Roman" w:hint="eastAsia"/>
          <w:sz w:val="24"/>
        </w:rPr>
        <w:t>募投项目</w:t>
      </w:r>
      <w:proofErr w:type="gramEnd"/>
      <w:r w:rsidRPr="004865EF">
        <w:rPr>
          <w:rFonts w:ascii="Times New Roman" w:eastAsia="宋体" w:hAnsi="Times New Roman" w:cs="Times New Roman" w:hint="eastAsia"/>
          <w:sz w:val="24"/>
        </w:rPr>
        <w:t>的</w:t>
      </w:r>
      <w:r w:rsidR="00971978" w:rsidRPr="004865EF">
        <w:rPr>
          <w:rFonts w:ascii="Times New Roman" w:eastAsia="宋体" w:hAnsi="Times New Roman" w:cs="Times New Roman" w:hint="eastAsia"/>
          <w:sz w:val="24"/>
        </w:rPr>
        <w:t>机电、网络</w:t>
      </w:r>
      <w:r w:rsidRPr="004865EF">
        <w:rPr>
          <w:rFonts w:ascii="Times New Roman" w:eastAsia="宋体" w:hAnsi="Times New Roman" w:cs="Times New Roman" w:hint="eastAsia"/>
          <w:sz w:val="24"/>
        </w:rPr>
        <w:t>建设和试运营的周期长，主要为匹配数据中心销售进度，避免投资资金沉淀。</w:t>
      </w:r>
    </w:p>
    <w:p w14:paraId="094CE749" w14:textId="1288F208"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lastRenderedPageBreak/>
        <w:t>2</w:t>
      </w:r>
      <w:r w:rsidRPr="004865EF">
        <w:rPr>
          <w:rFonts w:ascii="Times New Roman" w:eastAsia="宋体" w:hAnsi="Times New Roman" w:cs="Times New Roman"/>
          <w:sz w:val="24"/>
        </w:rPr>
        <w:t>、</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资金使用安排</w:t>
      </w:r>
    </w:p>
    <w:p w14:paraId="2AB9D614" w14:textId="36568772" w:rsidR="00BF6C7E" w:rsidRPr="004865EF" w:rsidRDefault="00BF6C7E" w:rsidP="00E87AF9">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本次</w:t>
      </w:r>
      <w:proofErr w:type="gramStart"/>
      <w:r w:rsidRPr="004865EF">
        <w:rPr>
          <w:rFonts w:ascii="Times New Roman" w:eastAsia="宋体" w:hAnsi="Times New Roman" w:cs="Times New Roman" w:hint="eastAsia"/>
          <w:sz w:val="24"/>
        </w:rPr>
        <w:t>募投项目</w:t>
      </w:r>
      <w:proofErr w:type="gramEnd"/>
      <w:r w:rsidRPr="004865EF">
        <w:rPr>
          <w:rFonts w:ascii="Times New Roman" w:eastAsia="宋体" w:hAnsi="Times New Roman" w:cs="Times New Roman" w:hint="eastAsia"/>
          <w:sz w:val="24"/>
        </w:rPr>
        <w:t>的</w:t>
      </w:r>
      <w:r w:rsidRPr="004865EF">
        <w:rPr>
          <w:rFonts w:ascii="Times New Roman" w:eastAsia="宋体" w:hAnsi="Times New Roman" w:cs="Times New Roman"/>
          <w:sz w:val="24"/>
        </w:rPr>
        <w:t>资金使用进度安排</w:t>
      </w:r>
      <w:r w:rsidRPr="004865EF">
        <w:rPr>
          <w:rFonts w:ascii="Times New Roman" w:eastAsia="宋体" w:hAnsi="Times New Roman" w:cs="Times New Roman" w:hint="eastAsia"/>
          <w:sz w:val="24"/>
        </w:rPr>
        <w:t>如下：</w:t>
      </w:r>
    </w:p>
    <w:p w14:paraId="6651948A" w14:textId="77777777" w:rsidR="00602898" w:rsidRPr="004865EF" w:rsidRDefault="00602898" w:rsidP="00E87AF9">
      <w:pPr>
        <w:spacing w:beforeLines="50" w:before="156" w:afterLines="50" w:after="156" w:line="360" w:lineRule="auto"/>
        <w:ind w:firstLineChars="200" w:firstLine="420"/>
        <w:jc w:val="right"/>
        <w:rPr>
          <w:rFonts w:ascii="Times New Roman" w:eastAsia="宋体" w:hAnsi="Times New Roman" w:cs="Times New Roman"/>
        </w:rPr>
      </w:pPr>
      <w:r w:rsidRPr="004865EF">
        <w:rPr>
          <w:rFonts w:ascii="Times New Roman" w:eastAsia="宋体" w:hAnsi="Times New Roman" w:cs="Times New Roman" w:hint="eastAsia"/>
        </w:rPr>
        <w:t>单位：万元</w:t>
      </w:r>
    </w:p>
    <w:tbl>
      <w:tblPr>
        <w:tblW w:w="13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89"/>
        <w:gridCol w:w="1357"/>
        <w:gridCol w:w="1336"/>
        <w:gridCol w:w="1276"/>
        <w:gridCol w:w="1275"/>
        <w:gridCol w:w="1276"/>
        <w:gridCol w:w="1276"/>
        <w:gridCol w:w="1417"/>
        <w:gridCol w:w="1334"/>
        <w:gridCol w:w="1307"/>
      </w:tblGrid>
      <w:tr w:rsidR="004865EF" w:rsidRPr="004865EF" w14:paraId="3A7E47D6" w14:textId="77777777" w:rsidTr="00602898">
        <w:trPr>
          <w:trHeight w:val="397"/>
        </w:trPr>
        <w:tc>
          <w:tcPr>
            <w:tcW w:w="638" w:type="dxa"/>
            <w:vMerge w:val="restart"/>
            <w:shd w:val="clear" w:color="auto" w:fill="auto"/>
            <w:noWrap/>
            <w:vAlign w:val="center"/>
            <w:hideMark/>
          </w:tcPr>
          <w:p w14:paraId="62BC54BD"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b/>
                <w:kern w:val="0"/>
                <w:szCs w:val="21"/>
              </w:rPr>
              <w:t>序号</w:t>
            </w:r>
          </w:p>
        </w:tc>
        <w:tc>
          <w:tcPr>
            <w:tcW w:w="1489" w:type="dxa"/>
            <w:vMerge w:val="restart"/>
            <w:shd w:val="clear" w:color="auto" w:fill="auto"/>
            <w:noWrap/>
            <w:vAlign w:val="center"/>
            <w:hideMark/>
          </w:tcPr>
          <w:p w14:paraId="6E0BB1FF"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b/>
                <w:kern w:val="0"/>
                <w:szCs w:val="21"/>
              </w:rPr>
              <w:t>项目名称</w:t>
            </w:r>
          </w:p>
        </w:tc>
        <w:tc>
          <w:tcPr>
            <w:tcW w:w="1357" w:type="dxa"/>
            <w:vMerge w:val="restart"/>
            <w:shd w:val="clear" w:color="auto" w:fill="auto"/>
            <w:noWrap/>
            <w:vAlign w:val="center"/>
            <w:hideMark/>
          </w:tcPr>
          <w:p w14:paraId="51B86D96"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b/>
                <w:kern w:val="0"/>
                <w:szCs w:val="21"/>
              </w:rPr>
              <w:t>投资总额</w:t>
            </w:r>
          </w:p>
        </w:tc>
        <w:tc>
          <w:tcPr>
            <w:tcW w:w="1336" w:type="dxa"/>
            <w:vMerge w:val="restart"/>
            <w:shd w:val="clear" w:color="auto" w:fill="auto"/>
            <w:noWrap/>
            <w:vAlign w:val="center"/>
            <w:hideMark/>
          </w:tcPr>
          <w:p w14:paraId="2B50E73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b/>
                <w:kern w:val="0"/>
                <w:szCs w:val="21"/>
              </w:rPr>
              <w:t>董事会日前已投入</w:t>
            </w:r>
          </w:p>
        </w:tc>
        <w:tc>
          <w:tcPr>
            <w:tcW w:w="6520" w:type="dxa"/>
            <w:gridSpan w:val="5"/>
            <w:shd w:val="clear" w:color="auto" w:fill="auto"/>
            <w:noWrap/>
            <w:vAlign w:val="center"/>
            <w:hideMark/>
          </w:tcPr>
          <w:p w14:paraId="59C1F227"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b/>
                <w:kern w:val="0"/>
                <w:szCs w:val="21"/>
              </w:rPr>
              <w:t>后续资金投入安排</w:t>
            </w:r>
          </w:p>
        </w:tc>
        <w:tc>
          <w:tcPr>
            <w:tcW w:w="1334" w:type="dxa"/>
            <w:vMerge w:val="restart"/>
            <w:shd w:val="clear" w:color="auto" w:fill="auto"/>
            <w:vAlign w:val="center"/>
            <w:hideMark/>
          </w:tcPr>
          <w:p w14:paraId="0073BA95"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b/>
                <w:kern w:val="0"/>
                <w:szCs w:val="21"/>
              </w:rPr>
              <w:t>募集资金拟投资金额</w:t>
            </w:r>
          </w:p>
        </w:tc>
        <w:tc>
          <w:tcPr>
            <w:tcW w:w="1307" w:type="dxa"/>
            <w:vMerge w:val="restart"/>
            <w:shd w:val="clear" w:color="auto" w:fill="auto"/>
            <w:noWrap/>
            <w:vAlign w:val="center"/>
            <w:hideMark/>
          </w:tcPr>
          <w:p w14:paraId="72C995A1"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是否包含董事会日前已投入资金</w:t>
            </w:r>
          </w:p>
        </w:tc>
      </w:tr>
      <w:tr w:rsidR="004865EF" w:rsidRPr="004865EF" w14:paraId="6AD44BC6" w14:textId="77777777" w:rsidTr="00602898">
        <w:trPr>
          <w:trHeight w:val="397"/>
        </w:trPr>
        <w:tc>
          <w:tcPr>
            <w:tcW w:w="638" w:type="dxa"/>
            <w:vMerge/>
            <w:vAlign w:val="center"/>
            <w:hideMark/>
          </w:tcPr>
          <w:p w14:paraId="1996B5D6" w14:textId="77777777" w:rsidR="00602898" w:rsidRPr="004865EF" w:rsidRDefault="00602898" w:rsidP="00602898">
            <w:pPr>
              <w:widowControl/>
              <w:jc w:val="center"/>
              <w:rPr>
                <w:rFonts w:ascii="楷体" w:eastAsia="楷体" w:hAnsi="楷体" w:cs="Times New Roman"/>
                <w:b/>
                <w:kern w:val="0"/>
                <w:szCs w:val="21"/>
              </w:rPr>
            </w:pPr>
          </w:p>
        </w:tc>
        <w:tc>
          <w:tcPr>
            <w:tcW w:w="1489" w:type="dxa"/>
            <w:vMerge/>
            <w:vAlign w:val="center"/>
            <w:hideMark/>
          </w:tcPr>
          <w:p w14:paraId="45CA8518" w14:textId="77777777" w:rsidR="00602898" w:rsidRPr="004865EF" w:rsidRDefault="00602898" w:rsidP="00602898">
            <w:pPr>
              <w:widowControl/>
              <w:jc w:val="center"/>
              <w:rPr>
                <w:rFonts w:ascii="楷体" w:eastAsia="楷体" w:hAnsi="楷体" w:cs="Times New Roman"/>
                <w:b/>
                <w:kern w:val="0"/>
                <w:szCs w:val="21"/>
              </w:rPr>
            </w:pPr>
          </w:p>
        </w:tc>
        <w:tc>
          <w:tcPr>
            <w:tcW w:w="1357" w:type="dxa"/>
            <w:vMerge/>
            <w:vAlign w:val="center"/>
            <w:hideMark/>
          </w:tcPr>
          <w:p w14:paraId="0560C5F6" w14:textId="77777777" w:rsidR="00602898" w:rsidRPr="004865EF" w:rsidRDefault="00602898" w:rsidP="00602898">
            <w:pPr>
              <w:widowControl/>
              <w:jc w:val="center"/>
              <w:rPr>
                <w:rFonts w:ascii="楷体" w:eastAsia="楷体" w:hAnsi="楷体" w:cs="Times New Roman"/>
                <w:b/>
                <w:kern w:val="0"/>
                <w:szCs w:val="21"/>
              </w:rPr>
            </w:pPr>
          </w:p>
        </w:tc>
        <w:tc>
          <w:tcPr>
            <w:tcW w:w="1336" w:type="dxa"/>
            <w:vMerge/>
            <w:vAlign w:val="center"/>
            <w:hideMark/>
          </w:tcPr>
          <w:p w14:paraId="6C97127B" w14:textId="77777777" w:rsidR="00602898" w:rsidRPr="004865EF" w:rsidRDefault="00602898" w:rsidP="00602898">
            <w:pPr>
              <w:widowControl/>
              <w:jc w:val="center"/>
              <w:rPr>
                <w:rFonts w:ascii="Times New Roman" w:eastAsia="宋体" w:hAnsi="Times New Roman" w:cs="Times New Roman"/>
                <w:kern w:val="0"/>
                <w:szCs w:val="21"/>
              </w:rPr>
            </w:pPr>
          </w:p>
        </w:tc>
        <w:tc>
          <w:tcPr>
            <w:tcW w:w="1276" w:type="dxa"/>
            <w:shd w:val="clear" w:color="auto" w:fill="auto"/>
            <w:noWrap/>
            <w:vAlign w:val="center"/>
            <w:hideMark/>
          </w:tcPr>
          <w:p w14:paraId="7AACE7A6"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b/>
                <w:kern w:val="0"/>
                <w:szCs w:val="21"/>
              </w:rPr>
              <w:t>2020</w:t>
            </w:r>
            <w:r w:rsidRPr="004865EF">
              <w:rPr>
                <w:rFonts w:ascii="Times New Roman" w:eastAsia="宋体" w:hAnsi="Times New Roman" w:cs="Times New Roman" w:hint="eastAsia"/>
                <w:b/>
                <w:kern w:val="0"/>
                <w:szCs w:val="21"/>
              </w:rPr>
              <w:t>年</w:t>
            </w:r>
          </w:p>
        </w:tc>
        <w:tc>
          <w:tcPr>
            <w:tcW w:w="1275" w:type="dxa"/>
            <w:shd w:val="clear" w:color="auto" w:fill="auto"/>
            <w:noWrap/>
            <w:vAlign w:val="center"/>
            <w:hideMark/>
          </w:tcPr>
          <w:p w14:paraId="563FCBF5"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b/>
                <w:kern w:val="0"/>
                <w:szCs w:val="21"/>
              </w:rPr>
              <w:t>2021</w:t>
            </w:r>
            <w:r w:rsidRPr="004865EF">
              <w:rPr>
                <w:rFonts w:ascii="Times New Roman" w:eastAsia="宋体" w:hAnsi="Times New Roman" w:cs="Times New Roman" w:hint="eastAsia"/>
                <w:b/>
                <w:kern w:val="0"/>
                <w:szCs w:val="21"/>
              </w:rPr>
              <w:t>年</w:t>
            </w:r>
          </w:p>
        </w:tc>
        <w:tc>
          <w:tcPr>
            <w:tcW w:w="1276" w:type="dxa"/>
            <w:shd w:val="clear" w:color="auto" w:fill="auto"/>
            <w:noWrap/>
            <w:vAlign w:val="center"/>
            <w:hideMark/>
          </w:tcPr>
          <w:p w14:paraId="68804B32"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b/>
                <w:kern w:val="0"/>
                <w:szCs w:val="21"/>
              </w:rPr>
              <w:t>2022</w:t>
            </w:r>
            <w:r w:rsidRPr="004865EF">
              <w:rPr>
                <w:rFonts w:ascii="Times New Roman" w:eastAsia="宋体" w:hAnsi="Times New Roman" w:cs="Times New Roman" w:hint="eastAsia"/>
                <w:b/>
                <w:kern w:val="0"/>
                <w:szCs w:val="21"/>
              </w:rPr>
              <w:t>年</w:t>
            </w:r>
          </w:p>
        </w:tc>
        <w:tc>
          <w:tcPr>
            <w:tcW w:w="1276" w:type="dxa"/>
            <w:shd w:val="clear" w:color="auto" w:fill="auto"/>
            <w:noWrap/>
            <w:vAlign w:val="center"/>
            <w:hideMark/>
          </w:tcPr>
          <w:p w14:paraId="1CD1AB2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b/>
                <w:kern w:val="0"/>
                <w:szCs w:val="21"/>
              </w:rPr>
              <w:t>2023</w:t>
            </w:r>
            <w:r w:rsidRPr="004865EF">
              <w:rPr>
                <w:rFonts w:ascii="Times New Roman" w:eastAsia="宋体" w:hAnsi="Times New Roman" w:cs="Times New Roman" w:hint="eastAsia"/>
                <w:b/>
                <w:kern w:val="0"/>
                <w:szCs w:val="21"/>
              </w:rPr>
              <w:t>年</w:t>
            </w:r>
          </w:p>
        </w:tc>
        <w:tc>
          <w:tcPr>
            <w:tcW w:w="1417" w:type="dxa"/>
            <w:shd w:val="clear" w:color="auto" w:fill="auto"/>
            <w:noWrap/>
            <w:vAlign w:val="center"/>
            <w:hideMark/>
          </w:tcPr>
          <w:p w14:paraId="32A0103F" w14:textId="77777777" w:rsidR="00602898" w:rsidRPr="004865EF" w:rsidRDefault="00602898" w:rsidP="00602898">
            <w:pPr>
              <w:widowControl/>
              <w:jc w:val="center"/>
              <w:rPr>
                <w:rFonts w:ascii="楷体" w:eastAsia="楷体" w:hAnsi="楷体" w:cs="Times New Roman"/>
                <w:b/>
                <w:kern w:val="0"/>
                <w:szCs w:val="21"/>
              </w:rPr>
            </w:pPr>
            <w:r w:rsidRPr="004865EF">
              <w:rPr>
                <w:rFonts w:ascii="Times New Roman" w:eastAsia="宋体" w:hAnsi="Times New Roman" w:cs="Times New Roman" w:hint="eastAsia"/>
                <w:b/>
                <w:kern w:val="0"/>
                <w:szCs w:val="21"/>
              </w:rPr>
              <w:t>合计</w:t>
            </w:r>
          </w:p>
        </w:tc>
        <w:tc>
          <w:tcPr>
            <w:tcW w:w="1334" w:type="dxa"/>
            <w:vMerge/>
            <w:vAlign w:val="center"/>
            <w:hideMark/>
          </w:tcPr>
          <w:p w14:paraId="419C1E3F" w14:textId="77777777" w:rsidR="00602898" w:rsidRPr="004865EF" w:rsidRDefault="00602898" w:rsidP="00602898">
            <w:pPr>
              <w:widowControl/>
              <w:jc w:val="right"/>
              <w:rPr>
                <w:rFonts w:ascii="Times New Roman" w:eastAsia="宋体" w:hAnsi="Times New Roman" w:cs="Times New Roman"/>
                <w:kern w:val="0"/>
                <w:szCs w:val="21"/>
              </w:rPr>
            </w:pPr>
          </w:p>
        </w:tc>
        <w:tc>
          <w:tcPr>
            <w:tcW w:w="1307" w:type="dxa"/>
            <w:vMerge/>
            <w:vAlign w:val="center"/>
            <w:hideMark/>
          </w:tcPr>
          <w:p w14:paraId="1D413D2B" w14:textId="77777777" w:rsidR="00602898" w:rsidRPr="004865EF" w:rsidRDefault="00602898" w:rsidP="00602898">
            <w:pPr>
              <w:widowControl/>
              <w:jc w:val="right"/>
              <w:rPr>
                <w:rFonts w:ascii="Times New Roman" w:eastAsia="宋体" w:hAnsi="Times New Roman" w:cs="Times New Roman"/>
                <w:kern w:val="0"/>
                <w:szCs w:val="21"/>
              </w:rPr>
            </w:pPr>
          </w:p>
        </w:tc>
      </w:tr>
      <w:tr w:rsidR="004865EF" w:rsidRPr="004865EF" w14:paraId="32A321B0" w14:textId="77777777" w:rsidTr="00602898">
        <w:trPr>
          <w:trHeight w:val="397"/>
        </w:trPr>
        <w:tc>
          <w:tcPr>
            <w:tcW w:w="638" w:type="dxa"/>
            <w:shd w:val="clear" w:color="auto" w:fill="auto"/>
            <w:noWrap/>
            <w:vAlign w:val="center"/>
            <w:hideMark/>
          </w:tcPr>
          <w:p w14:paraId="6D6BCAC3"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w:t>
            </w:r>
          </w:p>
        </w:tc>
        <w:tc>
          <w:tcPr>
            <w:tcW w:w="1489" w:type="dxa"/>
            <w:shd w:val="clear" w:color="auto" w:fill="auto"/>
            <w:noWrap/>
            <w:vAlign w:val="center"/>
            <w:hideMark/>
          </w:tcPr>
          <w:p w14:paraId="5B4E80F7"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房山二期</w:t>
            </w:r>
          </w:p>
        </w:tc>
        <w:tc>
          <w:tcPr>
            <w:tcW w:w="1357" w:type="dxa"/>
            <w:shd w:val="clear" w:color="auto" w:fill="auto"/>
            <w:noWrap/>
            <w:vAlign w:val="center"/>
            <w:hideMark/>
          </w:tcPr>
          <w:p w14:paraId="6DB673BF"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122,090.28</w:t>
            </w:r>
          </w:p>
        </w:tc>
        <w:tc>
          <w:tcPr>
            <w:tcW w:w="1336" w:type="dxa"/>
            <w:shd w:val="clear" w:color="auto" w:fill="auto"/>
            <w:noWrap/>
            <w:vAlign w:val="center"/>
            <w:hideMark/>
          </w:tcPr>
          <w:p w14:paraId="0B83556F"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17,347.68</w:t>
            </w:r>
          </w:p>
        </w:tc>
        <w:tc>
          <w:tcPr>
            <w:tcW w:w="1276" w:type="dxa"/>
            <w:shd w:val="clear" w:color="auto" w:fill="auto"/>
            <w:noWrap/>
            <w:vAlign w:val="center"/>
            <w:hideMark/>
          </w:tcPr>
          <w:p w14:paraId="48713E25"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56,443.23</w:t>
            </w:r>
          </w:p>
        </w:tc>
        <w:tc>
          <w:tcPr>
            <w:tcW w:w="1275" w:type="dxa"/>
            <w:shd w:val="clear" w:color="auto" w:fill="auto"/>
            <w:noWrap/>
            <w:vAlign w:val="center"/>
            <w:hideMark/>
          </w:tcPr>
          <w:p w14:paraId="3B69DB7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48,299.81</w:t>
            </w:r>
          </w:p>
        </w:tc>
        <w:tc>
          <w:tcPr>
            <w:tcW w:w="1276" w:type="dxa"/>
            <w:shd w:val="clear" w:color="auto" w:fill="auto"/>
            <w:noWrap/>
            <w:vAlign w:val="center"/>
            <w:hideMark/>
          </w:tcPr>
          <w:p w14:paraId="6715761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276" w:type="dxa"/>
            <w:shd w:val="clear" w:color="auto" w:fill="auto"/>
            <w:noWrap/>
            <w:vAlign w:val="center"/>
            <w:hideMark/>
          </w:tcPr>
          <w:p w14:paraId="3D61297A"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417" w:type="dxa"/>
            <w:shd w:val="clear" w:color="auto" w:fill="auto"/>
            <w:noWrap/>
            <w:vAlign w:val="center"/>
            <w:hideMark/>
          </w:tcPr>
          <w:p w14:paraId="5380F93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104,743.04</w:t>
            </w:r>
          </w:p>
        </w:tc>
        <w:tc>
          <w:tcPr>
            <w:tcW w:w="1334" w:type="dxa"/>
            <w:shd w:val="clear" w:color="auto" w:fill="auto"/>
            <w:noWrap/>
            <w:vAlign w:val="center"/>
            <w:hideMark/>
          </w:tcPr>
          <w:p w14:paraId="15E5D9A0"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90,000.00</w:t>
            </w:r>
          </w:p>
        </w:tc>
        <w:tc>
          <w:tcPr>
            <w:tcW w:w="1307" w:type="dxa"/>
            <w:shd w:val="clear" w:color="auto" w:fill="auto"/>
            <w:noWrap/>
            <w:vAlign w:val="center"/>
            <w:hideMark/>
          </w:tcPr>
          <w:p w14:paraId="2DDA8167"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否</w:t>
            </w:r>
          </w:p>
        </w:tc>
      </w:tr>
      <w:tr w:rsidR="004865EF" w:rsidRPr="004865EF" w14:paraId="53885769" w14:textId="77777777" w:rsidTr="00602898">
        <w:trPr>
          <w:trHeight w:val="397"/>
        </w:trPr>
        <w:tc>
          <w:tcPr>
            <w:tcW w:w="638" w:type="dxa"/>
            <w:shd w:val="clear" w:color="auto" w:fill="auto"/>
            <w:noWrap/>
            <w:vAlign w:val="center"/>
            <w:hideMark/>
          </w:tcPr>
          <w:p w14:paraId="37502B8A"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2</w:t>
            </w:r>
          </w:p>
        </w:tc>
        <w:tc>
          <w:tcPr>
            <w:tcW w:w="1489" w:type="dxa"/>
            <w:shd w:val="clear" w:color="auto" w:fill="auto"/>
            <w:noWrap/>
            <w:vAlign w:val="center"/>
            <w:hideMark/>
          </w:tcPr>
          <w:p w14:paraId="19A3155E"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嘉定二期</w:t>
            </w:r>
          </w:p>
        </w:tc>
        <w:tc>
          <w:tcPr>
            <w:tcW w:w="1357" w:type="dxa"/>
            <w:shd w:val="clear" w:color="auto" w:fill="auto"/>
            <w:noWrap/>
            <w:vAlign w:val="center"/>
            <w:hideMark/>
          </w:tcPr>
          <w:p w14:paraId="20776E86"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130,000.00</w:t>
            </w:r>
          </w:p>
        </w:tc>
        <w:tc>
          <w:tcPr>
            <w:tcW w:w="1336" w:type="dxa"/>
            <w:shd w:val="clear" w:color="auto" w:fill="auto"/>
            <w:noWrap/>
            <w:vAlign w:val="center"/>
            <w:hideMark/>
          </w:tcPr>
          <w:p w14:paraId="20D7C713"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14,546.50</w:t>
            </w:r>
          </w:p>
        </w:tc>
        <w:tc>
          <w:tcPr>
            <w:tcW w:w="1276" w:type="dxa"/>
            <w:shd w:val="clear" w:color="auto" w:fill="auto"/>
            <w:noWrap/>
            <w:vAlign w:val="center"/>
            <w:hideMark/>
          </w:tcPr>
          <w:p w14:paraId="10FCE6D1"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35,362.20</w:t>
            </w:r>
          </w:p>
        </w:tc>
        <w:tc>
          <w:tcPr>
            <w:tcW w:w="1275" w:type="dxa"/>
            <w:shd w:val="clear" w:color="auto" w:fill="auto"/>
            <w:noWrap/>
            <w:vAlign w:val="center"/>
            <w:hideMark/>
          </w:tcPr>
          <w:p w14:paraId="512F9B45"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80,091.30</w:t>
            </w:r>
          </w:p>
        </w:tc>
        <w:tc>
          <w:tcPr>
            <w:tcW w:w="1276" w:type="dxa"/>
            <w:shd w:val="clear" w:color="auto" w:fill="auto"/>
            <w:noWrap/>
            <w:vAlign w:val="center"/>
            <w:hideMark/>
          </w:tcPr>
          <w:p w14:paraId="2A647A83"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276" w:type="dxa"/>
            <w:shd w:val="clear" w:color="auto" w:fill="auto"/>
            <w:noWrap/>
            <w:vAlign w:val="center"/>
            <w:hideMark/>
          </w:tcPr>
          <w:p w14:paraId="6BBCC243"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1417" w:type="dxa"/>
            <w:shd w:val="clear" w:color="auto" w:fill="auto"/>
            <w:noWrap/>
            <w:vAlign w:val="center"/>
            <w:hideMark/>
          </w:tcPr>
          <w:p w14:paraId="437579E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115,453.50</w:t>
            </w:r>
          </w:p>
        </w:tc>
        <w:tc>
          <w:tcPr>
            <w:tcW w:w="1334" w:type="dxa"/>
            <w:shd w:val="clear" w:color="auto" w:fill="auto"/>
            <w:noWrap/>
            <w:vAlign w:val="center"/>
            <w:hideMark/>
          </w:tcPr>
          <w:p w14:paraId="0CD26C9C"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90,000.00</w:t>
            </w:r>
          </w:p>
        </w:tc>
        <w:tc>
          <w:tcPr>
            <w:tcW w:w="1307" w:type="dxa"/>
            <w:shd w:val="clear" w:color="auto" w:fill="auto"/>
            <w:noWrap/>
            <w:vAlign w:val="center"/>
            <w:hideMark/>
          </w:tcPr>
          <w:p w14:paraId="7F9D6067"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否</w:t>
            </w:r>
          </w:p>
        </w:tc>
      </w:tr>
      <w:tr w:rsidR="004865EF" w:rsidRPr="004865EF" w14:paraId="69A53D8C" w14:textId="77777777" w:rsidTr="00602898">
        <w:trPr>
          <w:trHeight w:val="397"/>
        </w:trPr>
        <w:tc>
          <w:tcPr>
            <w:tcW w:w="638" w:type="dxa"/>
            <w:shd w:val="clear" w:color="auto" w:fill="auto"/>
            <w:noWrap/>
            <w:vAlign w:val="center"/>
            <w:hideMark/>
          </w:tcPr>
          <w:p w14:paraId="308E4B0F"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3</w:t>
            </w:r>
          </w:p>
        </w:tc>
        <w:tc>
          <w:tcPr>
            <w:tcW w:w="1489" w:type="dxa"/>
            <w:shd w:val="clear" w:color="auto" w:fill="auto"/>
            <w:noWrap/>
            <w:vAlign w:val="center"/>
            <w:hideMark/>
          </w:tcPr>
          <w:p w14:paraId="5DE25836"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燕郊三四期</w:t>
            </w:r>
          </w:p>
        </w:tc>
        <w:tc>
          <w:tcPr>
            <w:tcW w:w="1357" w:type="dxa"/>
            <w:shd w:val="clear" w:color="auto" w:fill="auto"/>
            <w:noWrap/>
            <w:vAlign w:val="center"/>
            <w:hideMark/>
          </w:tcPr>
          <w:p w14:paraId="4F5F00AF"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298,600.00</w:t>
            </w:r>
          </w:p>
        </w:tc>
        <w:tc>
          <w:tcPr>
            <w:tcW w:w="1336" w:type="dxa"/>
            <w:shd w:val="clear" w:color="auto" w:fill="auto"/>
            <w:noWrap/>
            <w:vAlign w:val="center"/>
            <w:hideMark/>
          </w:tcPr>
          <w:p w14:paraId="0AAA171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28,198.94</w:t>
            </w:r>
          </w:p>
        </w:tc>
        <w:tc>
          <w:tcPr>
            <w:tcW w:w="1276" w:type="dxa"/>
            <w:shd w:val="clear" w:color="auto" w:fill="auto"/>
            <w:noWrap/>
            <w:vAlign w:val="center"/>
            <w:hideMark/>
          </w:tcPr>
          <w:p w14:paraId="3A4474D8"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19,971.60</w:t>
            </w:r>
          </w:p>
        </w:tc>
        <w:tc>
          <w:tcPr>
            <w:tcW w:w="1275" w:type="dxa"/>
            <w:shd w:val="clear" w:color="auto" w:fill="auto"/>
            <w:noWrap/>
            <w:vAlign w:val="center"/>
            <w:hideMark/>
          </w:tcPr>
          <w:p w14:paraId="6F4351BE"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85,825.64</w:t>
            </w:r>
          </w:p>
        </w:tc>
        <w:tc>
          <w:tcPr>
            <w:tcW w:w="1276" w:type="dxa"/>
            <w:shd w:val="clear" w:color="auto" w:fill="auto"/>
            <w:noWrap/>
            <w:vAlign w:val="center"/>
            <w:hideMark/>
          </w:tcPr>
          <w:p w14:paraId="04A3C69C"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109,902.55</w:t>
            </w:r>
          </w:p>
        </w:tc>
        <w:tc>
          <w:tcPr>
            <w:tcW w:w="1276" w:type="dxa"/>
            <w:shd w:val="clear" w:color="auto" w:fill="auto"/>
            <w:noWrap/>
            <w:vAlign w:val="center"/>
            <w:hideMark/>
          </w:tcPr>
          <w:p w14:paraId="1A070765"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54,701.27</w:t>
            </w:r>
          </w:p>
        </w:tc>
        <w:tc>
          <w:tcPr>
            <w:tcW w:w="1417" w:type="dxa"/>
            <w:shd w:val="clear" w:color="auto" w:fill="auto"/>
            <w:noWrap/>
            <w:vAlign w:val="center"/>
            <w:hideMark/>
          </w:tcPr>
          <w:p w14:paraId="1AB3746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270,401.06</w:t>
            </w:r>
          </w:p>
        </w:tc>
        <w:tc>
          <w:tcPr>
            <w:tcW w:w="1334" w:type="dxa"/>
            <w:shd w:val="clear" w:color="auto" w:fill="auto"/>
            <w:noWrap/>
            <w:vAlign w:val="center"/>
            <w:hideMark/>
          </w:tcPr>
          <w:p w14:paraId="71863F0E"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152,000.00</w:t>
            </w:r>
          </w:p>
        </w:tc>
        <w:tc>
          <w:tcPr>
            <w:tcW w:w="1307" w:type="dxa"/>
            <w:shd w:val="clear" w:color="auto" w:fill="auto"/>
            <w:noWrap/>
            <w:vAlign w:val="center"/>
            <w:hideMark/>
          </w:tcPr>
          <w:p w14:paraId="462DE48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否</w:t>
            </w:r>
          </w:p>
        </w:tc>
      </w:tr>
      <w:tr w:rsidR="004865EF" w:rsidRPr="004865EF" w14:paraId="4C39B355" w14:textId="77777777" w:rsidTr="00602898">
        <w:trPr>
          <w:trHeight w:val="397"/>
        </w:trPr>
        <w:tc>
          <w:tcPr>
            <w:tcW w:w="638" w:type="dxa"/>
            <w:shd w:val="clear" w:color="auto" w:fill="auto"/>
            <w:noWrap/>
            <w:vAlign w:val="center"/>
            <w:hideMark/>
          </w:tcPr>
          <w:p w14:paraId="033725A4"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w:t>
            </w:r>
          </w:p>
        </w:tc>
        <w:tc>
          <w:tcPr>
            <w:tcW w:w="1489" w:type="dxa"/>
            <w:shd w:val="clear" w:color="auto" w:fill="auto"/>
            <w:noWrap/>
            <w:vAlign w:val="center"/>
            <w:hideMark/>
          </w:tcPr>
          <w:p w14:paraId="75ABA8C4" w14:textId="77777777" w:rsidR="00602898" w:rsidRPr="004865EF" w:rsidRDefault="00602898" w:rsidP="00602898">
            <w:pPr>
              <w:widowControl/>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长沙一期</w:t>
            </w:r>
          </w:p>
        </w:tc>
        <w:tc>
          <w:tcPr>
            <w:tcW w:w="1357" w:type="dxa"/>
            <w:shd w:val="clear" w:color="auto" w:fill="auto"/>
            <w:noWrap/>
            <w:vAlign w:val="center"/>
            <w:hideMark/>
          </w:tcPr>
          <w:p w14:paraId="55765D24"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346,380.00</w:t>
            </w:r>
          </w:p>
        </w:tc>
        <w:tc>
          <w:tcPr>
            <w:tcW w:w="1336" w:type="dxa"/>
            <w:shd w:val="clear" w:color="auto" w:fill="auto"/>
            <w:noWrap/>
            <w:vAlign w:val="center"/>
            <w:hideMark/>
          </w:tcPr>
          <w:p w14:paraId="38E01B1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7,078.60</w:t>
            </w:r>
          </w:p>
        </w:tc>
        <w:tc>
          <w:tcPr>
            <w:tcW w:w="1276" w:type="dxa"/>
            <w:shd w:val="clear" w:color="auto" w:fill="auto"/>
            <w:noWrap/>
            <w:vAlign w:val="center"/>
            <w:hideMark/>
          </w:tcPr>
          <w:p w14:paraId="087C72F0"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500.00</w:t>
            </w:r>
          </w:p>
        </w:tc>
        <w:tc>
          <w:tcPr>
            <w:tcW w:w="1275" w:type="dxa"/>
            <w:shd w:val="clear" w:color="auto" w:fill="auto"/>
            <w:noWrap/>
            <w:vAlign w:val="center"/>
            <w:hideMark/>
          </w:tcPr>
          <w:p w14:paraId="29522766"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108,920.65</w:t>
            </w:r>
          </w:p>
        </w:tc>
        <w:tc>
          <w:tcPr>
            <w:tcW w:w="1276" w:type="dxa"/>
            <w:shd w:val="clear" w:color="auto" w:fill="auto"/>
            <w:noWrap/>
            <w:vAlign w:val="center"/>
            <w:hideMark/>
          </w:tcPr>
          <w:p w14:paraId="4FBE2F1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169,151.31</w:t>
            </w:r>
          </w:p>
        </w:tc>
        <w:tc>
          <w:tcPr>
            <w:tcW w:w="1276" w:type="dxa"/>
            <w:shd w:val="clear" w:color="auto" w:fill="auto"/>
            <w:noWrap/>
            <w:vAlign w:val="center"/>
            <w:hideMark/>
          </w:tcPr>
          <w:p w14:paraId="4E21B104"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60,730.65</w:t>
            </w:r>
          </w:p>
        </w:tc>
        <w:tc>
          <w:tcPr>
            <w:tcW w:w="1417" w:type="dxa"/>
            <w:shd w:val="clear" w:color="auto" w:fill="auto"/>
            <w:noWrap/>
            <w:vAlign w:val="center"/>
            <w:hideMark/>
          </w:tcPr>
          <w:p w14:paraId="7D90C59C"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339,302.61</w:t>
            </w:r>
          </w:p>
        </w:tc>
        <w:tc>
          <w:tcPr>
            <w:tcW w:w="1334" w:type="dxa"/>
            <w:shd w:val="clear" w:color="auto" w:fill="auto"/>
            <w:noWrap/>
            <w:vAlign w:val="center"/>
            <w:hideMark/>
          </w:tcPr>
          <w:p w14:paraId="35F9E5BD"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40,000.00</w:t>
            </w:r>
          </w:p>
        </w:tc>
        <w:tc>
          <w:tcPr>
            <w:tcW w:w="1307" w:type="dxa"/>
            <w:shd w:val="clear" w:color="auto" w:fill="auto"/>
            <w:noWrap/>
            <w:vAlign w:val="center"/>
            <w:hideMark/>
          </w:tcPr>
          <w:p w14:paraId="4EEF4512"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否</w:t>
            </w:r>
          </w:p>
        </w:tc>
      </w:tr>
      <w:tr w:rsidR="004865EF" w:rsidRPr="004865EF" w14:paraId="0DB00755" w14:textId="77777777" w:rsidTr="00602898">
        <w:trPr>
          <w:trHeight w:val="397"/>
        </w:trPr>
        <w:tc>
          <w:tcPr>
            <w:tcW w:w="2127" w:type="dxa"/>
            <w:gridSpan w:val="2"/>
            <w:shd w:val="clear" w:color="auto" w:fill="auto"/>
            <w:noWrap/>
            <w:vAlign w:val="center"/>
            <w:hideMark/>
          </w:tcPr>
          <w:p w14:paraId="5CA19E04"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合计</w:t>
            </w:r>
          </w:p>
        </w:tc>
        <w:tc>
          <w:tcPr>
            <w:tcW w:w="1357" w:type="dxa"/>
            <w:shd w:val="clear" w:color="auto" w:fill="auto"/>
            <w:noWrap/>
            <w:vAlign w:val="center"/>
            <w:hideMark/>
          </w:tcPr>
          <w:p w14:paraId="3F37ED00"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897,070.28</w:t>
            </w:r>
          </w:p>
        </w:tc>
        <w:tc>
          <w:tcPr>
            <w:tcW w:w="1336" w:type="dxa"/>
            <w:shd w:val="clear" w:color="auto" w:fill="auto"/>
            <w:noWrap/>
            <w:vAlign w:val="center"/>
            <w:hideMark/>
          </w:tcPr>
          <w:p w14:paraId="5F8BE1E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67,171.72</w:t>
            </w:r>
          </w:p>
        </w:tc>
        <w:tc>
          <w:tcPr>
            <w:tcW w:w="1276" w:type="dxa"/>
            <w:shd w:val="clear" w:color="auto" w:fill="auto"/>
            <w:noWrap/>
            <w:vAlign w:val="center"/>
            <w:hideMark/>
          </w:tcPr>
          <w:p w14:paraId="14665102"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112,277.03</w:t>
            </w:r>
          </w:p>
        </w:tc>
        <w:tc>
          <w:tcPr>
            <w:tcW w:w="1275" w:type="dxa"/>
            <w:shd w:val="clear" w:color="auto" w:fill="auto"/>
            <w:noWrap/>
            <w:vAlign w:val="center"/>
            <w:hideMark/>
          </w:tcPr>
          <w:p w14:paraId="343E7765"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323,137.41</w:t>
            </w:r>
          </w:p>
        </w:tc>
        <w:tc>
          <w:tcPr>
            <w:tcW w:w="1276" w:type="dxa"/>
            <w:shd w:val="clear" w:color="auto" w:fill="auto"/>
            <w:noWrap/>
            <w:vAlign w:val="center"/>
            <w:hideMark/>
          </w:tcPr>
          <w:p w14:paraId="5B7723F9"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279,053.85</w:t>
            </w:r>
          </w:p>
        </w:tc>
        <w:tc>
          <w:tcPr>
            <w:tcW w:w="1276" w:type="dxa"/>
            <w:shd w:val="clear" w:color="auto" w:fill="auto"/>
            <w:noWrap/>
            <w:vAlign w:val="center"/>
            <w:hideMark/>
          </w:tcPr>
          <w:p w14:paraId="04ABEFD6"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115,431.93</w:t>
            </w:r>
          </w:p>
        </w:tc>
        <w:tc>
          <w:tcPr>
            <w:tcW w:w="1417" w:type="dxa"/>
            <w:shd w:val="clear" w:color="auto" w:fill="auto"/>
            <w:noWrap/>
            <w:vAlign w:val="center"/>
            <w:hideMark/>
          </w:tcPr>
          <w:p w14:paraId="531C9931"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829,900.21</w:t>
            </w:r>
          </w:p>
        </w:tc>
        <w:tc>
          <w:tcPr>
            <w:tcW w:w="1334" w:type="dxa"/>
            <w:shd w:val="clear" w:color="auto" w:fill="auto"/>
            <w:noWrap/>
            <w:vAlign w:val="center"/>
            <w:hideMark/>
          </w:tcPr>
          <w:p w14:paraId="0B2DCC57" w14:textId="77777777" w:rsidR="00602898" w:rsidRPr="004865EF" w:rsidRDefault="00602898" w:rsidP="00602898">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372,000.00</w:t>
            </w:r>
          </w:p>
        </w:tc>
        <w:tc>
          <w:tcPr>
            <w:tcW w:w="1307" w:type="dxa"/>
            <w:shd w:val="clear" w:color="auto" w:fill="auto"/>
            <w:noWrap/>
            <w:vAlign w:val="center"/>
            <w:hideMark/>
          </w:tcPr>
          <w:p w14:paraId="7704C96B" w14:textId="77777777" w:rsidR="00602898" w:rsidRPr="004865EF" w:rsidRDefault="00602898" w:rsidP="00602898">
            <w:pPr>
              <w:widowControl/>
              <w:jc w:val="right"/>
              <w:rPr>
                <w:rFonts w:ascii="Times New Roman" w:eastAsia="宋体" w:hAnsi="Times New Roman" w:cs="Times New Roman"/>
                <w:kern w:val="0"/>
                <w:szCs w:val="21"/>
              </w:rPr>
            </w:pPr>
          </w:p>
        </w:tc>
      </w:tr>
    </w:tbl>
    <w:p w14:paraId="35160C4A" w14:textId="77777777" w:rsidR="00C857AC" w:rsidRPr="004865EF" w:rsidRDefault="00602898" w:rsidP="00E87AF9">
      <w:pPr>
        <w:spacing w:beforeLines="50" w:before="156" w:afterLines="50" w:after="156" w:line="360" w:lineRule="auto"/>
        <w:ind w:firstLineChars="200" w:firstLine="480"/>
        <w:rPr>
          <w:rFonts w:ascii="Times New Roman" w:eastAsia="宋体" w:hAnsi="Times New Roman" w:cs="Times New Roman"/>
          <w:sz w:val="24"/>
        </w:rPr>
        <w:sectPr w:rsidR="00C857AC" w:rsidRPr="004865EF" w:rsidSect="00602898">
          <w:pgSz w:w="16838" w:h="11906" w:orient="landscape"/>
          <w:pgMar w:top="1800" w:right="1440" w:bottom="1800" w:left="1440" w:header="851" w:footer="992" w:gutter="0"/>
          <w:cols w:space="425"/>
          <w:docGrid w:type="lines" w:linePitch="312"/>
        </w:sectPr>
      </w:pPr>
      <w:r w:rsidRPr="004865EF">
        <w:rPr>
          <w:rFonts w:ascii="Times New Roman" w:eastAsia="宋体" w:hAnsi="Times New Roman" w:cs="Times New Roman" w:hint="eastAsia"/>
          <w:sz w:val="24"/>
        </w:rPr>
        <w:t>如上表所示，本次</w:t>
      </w:r>
      <w:proofErr w:type="gramStart"/>
      <w:r w:rsidRPr="004865EF">
        <w:rPr>
          <w:rFonts w:ascii="Times New Roman" w:eastAsia="宋体" w:hAnsi="Times New Roman" w:cs="Times New Roman" w:hint="eastAsia"/>
          <w:sz w:val="24"/>
        </w:rPr>
        <w:t>募投项目</w:t>
      </w:r>
      <w:proofErr w:type="gramEnd"/>
      <w:r w:rsidRPr="004865EF">
        <w:rPr>
          <w:rFonts w:ascii="Times New Roman" w:eastAsia="宋体" w:hAnsi="Times New Roman" w:cs="Times New Roman" w:hint="eastAsia"/>
          <w:sz w:val="24"/>
        </w:rPr>
        <w:t>后续资金投入安排均高于募集资金拟投资额度，本次募集资金未包含董事会决议日前已投入资金。</w:t>
      </w:r>
    </w:p>
    <w:p w14:paraId="29E24681" w14:textId="07FE8A4E" w:rsidR="00602898" w:rsidRPr="004865EF" w:rsidRDefault="00602898" w:rsidP="00A66425">
      <w:pPr>
        <w:pStyle w:val="2"/>
        <w:spacing w:before="156" w:after="156"/>
      </w:pPr>
      <w:r w:rsidRPr="004865EF">
        <w:rPr>
          <w:rFonts w:hint="eastAsia"/>
        </w:rPr>
        <w:lastRenderedPageBreak/>
        <w:t>四、</w:t>
      </w:r>
      <w:r w:rsidRPr="004865EF">
        <w:t>请以平实易懂的语言说明本次</w:t>
      </w:r>
      <w:proofErr w:type="gramStart"/>
      <w:r w:rsidRPr="004865EF">
        <w:t>募投项目</w:t>
      </w:r>
      <w:proofErr w:type="gramEnd"/>
      <w:r w:rsidRPr="004865EF">
        <w:t>的具体应用场景及盈利模式，公司是否具备与本次</w:t>
      </w:r>
      <w:proofErr w:type="gramStart"/>
      <w:r w:rsidRPr="004865EF">
        <w:t>募投项目</w:t>
      </w:r>
      <w:proofErr w:type="gramEnd"/>
      <w:r w:rsidRPr="004865EF">
        <w:t>相关的技术储备、人员储备和市场拓展能力等，项目实施是否存在重大不确定性风险</w:t>
      </w:r>
    </w:p>
    <w:p w14:paraId="68B7919C" w14:textId="77777777"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1</w:t>
      </w:r>
      <w:r w:rsidRPr="004865EF">
        <w:rPr>
          <w:rFonts w:ascii="Times New Roman" w:eastAsia="宋体" w:hAnsi="Times New Roman" w:cs="Times New Roman"/>
          <w:sz w:val="24"/>
        </w:rPr>
        <w:t>、</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的应用场景及盈利模式</w:t>
      </w:r>
    </w:p>
    <w:p w14:paraId="655A0A33" w14:textId="77777777"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本次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除补充流动资金外，均为在北京、上海、长沙及周边等地区新建数据中心，用以扩充发行人在</w:t>
      </w:r>
      <w:proofErr w:type="gramStart"/>
      <w:r w:rsidRPr="004865EF">
        <w:rPr>
          <w:rFonts w:ascii="Times New Roman" w:eastAsia="宋体" w:hAnsi="Times New Roman" w:cs="Times New Roman"/>
          <w:sz w:val="24"/>
        </w:rPr>
        <w:t>一</w:t>
      </w:r>
      <w:proofErr w:type="gramEnd"/>
      <w:r w:rsidRPr="004865EF">
        <w:rPr>
          <w:rFonts w:ascii="Times New Roman" w:eastAsia="宋体" w:hAnsi="Times New Roman" w:cs="Times New Roman"/>
          <w:sz w:val="24"/>
        </w:rPr>
        <w:t>二线城市的数据中心产能，扩大公司</w:t>
      </w:r>
      <w:r w:rsidRPr="004865EF">
        <w:rPr>
          <w:rFonts w:ascii="Times New Roman" w:eastAsia="宋体" w:hAnsi="Times New Roman" w:cs="Times New Roman"/>
          <w:sz w:val="24"/>
        </w:rPr>
        <w:t>IDC</w:t>
      </w:r>
      <w:r w:rsidRPr="004865EF">
        <w:rPr>
          <w:rFonts w:ascii="Times New Roman" w:eastAsia="宋体" w:hAnsi="Times New Roman" w:cs="Times New Roman"/>
          <w:sz w:val="24"/>
        </w:rPr>
        <w:t>及其增值服务的业务规模。</w:t>
      </w:r>
    </w:p>
    <w:p w14:paraId="4A464262" w14:textId="2D6BC872"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发行人的</w:t>
      </w:r>
      <w:r w:rsidRPr="004865EF">
        <w:rPr>
          <w:rFonts w:ascii="Times New Roman" w:eastAsia="宋体" w:hAnsi="Times New Roman" w:cs="Times New Roman"/>
          <w:sz w:val="24"/>
        </w:rPr>
        <w:t>IDC</w:t>
      </w:r>
      <w:r w:rsidRPr="004865EF">
        <w:rPr>
          <w:rFonts w:ascii="Times New Roman" w:eastAsia="宋体" w:hAnsi="Times New Roman" w:cs="Times New Roman"/>
          <w:sz w:val="24"/>
        </w:rPr>
        <w:t>及其增值服务主要通过自建机房，并整合</w:t>
      </w:r>
      <w:proofErr w:type="gramStart"/>
      <w:r w:rsidRPr="004865EF">
        <w:rPr>
          <w:rFonts w:ascii="Times New Roman" w:eastAsia="宋体" w:hAnsi="Times New Roman" w:cs="Times New Roman"/>
          <w:sz w:val="24"/>
        </w:rPr>
        <w:t>各基础</w:t>
      </w:r>
      <w:proofErr w:type="gramEnd"/>
      <w:r w:rsidRPr="004865EF">
        <w:rPr>
          <w:rFonts w:ascii="Times New Roman" w:eastAsia="宋体" w:hAnsi="Times New Roman" w:cs="Times New Roman"/>
          <w:sz w:val="24"/>
        </w:rPr>
        <w:t>运营商带宽资源，向客户提供机柜租赁及服务器托管服务</w:t>
      </w:r>
      <w:r w:rsidR="00200E90" w:rsidRPr="004865EF">
        <w:rPr>
          <w:rFonts w:ascii="Times New Roman" w:eastAsia="宋体" w:hAnsi="Times New Roman" w:cs="Times New Roman" w:hint="eastAsia"/>
          <w:sz w:val="24"/>
        </w:rPr>
        <w:t>。</w:t>
      </w:r>
      <w:r w:rsidRPr="004865EF">
        <w:rPr>
          <w:rFonts w:ascii="Times New Roman" w:eastAsia="宋体" w:hAnsi="Times New Roman" w:cs="Times New Roman"/>
          <w:sz w:val="24"/>
        </w:rPr>
        <w:t>盈利模式</w:t>
      </w:r>
      <w:r w:rsidR="00200E90" w:rsidRPr="004865EF">
        <w:rPr>
          <w:rFonts w:ascii="Times New Roman" w:eastAsia="宋体" w:hAnsi="Times New Roman" w:cs="Times New Roman" w:hint="eastAsia"/>
          <w:sz w:val="24"/>
        </w:rPr>
        <w:t>为发行人定期根据</w:t>
      </w:r>
      <w:r w:rsidRPr="004865EF">
        <w:rPr>
          <w:rFonts w:ascii="Times New Roman" w:eastAsia="宋体" w:hAnsi="Times New Roman" w:cs="Times New Roman"/>
          <w:sz w:val="24"/>
        </w:rPr>
        <w:t>客户</w:t>
      </w:r>
      <w:r w:rsidR="00200E90" w:rsidRPr="004865EF">
        <w:rPr>
          <w:rFonts w:ascii="Times New Roman" w:eastAsia="宋体" w:hAnsi="Times New Roman" w:cs="Times New Roman" w:hint="eastAsia"/>
          <w:sz w:val="24"/>
        </w:rPr>
        <w:t>实际</w:t>
      </w:r>
      <w:r w:rsidRPr="004865EF">
        <w:rPr>
          <w:rFonts w:ascii="Times New Roman" w:eastAsia="宋体" w:hAnsi="Times New Roman" w:cs="Times New Roman"/>
          <w:sz w:val="24"/>
        </w:rPr>
        <w:t>使用的带宽、机柜等资源的数量以及所选用的增值服务类型</w:t>
      </w:r>
      <w:r w:rsidR="00200E90" w:rsidRPr="004865EF">
        <w:rPr>
          <w:rFonts w:ascii="Times New Roman" w:eastAsia="宋体" w:hAnsi="Times New Roman" w:cs="Times New Roman" w:hint="eastAsia"/>
          <w:sz w:val="24"/>
        </w:rPr>
        <w:t>收取服务费，在扣除数据中心的折旧摊销及营运成本（人员成本、能源消耗、运维费用）后形成</w:t>
      </w:r>
      <w:r w:rsidR="00200E90" w:rsidRPr="004865EF">
        <w:rPr>
          <w:rFonts w:ascii="Times New Roman" w:eastAsia="宋体" w:hAnsi="Times New Roman" w:cs="Times New Roman"/>
          <w:sz w:val="24"/>
        </w:rPr>
        <w:t>IDC</w:t>
      </w:r>
      <w:r w:rsidR="00200E90" w:rsidRPr="004865EF">
        <w:rPr>
          <w:rFonts w:ascii="Times New Roman" w:eastAsia="宋体" w:hAnsi="Times New Roman" w:cs="Times New Roman" w:hint="eastAsia"/>
          <w:sz w:val="24"/>
        </w:rPr>
        <w:t>业务盈利</w:t>
      </w:r>
      <w:r w:rsidRPr="004865EF">
        <w:rPr>
          <w:rFonts w:ascii="Times New Roman" w:eastAsia="宋体" w:hAnsi="Times New Roman" w:cs="Times New Roman"/>
          <w:sz w:val="24"/>
        </w:rPr>
        <w:t>。</w:t>
      </w:r>
    </w:p>
    <w:p w14:paraId="046D8D1C"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kern w:val="0"/>
          <w:sz w:val="24"/>
          <w:szCs w:val="21"/>
        </w:rPr>
      </w:pPr>
      <w:r w:rsidRPr="004865EF">
        <w:rPr>
          <w:rFonts w:ascii="Times New Roman" w:eastAsia="宋体" w:hAnsi="Times New Roman" w:cs="Times New Roman"/>
          <w:kern w:val="0"/>
          <w:sz w:val="24"/>
          <w:szCs w:val="21"/>
        </w:rPr>
        <w:t>2</w:t>
      </w:r>
      <w:r w:rsidRPr="004865EF">
        <w:rPr>
          <w:rFonts w:ascii="Times New Roman" w:eastAsia="宋体" w:hAnsi="Times New Roman" w:cs="Times New Roman"/>
          <w:kern w:val="0"/>
          <w:sz w:val="24"/>
          <w:szCs w:val="21"/>
        </w:rPr>
        <w:t>、</w:t>
      </w:r>
      <w:r w:rsidRPr="004865EF">
        <w:rPr>
          <w:rFonts w:ascii="Times New Roman" w:eastAsia="宋体" w:hAnsi="Times New Roman" w:cs="Times New Roman" w:hint="eastAsia"/>
          <w:kern w:val="0"/>
          <w:sz w:val="24"/>
          <w:szCs w:val="21"/>
        </w:rPr>
        <w:t>公司具备本次</w:t>
      </w:r>
      <w:proofErr w:type="gramStart"/>
      <w:r w:rsidRPr="004865EF">
        <w:rPr>
          <w:rFonts w:ascii="Times New Roman" w:eastAsia="宋体" w:hAnsi="Times New Roman" w:cs="Times New Roman" w:hint="eastAsia"/>
          <w:kern w:val="0"/>
          <w:sz w:val="24"/>
          <w:szCs w:val="21"/>
        </w:rPr>
        <w:t>募投项目</w:t>
      </w:r>
      <w:proofErr w:type="gramEnd"/>
      <w:r w:rsidRPr="004865EF">
        <w:rPr>
          <w:rFonts w:ascii="Times New Roman" w:eastAsia="宋体" w:hAnsi="Times New Roman" w:cs="Times New Roman" w:hint="eastAsia"/>
          <w:kern w:val="0"/>
          <w:sz w:val="24"/>
          <w:szCs w:val="21"/>
        </w:rPr>
        <w:t>实施相关的技术储备、人员储备和市场拓展能力</w:t>
      </w:r>
    </w:p>
    <w:p w14:paraId="79CB2709"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kern w:val="0"/>
          <w:sz w:val="24"/>
          <w:szCs w:val="21"/>
        </w:rPr>
      </w:pPr>
      <w:r w:rsidRPr="004865EF">
        <w:rPr>
          <w:rFonts w:ascii="Times New Roman" w:eastAsia="宋体" w:hAnsi="Times New Roman" w:cs="Times New Roman"/>
          <w:kern w:val="0"/>
          <w:sz w:val="24"/>
          <w:szCs w:val="21"/>
        </w:rPr>
        <w:t>公司拥有在数据中心建设及运营方面具有丰富的行业经验。目前</w:t>
      </w:r>
      <w:r w:rsidRPr="004865EF">
        <w:rPr>
          <w:rFonts w:ascii="Times New Roman" w:eastAsia="宋体" w:hAnsi="Times New Roman" w:cs="Times New Roman" w:hint="eastAsia"/>
          <w:kern w:val="0"/>
          <w:sz w:val="24"/>
          <w:szCs w:val="21"/>
        </w:rPr>
        <w:t>公司在北京、上海及其周边地区运营酒仙桥、科</w:t>
      </w:r>
      <w:proofErr w:type="gramStart"/>
      <w:r w:rsidRPr="004865EF">
        <w:rPr>
          <w:rFonts w:ascii="Times New Roman" w:eastAsia="宋体" w:hAnsi="Times New Roman" w:cs="Times New Roman" w:hint="eastAsia"/>
          <w:kern w:val="0"/>
          <w:sz w:val="24"/>
          <w:szCs w:val="21"/>
        </w:rPr>
        <w:t>信盛彩</w:t>
      </w:r>
      <w:proofErr w:type="gramEnd"/>
      <w:r w:rsidRPr="004865EF">
        <w:rPr>
          <w:rFonts w:ascii="Times New Roman" w:eastAsia="宋体" w:hAnsi="Times New Roman" w:cs="Times New Roman" w:hint="eastAsia"/>
          <w:kern w:val="0"/>
          <w:sz w:val="24"/>
          <w:szCs w:val="21"/>
        </w:rPr>
        <w:t>、中金云网、房山一期、河北燕郊一期二期以及上海嘉定一期等多处高品质数据中心，建设规模近</w:t>
      </w:r>
      <w:r w:rsidRPr="004865EF">
        <w:rPr>
          <w:rFonts w:ascii="Times New Roman" w:eastAsia="宋体" w:hAnsi="Times New Roman" w:cs="Times New Roman" w:hint="eastAsia"/>
          <w:kern w:val="0"/>
          <w:sz w:val="24"/>
          <w:szCs w:val="21"/>
        </w:rPr>
        <w:t>40</w:t>
      </w:r>
      <w:r w:rsidRPr="004865EF">
        <w:rPr>
          <w:rFonts w:ascii="Times New Roman" w:eastAsia="宋体" w:hAnsi="Times New Roman" w:cs="Times New Roman" w:hint="eastAsia"/>
          <w:kern w:val="0"/>
          <w:sz w:val="24"/>
          <w:szCs w:val="21"/>
        </w:rPr>
        <w:t>万平米，设计容量约为</w:t>
      </w:r>
      <w:r w:rsidRPr="004865EF">
        <w:rPr>
          <w:rFonts w:ascii="Times New Roman" w:eastAsia="宋体" w:hAnsi="Times New Roman" w:cs="Times New Roman" w:hint="eastAsia"/>
          <w:kern w:val="0"/>
          <w:sz w:val="24"/>
          <w:szCs w:val="21"/>
        </w:rPr>
        <w:t>5</w:t>
      </w:r>
      <w:r w:rsidRPr="004865EF">
        <w:rPr>
          <w:rFonts w:ascii="Times New Roman" w:eastAsia="宋体" w:hAnsi="Times New Roman" w:cs="Times New Roman" w:hint="eastAsia"/>
          <w:kern w:val="0"/>
          <w:sz w:val="24"/>
          <w:szCs w:val="21"/>
        </w:rPr>
        <w:t>万架等效机柜。经过十余年专业项目实施及运营管理的经验积累，公司已建立起资深技术团队和完备的项目综合管理体系，能够充分满足各类客户的需求，为用户提供高品质的</w:t>
      </w:r>
      <w:r w:rsidRPr="004865EF">
        <w:rPr>
          <w:rFonts w:ascii="Times New Roman" w:eastAsia="宋体" w:hAnsi="Times New Roman" w:cs="Times New Roman" w:hint="eastAsia"/>
          <w:kern w:val="0"/>
          <w:sz w:val="24"/>
          <w:szCs w:val="21"/>
        </w:rPr>
        <w:t>IDC</w:t>
      </w:r>
      <w:r w:rsidRPr="004865EF">
        <w:rPr>
          <w:rFonts w:ascii="Times New Roman" w:eastAsia="宋体" w:hAnsi="Times New Roman" w:cs="Times New Roman" w:hint="eastAsia"/>
          <w:kern w:val="0"/>
          <w:sz w:val="24"/>
          <w:szCs w:val="21"/>
        </w:rPr>
        <w:t>基础服务及多样化的增值服务。</w:t>
      </w:r>
    </w:p>
    <w:p w14:paraId="01A5897F"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kern w:val="0"/>
          <w:sz w:val="24"/>
          <w:szCs w:val="21"/>
        </w:rPr>
      </w:pPr>
      <w:r w:rsidRPr="004865EF">
        <w:rPr>
          <w:rFonts w:ascii="Times New Roman" w:eastAsia="宋体" w:hAnsi="Times New Roman" w:cs="Times New Roman" w:hint="eastAsia"/>
          <w:kern w:val="0"/>
          <w:sz w:val="24"/>
          <w:szCs w:val="21"/>
        </w:rPr>
        <w:t>公司的</w:t>
      </w:r>
      <w:r w:rsidRPr="004865EF">
        <w:rPr>
          <w:rFonts w:ascii="Times New Roman" w:eastAsia="宋体" w:hAnsi="Times New Roman" w:cs="Times New Roman"/>
          <w:sz w:val="24"/>
        </w:rPr>
        <w:t>IDC</w:t>
      </w:r>
      <w:r w:rsidRPr="004865EF">
        <w:rPr>
          <w:rFonts w:ascii="Times New Roman" w:eastAsia="宋体" w:hAnsi="Times New Roman" w:cs="Times New Roman"/>
          <w:sz w:val="24"/>
        </w:rPr>
        <w:t>及其增值服务具有</w:t>
      </w:r>
      <w:r w:rsidRPr="004865EF">
        <w:rPr>
          <w:rFonts w:ascii="Times New Roman" w:eastAsia="宋体" w:hAnsi="Times New Roman" w:cs="Times New Roman" w:hint="eastAsia"/>
          <w:kern w:val="0"/>
          <w:sz w:val="24"/>
          <w:szCs w:val="21"/>
        </w:rPr>
        <w:t>领先的市场份额和较高的品牌知名度，客户广泛分布于云计算、互联网、金融、保险、传媒、教育等行业，客户结构优质，不存在单一客户依赖风险，并且高价值客户</w:t>
      </w:r>
      <w:proofErr w:type="gramStart"/>
      <w:r w:rsidRPr="004865EF">
        <w:rPr>
          <w:rFonts w:ascii="Times New Roman" w:eastAsia="宋体" w:hAnsi="Times New Roman" w:cs="Times New Roman" w:hint="eastAsia"/>
          <w:kern w:val="0"/>
          <w:sz w:val="24"/>
          <w:szCs w:val="21"/>
        </w:rPr>
        <w:t>占比较</w:t>
      </w:r>
      <w:proofErr w:type="gramEnd"/>
      <w:r w:rsidRPr="004865EF">
        <w:rPr>
          <w:rFonts w:ascii="Times New Roman" w:eastAsia="宋体" w:hAnsi="Times New Roman" w:cs="Times New Roman" w:hint="eastAsia"/>
          <w:kern w:val="0"/>
          <w:sz w:val="24"/>
          <w:szCs w:val="21"/>
        </w:rPr>
        <w:t>高。公司充足的数据中心客户资源储备是本次募集项目实施的重要基础，未来顺利建成投产后，公司能够借助充足的客户资源储备快速实现项目盈利。</w:t>
      </w:r>
    </w:p>
    <w:p w14:paraId="46987EF7" w14:textId="77777777"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kern w:val="0"/>
          <w:sz w:val="24"/>
          <w:szCs w:val="21"/>
        </w:rPr>
      </w:pPr>
      <w:r w:rsidRPr="004865EF">
        <w:rPr>
          <w:rFonts w:ascii="Times New Roman" w:eastAsia="宋体" w:hAnsi="Times New Roman" w:cs="Times New Roman" w:hint="eastAsia"/>
          <w:kern w:val="0"/>
          <w:sz w:val="24"/>
          <w:szCs w:val="21"/>
        </w:rPr>
        <w:t>综上所述，公司具备本次</w:t>
      </w:r>
      <w:proofErr w:type="gramStart"/>
      <w:r w:rsidRPr="004865EF">
        <w:rPr>
          <w:rFonts w:ascii="Times New Roman" w:eastAsia="宋体" w:hAnsi="Times New Roman" w:cs="Times New Roman" w:hint="eastAsia"/>
          <w:kern w:val="0"/>
          <w:sz w:val="24"/>
          <w:szCs w:val="21"/>
        </w:rPr>
        <w:t>募投项目</w:t>
      </w:r>
      <w:proofErr w:type="gramEnd"/>
      <w:r w:rsidRPr="004865EF">
        <w:rPr>
          <w:rFonts w:ascii="Times New Roman" w:eastAsia="宋体" w:hAnsi="Times New Roman" w:cs="Times New Roman" w:hint="eastAsia"/>
          <w:kern w:val="0"/>
          <w:sz w:val="24"/>
          <w:szCs w:val="21"/>
        </w:rPr>
        <w:t>实施相关的技术储备、人员储备和市场拓展能力，项目实施不存在重大不确定性风险。</w:t>
      </w:r>
    </w:p>
    <w:p w14:paraId="634B9B8D" w14:textId="73C9D59D" w:rsidR="00602898" w:rsidRPr="004865EF" w:rsidRDefault="00602898" w:rsidP="00A66425">
      <w:pPr>
        <w:pStyle w:val="2"/>
        <w:spacing w:before="156" w:after="156"/>
      </w:pPr>
      <w:r w:rsidRPr="004865EF">
        <w:rPr>
          <w:rFonts w:hint="eastAsia"/>
        </w:rPr>
        <w:lastRenderedPageBreak/>
        <w:t>五、</w:t>
      </w:r>
      <w:r w:rsidRPr="004865EF">
        <w:t>说明相关市场发展情况及竞争情况，并结合市场空间、竞争情况、在手订单或意向性合同等，说明本次</w:t>
      </w:r>
      <w:proofErr w:type="gramStart"/>
      <w:r w:rsidRPr="004865EF">
        <w:t>募投项目</w:t>
      </w:r>
      <w:proofErr w:type="gramEnd"/>
      <w:r w:rsidRPr="004865EF">
        <w:t>投资规模的合理性，是否存在闲置风险</w:t>
      </w:r>
    </w:p>
    <w:p w14:paraId="669B6303" w14:textId="77777777"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1</w:t>
      </w:r>
      <w:r w:rsidRPr="004865EF">
        <w:rPr>
          <w:rFonts w:ascii="Times New Roman" w:eastAsia="宋体" w:hAnsi="Times New Roman" w:cs="Times New Roman"/>
          <w:sz w:val="24"/>
        </w:rPr>
        <w:t>、国家产业政策支持、行业发展前景广阔</w:t>
      </w:r>
    </w:p>
    <w:p w14:paraId="72324E6B"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kern w:val="0"/>
          <w:sz w:val="24"/>
          <w:szCs w:val="21"/>
        </w:rPr>
      </w:pPr>
      <w:r w:rsidRPr="004865EF">
        <w:rPr>
          <w:rFonts w:ascii="Times New Roman" w:eastAsia="宋体" w:hAnsi="Times New Roman" w:cs="Times New Roman"/>
          <w:kern w:val="0"/>
          <w:sz w:val="24"/>
          <w:szCs w:val="21"/>
        </w:rPr>
        <w:t>2020</w:t>
      </w:r>
      <w:r w:rsidRPr="004865EF">
        <w:rPr>
          <w:rFonts w:ascii="Times New Roman" w:eastAsia="宋体" w:hAnsi="Times New Roman" w:cs="Times New Roman"/>
          <w:kern w:val="0"/>
          <w:sz w:val="24"/>
          <w:szCs w:val="21"/>
        </w:rPr>
        <w:t>年</w:t>
      </w:r>
      <w:r w:rsidRPr="004865EF">
        <w:rPr>
          <w:rFonts w:ascii="Times New Roman" w:eastAsia="宋体" w:hAnsi="Times New Roman" w:cs="Times New Roman"/>
          <w:kern w:val="0"/>
          <w:sz w:val="24"/>
          <w:szCs w:val="21"/>
        </w:rPr>
        <w:t>2</w:t>
      </w:r>
      <w:r w:rsidRPr="004865EF">
        <w:rPr>
          <w:rFonts w:ascii="Times New Roman" w:eastAsia="宋体" w:hAnsi="Times New Roman" w:cs="Times New Roman"/>
          <w:kern w:val="0"/>
          <w:sz w:val="24"/>
          <w:szCs w:val="21"/>
        </w:rPr>
        <w:t>月</w:t>
      </w:r>
      <w:r w:rsidRPr="004865EF">
        <w:rPr>
          <w:rFonts w:ascii="Times New Roman" w:eastAsia="宋体" w:hAnsi="Times New Roman" w:cs="Times New Roman"/>
          <w:kern w:val="0"/>
          <w:sz w:val="24"/>
          <w:szCs w:val="21"/>
        </w:rPr>
        <w:t>14</w:t>
      </w:r>
      <w:r w:rsidRPr="004865EF">
        <w:rPr>
          <w:rFonts w:ascii="Times New Roman" w:eastAsia="宋体" w:hAnsi="Times New Roman" w:cs="Times New Roman"/>
          <w:kern w:val="0"/>
          <w:sz w:val="24"/>
          <w:szCs w:val="21"/>
        </w:rPr>
        <w:t>日，中央全面深化改革委员会第十二次会议召开，会议指出，基础设施是经济社会发展的重要支撑，要以整体优化、协同融合为导向，统筹存量和增量、传统和新型基础设施发展，打造集约高效、经济适用、智能绿色、安全可靠的现代化基础设施体系。</w:t>
      </w:r>
      <w:r w:rsidRPr="004865EF">
        <w:rPr>
          <w:rFonts w:ascii="Times New Roman" w:eastAsia="宋体" w:hAnsi="Times New Roman" w:cs="Times New Roman"/>
          <w:kern w:val="0"/>
          <w:sz w:val="24"/>
          <w:szCs w:val="21"/>
        </w:rPr>
        <w:t>3</w:t>
      </w:r>
      <w:r w:rsidRPr="004865EF">
        <w:rPr>
          <w:rFonts w:ascii="Times New Roman" w:eastAsia="宋体" w:hAnsi="Times New Roman" w:cs="Times New Roman"/>
          <w:kern w:val="0"/>
          <w:sz w:val="24"/>
          <w:szCs w:val="21"/>
        </w:rPr>
        <w:t>月</w:t>
      </w:r>
      <w:r w:rsidRPr="004865EF">
        <w:rPr>
          <w:rFonts w:ascii="Times New Roman" w:eastAsia="宋体" w:hAnsi="Times New Roman" w:cs="Times New Roman"/>
          <w:kern w:val="0"/>
          <w:sz w:val="24"/>
          <w:szCs w:val="21"/>
        </w:rPr>
        <w:t>4</w:t>
      </w:r>
      <w:r w:rsidRPr="004865EF">
        <w:rPr>
          <w:rFonts w:ascii="Times New Roman" w:eastAsia="宋体" w:hAnsi="Times New Roman" w:cs="Times New Roman"/>
          <w:kern w:val="0"/>
          <w:sz w:val="24"/>
          <w:szCs w:val="21"/>
        </w:rPr>
        <w:t>日，中共中央政治局常务委员会召开，会议强调，加快推进国家规划已明确的重大工程和基础设施建设，加快</w:t>
      </w:r>
      <w:r w:rsidRPr="004865EF">
        <w:rPr>
          <w:rFonts w:ascii="Times New Roman" w:eastAsia="宋体" w:hAnsi="Times New Roman" w:cs="Times New Roman"/>
          <w:kern w:val="0"/>
          <w:sz w:val="24"/>
          <w:szCs w:val="21"/>
        </w:rPr>
        <w:t>5G</w:t>
      </w:r>
      <w:r w:rsidRPr="004865EF">
        <w:rPr>
          <w:rFonts w:ascii="Times New Roman" w:eastAsia="宋体" w:hAnsi="Times New Roman" w:cs="Times New Roman"/>
          <w:kern w:val="0"/>
          <w:sz w:val="24"/>
          <w:szCs w:val="21"/>
        </w:rPr>
        <w:t>网络、数据中心等新型基础设施建设进度。</w:t>
      </w:r>
      <w:proofErr w:type="gramStart"/>
      <w:r w:rsidRPr="004865EF">
        <w:rPr>
          <w:rFonts w:ascii="Times New Roman" w:eastAsia="宋体" w:hAnsi="Times New Roman" w:cs="Times New Roman"/>
          <w:kern w:val="0"/>
          <w:sz w:val="24"/>
          <w:szCs w:val="21"/>
        </w:rPr>
        <w:t>云计算</w:t>
      </w:r>
      <w:proofErr w:type="gramEnd"/>
      <w:r w:rsidRPr="004865EF">
        <w:rPr>
          <w:rFonts w:ascii="Times New Roman" w:eastAsia="宋体" w:hAnsi="Times New Roman" w:cs="Times New Roman"/>
          <w:kern w:val="0"/>
          <w:sz w:val="24"/>
          <w:szCs w:val="21"/>
        </w:rPr>
        <w:t>数据中心作为新基建的重要领域之一，顺应了国家数字经济发展的需求，已成为国家和各省市的重要发展目标，具有良好的发展前景。</w:t>
      </w:r>
    </w:p>
    <w:p w14:paraId="0EF74108"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kern w:val="0"/>
          <w:sz w:val="24"/>
          <w:szCs w:val="21"/>
        </w:rPr>
      </w:pPr>
      <w:r w:rsidRPr="004865EF">
        <w:rPr>
          <w:rFonts w:ascii="Times New Roman" w:eastAsia="宋体" w:hAnsi="Times New Roman" w:cs="Times New Roman"/>
          <w:kern w:val="0"/>
          <w:sz w:val="24"/>
          <w:szCs w:val="21"/>
        </w:rPr>
        <w:t>IDC</w:t>
      </w:r>
      <w:r w:rsidRPr="004865EF">
        <w:rPr>
          <w:rFonts w:ascii="Times New Roman" w:eastAsia="宋体" w:hAnsi="Times New Roman" w:cs="Times New Roman"/>
          <w:kern w:val="0"/>
          <w:sz w:val="24"/>
          <w:szCs w:val="21"/>
        </w:rPr>
        <w:t>市场伴随着互联网发展而迅速发展，一方面互联网行业客户由于自身业务发展的需要，对数据中心资源需求旺盛；另一方面</w:t>
      </w:r>
      <w:r w:rsidRPr="004865EF">
        <w:rPr>
          <w:rFonts w:ascii="Times New Roman" w:eastAsia="宋体" w:hAnsi="Times New Roman" w:cs="Times New Roman"/>
          <w:kern w:val="0"/>
          <w:sz w:val="24"/>
          <w:szCs w:val="21"/>
        </w:rPr>
        <w:t>5G</w:t>
      </w:r>
      <w:r w:rsidRPr="004865EF">
        <w:rPr>
          <w:rFonts w:ascii="Times New Roman" w:eastAsia="宋体" w:hAnsi="Times New Roman" w:cs="Times New Roman"/>
          <w:kern w:val="0"/>
          <w:sz w:val="24"/>
          <w:szCs w:val="21"/>
        </w:rPr>
        <w:t>、云计算、大数据等网络架构的迅速演进和网络应用的不断丰富也产生了大量的</w:t>
      </w:r>
      <w:r w:rsidRPr="004865EF">
        <w:rPr>
          <w:rFonts w:ascii="Times New Roman" w:eastAsia="宋体" w:hAnsi="Times New Roman" w:cs="Times New Roman"/>
          <w:kern w:val="0"/>
          <w:sz w:val="24"/>
          <w:szCs w:val="21"/>
        </w:rPr>
        <w:t>IDC</w:t>
      </w:r>
      <w:r w:rsidRPr="004865EF">
        <w:rPr>
          <w:rFonts w:ascii="Times New Roman" w:eastAsia="宋体" w:hAnsi="Times New Roman" w:cs="Times New Roman"/>
          <w:kern w:val="0"/>
          <w:sz w:val="24"/>
          <w:szCs w:val="21"/>
        </w:rPr>
        <w:t>机房和带宽需求。随着</w:t>
      </w:r>
      <w:r w:rsidRPr="004865EF">
        <w:rPr>
          <w:rFonts w:ascii="Times New Roman" w:eastAsia="宋体" w:hAnsi="Times New Roman" w:cs="Times New Roman"/>
          <w:kern w:val="0"/>
          <w:sz w:val="24"/>
          <w:szCs w:val="21"/>
        </w:rPr>
        <w:t>5G</w:t>
      </w:r>
      <w:r w:rsidRPr="004865EF">
        <w:rPr>
          <w:rFonts w:ascii="Times New Roman" w:eastAsia="宋体" w:hAnsi="Times New Roman" w:cs="Times New Roman"/>
          <w:kern w:val="0"/>
          <w:sz w:val="24"/>
          <w:szCs w:val="21"/>
        </w:rPr>
        <w:t>的正式商用，云计算、物联网等新型互联网产业快速发展，数据即将呈现爆发式增长的态势，数据的种类更加多元化，数据的应用场景更加丰富，数据的结构更加复杂，数据的处理更加频繁，进而催生对数据中心庞大的应用需求。</w:t>
      </w:r>
    </w:p>
    <w:p w14:paraId="3E86816F"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kern w:val="0"/>
          <w:sz w:val="24"/>
          <w:szCs w:val="21"/>
        </w:rPr>
      </w:pPr>
      <w:r w:rsidRPr="004865EF">
        <w:rPr>
          <w:rFonts w:ascii="Times New Roman" w:eastAsia="宋体" w:hAnsi="Times New Roman" w:cs="Times New Roman" w:hint="eastAsia"/>
          <w:kern w:val="0"/>
          <w:sz w:val="24"/>
          <w:szCs w:val="21"/>
        </w:rPr>
        <w:t>2</w:t>
      </w:r>
      <w:r w:rsidRPr="004865EF">
        <w:rPr>
          <w:rFonts w:ascii="Times New Roman" w:eastAsia="宋体" w:hAnsi="Times New Roman" w:cs="Times New Roman" w:hint="eastAsia"/>
          <w:kern w:val="0"/>
          <w:sz w:val="24"/>
          <w:szCs w:val="21"/>
        </w:rPr>
        <w:t>、</w:t>
      </w:r>
      <w:r w:rsidRPr="004865EF">
        <w:rPr>
          <w:rFonts w:ascii="Times New Roman" w:eastAsia="宋体" w:hAnsi="Times New Roman" w:cs="Times New Roman" w:hint="eastAsia"/>
          <w:kern w:val="0"/>
          <w:sz w:val="24"/>
          <w:szCs w:val="21"/>
        </w:rPr>
        <w:t>IDC</w:t>
      </w:r>
      <w:r w:rsidRPr="004865EF">
        <w:rPr>
          <w:rFonts w:ascii="Times New Roman" w:eastAsia="宋体" w:hAnsi="Times New Roman" w:cs="Times New Roman" w:hint="eastAsia"/>
          <w:kern w:val="0"/>
          <w:sz w:val="24"/>
          <w:szCs w:val="21"/>
        </w:rPr>
        <w:t>、</w:t>
      </w:r>
      <w:proofErr w:type="gramStart"/>
      <w:r w:rsidRPr="004865EF">
        <w:rPr>
          <w:rFonts w:ascii="Times New Roman" w:eastAsia="宋体" w:hAnsi="Times New Roman" w:cs="Times New Roman" w:hint="eastAsia"/>
          <w:kern w:val="0"/>
          <w:sz w:val="24"/>
          <w:szCs w:val="21"/>
        </w:rPr>
        <w:t>云计算</w:t>
      </w:r>
      <w:proofErr w:type="gramEnd"/>
      <w:r w:rsidRPr="004865EF">
        <w:rPr>
          <w:rFonts w:ascii="Times New Roman" w:eastAsia="宋体" w:hAnsi="Times New Roman" w:cs="Times New Roman" w:hint="eastAsia"/>
          <w:kern w:val="0"/>
          <w:sz w:val="24"/>
          <w:szCs w:val="21"/>
        </w:rPr>
        <w:t>相辅相成，市场规模高速增长</w:t>
      </w:r>
    </w:p>
    <w:p w14:paraId="49205BA3" w14:textId="0C592D36" w:rsidR="00602898" w:rsidRPr="004865EF" w:rsidRDefault="00602898" w:rsidP="00602898">
      <w:pPr>
        <w:adjustRightInd w:val="0"/>
        <w:snapToGrid w:val="0"/>
        <w:spacing w:beforeLines="50" w:before="156"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受</w:t>
      </w:r>
      <w:r w:rsidR="00720C0D" w:rsidRPr="004865EF">
        <w:rPr>
          <w:rFonts w:ascii="Times New Roman" w:eastAsia="宋体" w:hAnsi="Times New Roman" w:cs="Times New Roman" w:hint="eastAsia"/>
          <w:sz w:val="24"/>
          <w:szCs w:val="22"/>
        </w:rPr>
        <w:t>“</w:t>
      </w:r>
      <w:r w:rsidRPr="004865EF">
        <w:rPr>
          <w:rFonts w:ascii="Times New Roman" w:eastAsia="宋体" w:hAnsi="Times New Roman" w:cs="Times New Roman"/>
          <w:sz w:val="24"/>
          <w:szCs w:val="22"/>
        </w:rPr>
        <w:t>互联网</w:t>
      </w:r>
      <w:r w:rsidRPr="004865EF">
        <w:rPr>
          <w:rFonts w:ascii="Times New Roman" w:eastAsia="宋体" w:hAnsi="Times New Roman" w:cs="Times New Roman"/>
          <w:sz w:val="24"/>
          <w:szCs w:val="22"/>
        </w:rPr>
        <w:t>+</w:t>
      </w:r>
      <w:r w:rsidR="00720C0D" w:rsidRPr="004865EF">
        <w:rPr>
          <w:rFonts w:ascii="Times New Roman" w:eastAsia="宋体" w:hAnsi="Times New Roman" w:cs="Times New Roman" w:hint="eastAsia"/>
          <w:sz w:val="24"/>
          <w:szCs w:val="22"/>
        </w:rPr>
        <w:t>”</w:t>
      </w:r>
      <w:r w:rsidRPr="004865EF">
        <w:rPr>
          <w:rFonts w:ascii="Times New Roman" w:eastAsia="宋体" w:hAnsi="Times New Roman" w:cs="Times New Roman"/>
          <w:sz w:val="24"/>
          <w:szCs w:val="22"/>
        </w:rPr>
        <w:t>、大数据战略、数字经济等国家政策指引以及移动互联网快速发展的驱动，我国</w:t>
      </w:r>
      <w:r w:rsidRPr="004865EF">
        <w:rPr>
          <w:rFonts w:ascii="Times New Roman" w:eastAsia="宋体" w:hAnsi="Times New Roman" w:cs="Times New Roman"/>
          <w:sz w:val="24"/>
          <w:szCs w:val="22"/>
        </w:rPr>
        <w:t>IDC</w:t>
      </w:r>
      <w:r w:rsidRPr="004865EF">
        <w:rPr>
          <w:rFonts w:ascii="Times New Roman" w:eastAsia="宋体" w:hAnsi="Times New Roman" w:cs="Times New Roman"/>
          <w:sz w:val="24"/>
          <w:szCs w:val="22"/>
        </w:rPr>
        <w:t>业务市场规模连续高速增长。根据中国</w:t>
      </w:r>
      <w:r w:rsidRPr="004865EF">
        <w:rPr>
          <w:rFonts w:ascii="Times New Roman" w:eastAsia="宋体" w:hAnsi="Times New Roman" w:cs="Times New Roman"/>
          <w:sz w:val="24"/>
          <w:szCs w:val="22"/>
        </w:rPr>
        <w:t>IDC</w:t>
      </w:r>
      <w:proofErr w:type="gramStart"/>
      <w:r w:rsidRPr="004865EF">
        <w:rPr>
          <w:rFonts w:ascii="Times New Roman" w:eastAsia="宋体" w:hAnsi="Times New Roman" w:cs="Times New Roman"/>
          <w:sz w:val="24"/>
          <w:szCs w:val="22"/>
        </w:rPr>
        <w:t>圈科智咨询</w:t>
      </w:r>
      <w:proofErr w:type="gramEnd"/>
      <w:r w:rsidRPr="004865EF">
        <w:rPr>
          <w:rFonts w:ascii="Times New Roman" w:eastAsia="宋体" w:hAnsi="Times New Roman" w:cs="Times New Roman"/>
          <w:sz w:val="24"/>
          <w:szCs w:val="22"/>
        </w:rPr>
        <w:t>最新出具报告显示，</w:t>
      </w:r>
      <w:r w:rsidRPr="004865EF">
        <w:rPr>
          <w:rFonts w:ascii="Times New Roman" w:eastAsia="宋体" w:hAnsi="Times New Roman" w:cs="Times New Roman"/>
          <w:sz w:val="24"/>
          <w:szCs w:val="22"/>
        </w:rPr>
        <w:t>2019</w:t>
      </w:r>
      <w:r w:rsidRPr="004865EF">
        <w:rPr>
          <w:rFonts w:ascii="Times New Roman" w:eastAsia="宋体" w:hAnsi="Times New Roman" w:cs="Times New Roman"/>
          <w:sz w:val="24"/>
          <w:szCs w:val="22"/>
        </w:rPr>
        <w:t>年我国</w:t>
      </w:r>
      <w:r w:rsidRPr="004865EF">
        <w:rPr>
          <w:rFonts w:ascii="Times New Roman" w:eastAsia="宋体" w:hAnsi="Times New Roman" w:cs="Times New Roman"/>
          <w:sz w:val="24"/>
          <w:szCs w:val="22"/>
        </w:rPr>
        <w:t>IDC</w:t>
      </w:r>
      <w:r w:rsidRPr="004865EF">
        <w:rPr>
          <w:rFonts w:ascii="Times New Roman" w:eastAsia="宋体" w:hAnsi="Times New Roman" w:cs="Times New Roman"/>
          <w:sz w:val="24"/>
          <w:szCs w:val="22"/>
        </w:rPr>
        <w:t>业务市场规模超过</w:t>
      </w:r>
      <w:r w:rsidRPr="004865EF">
        <w:rPr>
          <w:rFonts w:ascii="Times New Roman" w:eastAsia="宋体" w:hAnsi="Times New Roman" w:cs="Times New Roman"/>
          <w:sz w:val="24"/>
          <w:szCs w:val="22"/>
        </w:rPr>
        <w:t>1,500</w:t>
      </w:r>
      <w:r w:rsidRPr="004865EF">
        <w:rPr>
          <w:rFonts w:ascii="Times New Roman" w:eastAsia="宋体" w:hAnsi="Times New Roman" w:cs="Times New Roman"/>
          <w:sz w:val="24"/>
          <w:szCs w:val="22"/>
        </w:rPr>
        <w:t>亿元，预计到</w:t>
      </w:r>
      <w:r w:rsidRPr="004865EF">
        <w:rPr>
          <w:rFonts w:ascii="Times New Roman" w:eastAsia="宋体" w:hAnsi="Times New Roman" w:cs="Times New Roman"/>
          <w:sz w:val="24"/>
          <w:szCs w:val="22"/>
        </w:rPr>
        <w:t>2022</w:t>
      </w:r>
      <w:r w:rsidRPr="004865EF">
        <w:rPr>
          <w:rFonts w:ascii="Times New Roman" w:eastAsia="宋体" w:hAnsi="Times New Roman" w:cs="Times New Roman"/>
          <w:sz w:val="24"/>
          <w:szCs w:val="22"/>
        </w:rPr>
        <w:t>年将超过</w:t>
      </w:r>
      <w:r w:rsidRPr="004865EF">
        <w:rPr>
          <w:rFonts w:ascii="Times New Roman" w:eastAsia="宋体" w:hAnsi="Times New Roman" w:cs="Times New Roman"/>
          <w:sz w:val="24"/>
          <w:szCs w:val="22"/>
        </w:rPr>
        <w:t>3,200</w:t>
      </w:r>
      <w:r w:rsidRPr="004865EF">
        <w:rPr>
          <w:rFonts w:ascii="Times New Roman" w:eastAsia="宋体" w:hAnsi="Times New Roman" w:cs="Times New Roman"/>
          <w:sz w:val="24"/>
          <w:szCs w:val="22"/>
        </w:rPr>
        <w:t>亿元，同比增长</w:t>
      </w:r>
      <w:r w:rsidRPr="004865EF">
        <w:rPr>
          <w:rFonts w:ascii="Times New Roman" w:eastAsia="宋体" w:hAnsi="Times New Roman" w:cs="Times New Roman"/>
          <w:sz w:val="24"/>
          <w:szCs w:val="22"/>
        </w:rPr>
        <w:t>28.8%</w:t>
      </w:r>
      <w:r w:rsidRPr="004865EF">
        <w:rPr>
          <w:rFonts w:ascii="Times New Roman" w:eastAsia="宋体" w:hAnsi="Times New Roman" w:cs="Times New Roman"/>
          <w:sz w:val="24"/>
          <w:szCs w:val="22"/>
        </w:rPr>
        <w:t>，进入新一轮爆发期。</w:t>
      </w:r>
    </w:p>
    <w:p w14:paraId="79684DA9" w14:textId="1AF588B8" w:rsidR="00602898" w:rsidRPr="004865EF" w:rsidRDefault="00602898" w:rsidP="00602898">
      <w:pPr>
        <w:jc w:val="center"/>
        <w:rPr>
          <w:rFonts w:ascii="Times New Roman" w:eastAsia="宋体" w:hAnsi="Times New Roman" w:cs="Times New Roman"/>
          <w:sz w:val="24"/>
          <w:szCs w:val="22"/>
        </w:rPr>
      </w:pPr>
    </w:p>
    <w:p w14:paraId="0EF39C5C" w14:textId="5D8391CA" w:rsidR="00C51353" w:rsidRPr="004865EF" w:rsidRDefault="00C51353" w:rsidP="00602898">
      <w:pPr>
        <w:jc w:val="center"/>
        <w:rPr>
          <w:rFonts w:ascii="Times New Roman" w:eastAsia="宋体" w:hAnsi="Times New Roman" w:cs="Times New Roman"/>
          <w:sz w:val="24"/>
          <w:szCs w:val="22"/>
        </w:rPr>
      </w:pPr>
      <w:r w:rsidRPr="004865EF">
        <w:rPr>
          <w:noProof/>
        </w:rPr>
        <w:lastRenderedPageBreak/>
        <w:drawing>
          <wp:inline distT="0" distB="0" distL="0" distR="0" wp14:anchorId="47A32E4D" wp14:editId="0DE01081">
            <wp:extent cx="4665345" cy="2544445"/>
            <wp:effectExtent l="0" t="0" r="1905" b="8255"/>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78373E" w14:textId="77777777" w:rsidR="00602898" w:rsidRPr="004865EF" w:rsidRDefault="00602898" w:rsidP="00602898">
      <w:pPr>
        <w:jc w:val="center"/>
        <w:rPr>
          <w:rFonts w:ascii="Times New Roman" w:eastAsia="宋体" w:hAnsi="Times New Roman" w:cs="Times New Roman"/>
          <w:szCs w:val="20"/>
        </w:rPr>
      </w:pPr>
      <w:r w:rsidRPr="004865EF">
        <w:rPr>
          <w:rFonts w:ascii="Times New Roman" w:eastAsia="宋体" w:hAnsi="Times New Roman" w:cs="Times New Roman"/>
          <w:szCs w:val="20"/>
        </w:rPr>
        <w:t>我国</w:t>
      </w:r>
      <w:r w:rsidRPr="004865EF">
        <w:rPr>
          <w:rFonts w:ascii="Times New Roman" w:eastAsia="宋体" w:hAnsi="Times New Roman" w:cs="Times New Roman"/>
          <w:szCs w:val="20"/>
        </w:rPr>
        <w:t>IDC</w:t>
      </w:r>
      <w:r w:rsidRPr="004865EF">
        <w:rPr>
          <w:rFonts w:ascii="Times New Roman" w:eastAsia="宋体" w:hAnsi="Times New Roman" w:cs="Times New Roman"/>
          <w:szCs w:val="20"/>
        </w:rPr>
        <w:t>市场规模及增速</w:t>
      </w:r>
    </w:p>
    <w:p w14:paraId="6BEC201C" w14:textId="77777777" w:rsidR="00602898" w:rsidRPr="004865EF" w:rsidRDefault="00602898" w:rsidP="00602898">
      <w:pPr>
        <w:spacing w:beforeLines="50" w:before="156" w:afterLines="50" w:after="156"/>
        <w:ind w:firstLineChars="200" w:firstLine="420"/>
        <w:rPr>
          <w:rFonts w:ascii="Times New Roman" w:eastAsia="宋体" w:hAnsi="Times New Roman" w:cs="Times New Roman"/>
          <w:szCs w:val="20"/>
        </w:rPr>
      </w:pPr>
      <w:r w:rsidRPr="004865EF">
        <w:rPr>
          <w:rFonts w:ascii="Times New Roman" w:eastAsia="宋体" w:hAnsi="Times New Roman" w:cs="Times New Roman"/>
          <w:szCs w:val="20"/>
        </w:rPr>
        <w:t>数据来源：中国</w:t>
      </w:r>
      <w:r w:rsidRPr="004865EF">
        <w:rPr>
          <w:rFonts w:ascii="Times New Roman" w:eastAsia="宋体" w:hAnsi="Times New Roman" w:cs="Times New Roman"/>
          <w:szCs w:val="20"/>
        </w:rPr>
        <w:t>IDC</w:t>
      </w:r>
      <w:proofErr w:type="gramStart"/>
      <w:r w:rsidRPr="004865EF">
        <w:rPr>
          <w:rFonts w:ascii="Times New Roman" w:eastAsia="宋体" w:hAnsi="Times New Roman" w:cs="Times New Roman"/>
          <w:szCs w:val="20"/>
        </w:rPr>
        <w:t>圈科智</w:t>
      </w:r>
      <w:proofErr w:type="gramEnd"/>
      <w:r w:rsidRPr="004865EF">
        <w:rPr>
          <w:rFonts w:ascii="Times New Roman" w:eastAsia="宋体" w:hAnsi="Times New Roman" w:cs="Times New Roman"/>
          <w:szCs w:val="20"/>
        </w:rPr>
        <w:t>咨询</w:t>
      </w:r>
    </w:p>
    <w:p w14:paraId="5C98C32A" w14:textId="583CF362" w:rsidR="00602898" w:rsidRPr="004865EF" w:rsidRDefault="00602898" w:rsidP="00602898">
      <w:pPr>
        <w:adjustRightInd w:val="0"/>
        <w:snapToGrid w:val="0"/>
        <w:spacing w:beforeLines="50" w:before="156"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我国数据中心规模和数量快速增长。</w:t>
      </w:r>
      <w:r w:rsidRPr="004865EF">
        <w:rPr>
          <w:rFonts w:ascii="Times New Roman" w:eastAsia="宋体" w:hAnsi="Times New Roman" w:cs="Times New Roman" w:hint="eastAsia"/>
          <w:sz w:val="24"/>
          <w:szCs w:val="22"/>
        </w:rPr>
        <w:t>根据</w:t>
      </w:r>
      <w:r w:rsidR="00151A96" w:rsidRPr="004865EF">
        <w:rPr>
          <w:rFonts w:ascii="Times New Roman" w:eastAsia="宋体" w:hAnsi="Times New Roman" w:cs="Times New Roman" w:hint="eastAsia"/>
          <w:sz w:val="24"/>
          <w:szCs w:val="22"/>
        </w:rPr>
        <w:t>前瞻产业研究院等</w:t>
      </w:r>
      <w:r w:rsidRPr="004865EF">
        <w:rPr>
          <w:rFonts w:ascii="Times New Roman" w:eastAsia="宋体" w:hAnsi="Times New Roman" w:cs="Times New Roman" w:hint="eastAsia"/>
          <w:sz w:val="24"/>
          <w:szCs w:val="22"/>
        </w:rPr>
        <w:t>数据，</w:t>
      </w:r>
      <w:r w:rsidRPr="004865EF">
        <w:rPr>
          <w:rFonts w:ascii="Times New Roman" w:eastAsia="宋体" w:hAnsi="Times New Roman" w:cs="Times New Roman"/>
          <w:sz w:val="24"/>
          <w:szCs w:val="22"/>
        </w:rPr>
        <w:t>2013</w:t>
      </w:r>
      <w:r w:rsidRPr="004865EF">
        <w:rPr>
          <w:rFonts w:ascii="Times New Roman" w:eastAsia="宋体" w:hAnsi="Times New Roman" w:cs="Times New Roman" w:hint="eastAsia"/>
          <w:sz w:val="24"/>
          <w:szCs w:val="22"/>
        </w:rPr>
        <w:t>年以来，我国数据中心总体规模快速增长，到</w:t>
      </w:r>
      <w:r w:rsidRPr="004865EF">
        <w:rPr>
          <w:rFonts w:ascii="Times New Roman" w:eastAsia="宋体" w:hAnsi="Times New Roman" w:cs="Times New Roman"/>
          <w:sz w:val="24"/>
          <w:szCs w:val="22"/>
        </w:rPr>
        <w:t>201</w:t>
      </w:r>
      <w:r w:rsidR="00151A96" w:rsidRPr="004865EF">
        <w:rPr>
          <w:rFonts w:ascii="Times New Roman" w:eastAsia="宋体" w:hAnsi="Times New Roman" w:cs="Times New Roman"/>
          <w:sz w:val="24"/>
          <w:szCs w:val="22"/>
        </w:rPr>
        <w:t>9</w:t>
      </w:r>
      <w:r w:rsidRPr="004865EF">
        <w:rPr>
          <w:rFonts w:ascii="Times New Roman" w:eastAsia="宋体" w:hAnsi="Times New Roman" w:cs="Times New Roman" w:hint="eastAsia"/>
          <w:sz w:val="24"/>
          <w:szCs w:val="22"/>
        </w:rPr>
        <w:t>年底，我国在用数据中心机架总体规模达到</w:t>
      </w:r>
      <w:r w:rsidR="00151A96" w:rsidRPr="004865EF">
        <w:rPr>
          <w:rFonts w:ascii="Times New Roman" w:eastAsia="宋体" w:hAnsi="Times New Roman" w:cs="Times New Roman"/>
          <w:sz w:val="24"/>
          <w:szCs w:val="22"/>
        </w:rPr>
        <w:t>227</w:t>
      </w:r>
      <w:r w:rsidRPr="004865EF">
        <w:rPr>
          <w:rFonts w:ascii="Times New Roman" w:eastAsia="宋体" w:hAnsi="Times New Roman" w:cs="Times New Roman" w:hint="eastAsia"/>
          <w:sz w:val="24"/>
          <w:szCs w:val="22"/>
        </w:rPr>
        <w:t>万架，</w:t>
      </w:r>
      <w:r w:rsidR="00151A96" w:rsidRPr="004865EF">
        <w:rPr>
          <w:rFonts w:ascii="Times New Roman" w:eastAsia="宋体" w:hAnsi="Times New Roman" w:cs="Times New Roman" w:hint="eastAsia"/>
          <w:sz w:val="24"/>
          <w:szCs w:val="22"/>
        </w:rPr>
        <w:t>规划在建数据中心</w:t>
      </w:r>
      <w:r w:rsidR="00151A96" w:rsidRPr="004865EF">
        <w:rPr>
          <w:rFonts w:ascii="Times New Roman" w:eastAsia="宋体" w:hAnsi="Times New Roman" w:cs="Times New Roman"/>
          <w:sz w:val="24"/>
          <w:szCs w:val="22"/>
        </w:rPr>
        <w:t>320</w:t>
      </w:r>
      <w:r w:rsidR="00151A96" w:rsidRPr="004865EF">
        <w:rPr>
          <w:rFonts w:ascii="Times New Roman" w:eastAsia="宋体" w:hAnsi="Times New Roman" w:cs="Times New Roman" w:hint="eastAsia"/>
          <w:sz w:val="24"/>
          <w:szCs w:val="22"/>
        </w:rPr>
        <w:t>个，超大型、大型数据中心数量占比达到</w:t>
      </w:r>
      <w:r w:rsidR="00151A96" w:rsidRPr="004865EF">
        <w:rPr>
          <w:rFonts w:ascii="Times New Roman" w:eastAsia="宋体" w:hAnsi="Times New Roman" w:cs="Times New Roman"/>
          <w:sz w:val="24"/>
          <w:szCs w:val="22"/>
        </w:rPr>
        <w:t>36.1%</w:t>
      </w:r>
      <w:r w:rsidR="00151A96"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预计未来</w:t>
      </w:r>
      <w:r w:rsidR="00151A96" w:rsidRPr="004865EF">
        <w:rPr>
          <w:rFonts w:ascii="Times New Roman" w:eastAsia="宋体" w:hAnsi="Times New Roman" w:cs="Times New Roman" w:hint="eastAsia"/>
          <w:sz w:val="24"/>
          <w:szCs w:val="22"/>
        </w:rPr>
        <w:t>大型及以上数据中心</w:t>
      </w:r>
      <w:r w:rsidRPr="004865EF">
        <w:rPr>
          <w:rFonts w:ascii="Times New Roman" w:eastAsia="宋体" w:hAnsi="Times New Roman" w:cs="Times New Roman" w:hint="eastAsia"/>
          <w:sz w:val="24"/>
          <w:szCs w:val="22"/>
        </w:rPr>
        <w:t>占比将进一步提高。</w:t>
      </w:r>
    </w:p>
    <w:p w14:paraId="6B83F8CC" w14:textId="77777777" w:rsidR="00602898" w:rsidRPr="004865EF" w:rsidRDefault="00602898" w:rsidP="00602898">
      <w:pPr>
        <w:adjustRightInd w:val="0"/>
        <w:snapToGrid w:val="0"/>
        <w:spacing w:beforeLines="50" w:before="156" w:line="360" w:lineRule="auto"/>
        <w:ind w:firstLineChars="200" w:firstLine="480"/>
        <w:rPr>
          <w:rFonts w:ascii="Times New Roman" w:eastAsia="宋体" w:hAnsi="Times New Roman" w:cs="Times New Roman"/>
          <w:sz w:val="24"/>
          <w:szCs w:val="22"/>
        </w:rPr>
      </w:pPr>
      <w:proofErr w:type="gramStart"/>
      <w:r w:rsidRPr="004865EF">
        <w:rPr>
          <w:rFonts w:ascii="Times New Roman" w:eastAsia="宋体" w:hAnsi="Times New Roman" w:cs="Times New Roman"/>
          <w:sz w:val="24"/>
          <w:szCs w:val="22"/>
        </w:rPr>
        <w:t>云计算</w:t>
      </w:r>
      <w:proofErr w:type="gramEnd"/>
      <w:r w:rsidRPr="004865EF">
        <w:rPr>
          <w:rFonts w:ascii="Times New Roman" w:eastAsia="宋体" w:hAnsi="Times New Roman" w:cs="Times New Roman"/>
          <w:sz w:val="24"/>
          <w:szCs w:val="22"/>
        </w:rPr>
        <w:t>的发展是拉动大型数据中心投资建设的核心动力，</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驱动的超大规模数据中心将成为未来数据中心发展的主要形式。</w:t>
      </w:r>
      <w:r w:rsidRPr="004865EF">
        <w:rPr>
          <w:rFonts w:ascii="Times New Roman" w:eastAsia="宋体" w:hAnsi="Times New Roman" w:cs="Times New Roman"/>
          <w:sz w:val="24"/>
          <w:szCs w:val="22"/>
        </w:rPr>
        <w:t>根据中国信息通信研究院数据，</w:t>
      </w:r>
      <w:r w:rsidRPr="004865EF">
        <w:rPr>
          <w:rFonts w:ascii="Times New Roman" w:eastAsia="宋体" w:hAnsi="Times New Roman" w:cs="Times New Roman"/>
          <w:sz w:val="24"/>
          <w:szCs w:val="22"/>
        </w:rPr>
        <w:t>2018</w:t>
      </w:r>
      <w:r w:rsidRPr="004865EF">
        <w:rPr>
          <w:rFonts w:ascii="Times New Roman" w:eastAsia="宋体" w:hAnsi="Times New Roman" w:cs="Times New Roman"/>
          <w:sz w:val="24"/>
          <w:szCs w:val="22"/>
        </w:rPr>
        <w:t>年我国</w:t>
      </w:r>
      <w:proofErr w:type="gramStart"/>
      <w:r w:rsidRPr="004865EF">
        <w:rPr>
          <w:rFonts w:ascii="Times New Roman" w:eastAsia="宋体" w:hAnsi="Times New Roman" w:cs="Times New Roman"/>
          <w:sz w:val="24"/>
          <w:szCs w:val="22"/>
        </w:rPr>
        <w:t>云计算</w:t>
      </w:r>
      <w:proofErr w:type="gramEnd"/>
      <w:r w:rsidRPr="004865EF">
        <w:rPr>
          <w:rFonts w:ascii="Times New Roman" w:eastAsia="宋体" w:hAnsi="Times New Roman" w:cs="Times New Roman"/>
          <w:sz w:val="24"/>
          <w:szCs w:val="22"/>
        </w:rPr>
        <w:t>整体市场规模达</w:t>
      </w:r>
      <w:r w:rsidRPr="004865EF">
        <w:rPr>
          <w:rFonts w:ascii="Times New Roman" w:eastAsia="宋体" w:hAnsi="Times New Roman" w:cs="Times New Roman"/>
          <w:sz w:val="24"/>
          <w:szCs w:val="22"/>
        </w:rPr>
        <w:t>962.8</w:t>
      </w:r>
      <w:r w:rsidRPr="004865EF">
        <w:rPr>
          <w:rFonts w:ascii="Times New Roman" w:eastAsia="宋体" w:hAnsi="Times New Roman" w:cs="Times New Roman"/>
          <w:sz w:val="24"/>
          <w:szCs w:val="22"/>
        </w:rPr>
        <w:t>亿元，增速</w:t>
      </w:r>
      <w:r w:rsidRPr="004865EF">
        <w:rPr>
          <w:rFonts w:ascii="Times New Roman" w:eastAsia="宋体" w:hAnsi="Times New Roman" w:cs="Times New Roman"/>
          <w:sz w:val="24"/>
          <w:szCs w:val="22"/>
        </w:rPr>
        <w:t>39.2%</w:t>
      </w:r>
      <w:r w:rsidRPr="004865EF">
        <w:rPr>
          <w:rFonts w:ascii="Times New Roman" w:eastAsia="宋体" w:hAnsi="Times New Roman" w:cs="Times New Roman"/>
          <w:sz w:val="24"/>
          <w:szCs w:val="22"/>
        </w:rPr>
        <w:t>。其中，</w:t>
      </w:r>
      <w:proofErr w:type="gramStart"/>
      <w:r w:rsidRPr="004865EF">
        <w:rPr>
          <w:rFonts w:ascii="Times New Roman" w:eastAsia="宋体" w:hAnsi="Times New Roman" w:cs="Times New Roman"/>
          <w:sz w:val="24"/>
          <w:szCs w:val="22"/>
        </w:rPr>
        <w:t>公有云市场</w:t>
      </w:r>
      <w:proofErr w:type="gramEnd"/>
      <w:r w:rsidRPr="004865EF">
        <w:rPr>
          <w:rFonts w:ascii="Times New Roman" w:eastAsia="宋体" w:hAnsi="Times New Roman" w:cs="Times New Roman"/>
          <w:sz w:val="24"/>
          <w:szCs w:val="22"/>
        </w:rPr>
        <w:t>规模达到</w:t>
      </w:r>
      <w:r w:rsidRPr="004865EF">
        <w:rPr>
          <w:rFonts w:ascii="Times New Roman" w:eastAsia="宋体" w:hAnsi="Times New Roman" w:cs="Times New Roman"/>
          <w:sz w:val="24"/>
          <w:szCs w:val="22"/>
        </w:rPr>
        <w:t>437</w:t>
      </w:r>
      <w:r w:rsidRPr="004865EF">
        <w:rPr>
          <w:rFonts w:ascii="Times New Roman" w:eastAsia="宋体" w:hAnsi="Times New Roman" w:cs="Times New Roman"/>
          <w:sz w:val="24"/>
          <w:szCs w:val="22"/>
        </w:rPr>
        <w:t>亿元，相比</w:t>
      </w:r>
      <w:r w:rsidRPr="004865EF">
        <w:rPr>
          <w:rFonts w:ascii="Times New Roman" w:eastAsia="宋体" w:hAnsi="Times New Roman" w:cs="Times New Roman"/>
          <w:sz w:val="24"/>
          <w:szCs w:val="22"/>
        </w:rPr>
        <w:t>2017</w:t>
      </w:r>
      <w:r w:rsidRPr="004865EF">
        <w:rPr>
          <w:rFonts w:ascii="Times New Roman" w:eastAsia="宋体" w:hAnsi="Times New Roman" w:cs="Times New Roman"/>
          <w:sz w:val="24"/>
          <w:szCs w:val="22"/>
        </w:rPr>
        <w:t>年增长</w:t>
      </w:r>
      <w:r w:rsidRPr="004865EF">
        <w:rPr>
          <w:rFonts w:ascii="Times New Roman" w:eastAsia="宋体" w:hAnsi="Times New Roman" w:cs="Times New Roman"/>
          <w:sz w:val="24"/>
          <w:szCs w:val="22"/>
        </w:rPr>
        <w:t>65.2%</w:t>
      </w:r>
      <w:r w:rsidRPr="004865EF">
        <w:rPr>
          <w:rFonts w:ascii="Times New Roman" w:eastAsia="宋体" w:hAnsi="Times New Roman" w:cs="Times New Roman"/>
          <w:sz w:val="24"/>
          <w:szCs w:val="22"/>
        </w:rPr>
        <w:t>，预计</w:t>
      </w:r>
      <w:r w:rsidRPr="004865EF">
        <w:rPr>
          <w:rFonts w:ascii="Times New Roman" w:eastAsia="宋体" w:hAnsi="Times New Roman" w:cs="Times New Roman"/>
          <w:sz w:val="24"/>
          <w:szCs w:val="22"/>
        </w:rPr>
        <w:t>2019-2022</w:t>
      </w:r>
      <w:r w:rsidRPr="004865EF">
        <w:rPr>
          <w:rFonts w:ascii="Times New Roman" w:eastAsia="宋体" w:hAnsi="Times New Roman" w:cs="Times New Roman"/>
          <w:sz w:val="24"/>
          <w:szCs w:val="22"/>
        </w:rPr>
        <w:t>年仍将处于快速增长阶段，到</w:t>
      </w:r>
      <w:r w:rsidRPr="004865EF">
        <w:rPr>
          <w:rFonts w:ascii="Times New Roman" w:eastAsia="宋体" w:hAnsi="Times New Roman" w:cs="Times New Roman"/>
          <w:sz w:val="24"/>
          <w:szCs w:val="22"/>
        </w:rPr>
        <w:t>2022</w:t>
      </w:r>
      <w:r w:rsidRPr="004865EF">
        <w:rPr>
          <w:rFonts w:ascii="Times New Roman" w:eastAsia="宋体" w:hAnsi="Times New Roman" w:cs="Times New Roman"/>
          <w:sz w:val="24"/>
          <w:szCs w:val="22"/>
        </w:rPr>
        <w:t>年市场规模将达到</w:t>
      </w:r>
      <w:r w:rsidRPr="004865EF">
        <w:rPr>
          <w:rFonts w:ascii="Times New Roman" w:eastAsia="宋体" w:hAnsi="Times New Roman" w:cs="Times New Roman"/>
          <w:sz w:val="24"/>
          <w:szCs w:val="22"/>
        </w:rPr>
        <w:t>1,731</w:t>
      </w:r>
      <w:r w:rsidRPr="004865EF">
        <w:rPr>
          <w:rFonts w:ascii="Times New Roman" w:eastAsia="宋体" w:hAnsi="Times New Roman" w:cs="Times New Roman"/>
          <w:sz w:val="24"/>
          <w:szCs w:val="22"/>
        </w:rPr>
        <w:t>亿元；</w:t>
      </w:r>
      <w:proofErr w:type="gramStart"/>
      <w:r w:rsidRPr="004865EF">
        <w:rPr>
          <w:rFonts w:ascii="Times New Roman" w:eastAsia="宋体" w:hAnsi="Times New Roman" w:cs="Times New Roman"/>
          <w:sz w:val="24"/>
          <w:szCs w:val="22"/>
        </w:rPr>
        <w:t>私有云市场</w:t>
      </w:r>
      <w:proofErr w:type="gramEnd"/>
      <w:r w:rsidRPr="004865EF">
        <w:rPr>
          <w:rFonts w:ascii="Times New Roman" w:eastAsia="宋体" w:hAnsi="Times New Roman" w:cs="Times New Roman"/>
          <w:sz w:val="24"/>
          <w:szCs w:val="22"/>
        </w:rPr>
        <w:t>规模达</w:t>
      </w:r>
      <w:r w:rsidRPr="004865EF">
        <w:rPr>
          <w:rFonts w:ascii="Times New Roman" w:eastAsia="宋体" w:hAnsi="Times New Roman" w:cs="Times New Roman"/>
          <w:sz w:val="24"/>
          <w:szCs w:val="22"/>
        </w:rPr>
        <w:t>525</w:t>
      </w:r>
      <w:r w:rsidRPr="004865EF">
        <w:rPr>
          <w:rFonts w:ascii="Times New Roman" w:eastAsia="宋体" w:hAnsi="Times New Roman" w:cs="Times New Roman"/>
          <w:sz w:val="24"/>
          <w:szCs w:val="22"/>
        </w:rPr>
        <w:t>亿元，较</w:t>
      </w:r>
      <w:r w:rsidRPr="004865EF">
        <w:rPr>
          <w:rFonts w:ascii="Times New Roman" w:eastAsia="宋体" w:hAnsi="Times New Roman" w:cs="Times New Roman"/>
          <w:sz w:val="24"/>
          <w:szCs w:val="22"/>
        </w:rPr>
        <w:t>2017</w:t>
      </w:r>
      <w:r w:rsidRPr="004865EF">
        <w:rPr>
          <w:rFonts w:ascii="Times New Roman" w:eastAsia="宋体" w:hAnsi="Times New Roman" w:cs="Times New Roman"/>
          <w:sz w:val="24"/>
          <w:szCs w:val="22"/>
        </w:rPr>
        <w:t>年增长</w:t>
      </w:r>
      <w:r w:rsidRPr="004865EF">
        <w:rPr>
          <w:rFonts w:ascii="Times New Roman" w:eastAsia="宋体" w:hAnsi="Times New Roman" w:cs="Times New Roman"/>
          <w:sz w:val="24"/>
          <w:szCs w:val="22"/>
        </w:rPr>
        <w:t>23.1%</w:t>
      </w:r>
      <w:r w:rsidRPr="004865EF">
        <w:rPr>
          <w:rFonts w:ascii="Times New Roman" w:eastAsia="宋体" w:hAnsi="Times New Roman" w:cs="Times New Roman"/>
          <w:sz w:val="24"/>
          <w:szCs w:val="22"/>
        </w:rPr>
        <w:t>，预计未来几年将保持稳定增长，到</w:t>
      </w:r>
      <w:r w:rsidRPr="004865EF">
        <w:rPr>
          <w:rFonts w:ascii="Times New Roman" w:eastAsia="宋体" w:hAnsi="Times New Roman" w:cs="Times New Roman"/>
          <w:sz w:val="24"/>
          <w:szCs w:val="22"/>
        </w:rPr>
        <w:t>2022</w:t>
      </w:r>
      <w:r w:rsidRPr="004865EF">
        <w:rPr>
          <w:rFonts w:ascii="Times New Roman" w:eastAsia="宋体" w:hAnsi="Times New Roman" w:cs="Times New Roman"/>
          <w:sz w:val="24"/>
          <w:szCs w:val="22"/>
        </w:rPr>
        <w:t>年市场规模将达到</w:t>
      </w:r>
      <w:r w:rsidRPr="004865EF">
        <w:rPr>
          <w:rFonts w:ascii="Times New Roman" w:eastAsia="宋体" w:hAnsi="Times New Roman" w:cs="Times New Roman"/>
          <w:sz w:val="24"/>
          <w:szCs w:val="22"/>
        </w:rPr>
        <w:t>1,172</w:t>
      </w:r>
      <w:r w:rsidRPr="004865EF">
        <w:rPr>
          <w:rFonts w:ascii="Times New Roman" w:eastAsia="宋体" w:hAnsi="Times New Roman" w:cs="Times New Roman"/>
          <w:sz w:val="24"/>
          <w:szCs w:val="22"/>
        </w:rPr>
        <w:t>亿元。</w:t>
      </w:r>
    </w:p>
    <w:p w14:paraId="40ECA272" w14:textId="5E760D1E" w:rsidR="00602898" w:rsidRPr="004865EF" w:rsidRDefault="00602898" w:rsidP="00602898">
      <w:pPr>
        <w:jc w:val="center"/>
        <w:rPr>
          <w:rFonts w:ascii="Times New Roman" w:eastAsia="宋体" w:hAnsi="Times New Roman" w:cs="Times New Roman"/>
          <w:noProof/>
          <w:szCs w:val="20"/>
        </w:rPr>
      </w:pPr>
    </w:p>
    <w:p w14:paraId="69456440" w14:textId="67572673" w:rsidR="00C51353" w:rsidRPr="004865EF" w:rsidRDefault="00C51353" w:rsidP="00602898">
      <w:pPr>
        <w:jc w:val="center"/>
        <w:rPr>
          <w:rFonts w:ascii="Times New Roman" w:eastAsia="宋体" w:hAnsi="Times New Roman" w:cs="Times New Roman"/>
          <w:noProof/>
          <w:szCs w:val="20"/>
        </w:rPr>
      </w:pPr>
      <w:r w:rsidRPr="004865EF">
        <w:rPr>
          <w:noProof/>
        </w:rPr>
        <w:lastRenderedPageBreak/>
        <w:drawing>
          <wp:inline distT="0" distB="0" distL="0" distR="0" wp14:anchorId="1BB19C41" wp14:editId="67E5D8F0">
            <wp:extent cx="4605020" cy="2708910"/>
            <wp:effectExtent l="0" t="0" r="5080" b="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20BE50" w14:textId="77777777" w:rsidR="00602898" w:rsidRPr="004865EF" w:rsidRDefault="00602898" w:rsidP="00602898">
      <w:pPr>
        <w:jc w:val="center"/>
        <w:rPr>
          <w:rFonts w:ascii="Times New Roman" w:eastAsia="宋体" w:hAnsi="Times New Roman" w:cs="Times New Roman"/>
          <w:noProof/>
          <w:szCs w:val="20"/>
        </w:rPr>
      </w:pPr>
      <w:r w:rsidRPr="004865EF">
        <w:rPr>
          <w:rFonts w:ascii="Times New Roman" w:eastAsia="宋体" w:hAnsi="Times New Roman" w:cs="Times New Roman"/>
          <w:noProof/>
          <w:szCs w:val="20"/>
        </w:rPr>
        <w:t>我国公有云市场规模及增速</w:t>
      </w:r>
    </w:p>
    <w:p w14:paraId="7031E72A" w14:textId="77777777" w:rsidR="00602898" w:rsidRPr="004865EF" w:rsidRDefault="00602898" w:rsidP="00602898">
      <w:pPr>
        <w:spacing w:beforeLines="50" w:before="156" w:afterLines="50" w:after="156"/>
        <w:jc w:val="left"/>
        <w:rPr>
          <w:rFonts w:ascii="Times New Roman" w:eastAsia="宋体" w:hAnsi="Times New Roman" w:cs="Times New Roman"/>
          <w:noProof/>
          <w:szCs w:val="20"/>
        </w:rPr>
      </w:pPr>
      <w:r w:rsidRPr="004865EF">
        <w:rPr>
          <w:rFonts w:ascii="Times New Roman" w:eastAsia="宋体" w:hAnsi="Times New Roman" w:cs="Times New Roman"/>
          <w:noProof/>
          <w:szCs w:val="20"/>
        </w:rPr>
        <w:t>数据来源：中国信息通信研究院，</w:t>
      </w:r>
      <w:r w:rsidRPr="004865EF">
        <w:rPr>
          <w:rFonts w:ascii="Times New Roman" w:eastAsia="宋体" w:hAnsi="Times New Roman" w:cs="Times New Roman"/>
          <w:noProof/>
          <w:szCs w:val="20"/>
        </w:rPr>
        <w:t>2019</w:t>
      </w:r>
      <w:r w:rsidRPr="004865EF">
        <w:rPr>
          <w:rFonts w:ascii="Times New Roman" w:eastAsia="宋体" w:hAnsi="Times New Roman" w:cs="Times New Roman"/>
          <w:noProof/>
          <w:szCs w:val="20"/>
        </w:rPr>
        <w:t>年</w:t>
      </w:r>
      <w:r w:rsidRPr="004865EF">
        <w:rPr>
          <w:rFonts w:ascii="Times New Roman" w:eastAsia="宋体" w:hAnsi="Times New Roman" w:cs="Times New Roman"/>
          <w:noProof/>
          <w:szCs w:val="20"/>
        </w:rPr>
        <w:t>5</w:t>
      </w:r>
      <w:r w:rsidRPr="004865EF">
        <w:rPr>
          <w:rFonts w:ascii="Times New Roman" w:eastAsia="宋体" w:hAnsi="Times New Roman" w:cs="Times New Roman"/>
          <w:noProof/>
          <w:szCs w:val="20"/>
        </w:rPr>
        <w:t>月</w:t>
      </w:r>
    </w:p>
    <w:p w14:paraId="457E29DF" w14:textId="71E23088" w:rsidR="00602898" w:rsidRPr="004865EF" w:rsidRDefault="00602898" w:rsidP="00602898">
      <w:pPr>
        <w:jc w:val="center"/>
        <w:rPr>
          <w:rFonts w:ascii="Times New Roman" w:eastAsia="宋体" w:hAnsi="Times New Roman" w:cs="Times New Roman"/>
          <w:szCs w:val="20"/>
        </w:rPr>
      </w:pPr>
    </w:p>
    <w:p w14:paraId="78F43B49" w14:textId="3931BB01" w:rsidR="00C51353" w:rsidRPr="004865EF" w:rsidRDefault="0082330D" w:rsidP="00602898">
      <w:pPr>
        <w:jc w:val="center"/>
        <w:rPr>
          <w:rFonts w:ascii="Times New Roman" w:eastAsia="宋体" w:hAnsi="Times New Roman" w:cs="Times New Roman"/>
          <w:szCs w:val="20"/>
        </w:rPr>
      </w:pPr>
      <w:r w:rsidRPr="004865EF">
        <w:rPr>
          <w:noProof/>
        </w:rPr>
        <w:drawing>
          <wp:inline distT="0" distB="0" distL="0" distR="0" wp14:anchorId="3F376130" wp14:editId="77C0523D">
            <wp:extent cx="4572000" cy="2743200"/>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14193458" w14:textId="77777777" w:rsidR="00602898" w:rsidRPr="004865EF" w:rsidRDefault="00602898" w:rsidP="00602898">
      <w:pPr>
        <w:jc w:val="center"/>
        <w:rPr>
          <w:rFonts w:ascii="Times New Roman" w:eastAsia="宋体" w:hAnsi="Times New Roman" w:cs="Times New Roman"/>
          <w:szCs w:val="20"/>
        </w:rPr>
      </w:pPr>
      <w:r w:rsidRPr="004865EF">
        <w:rPr>
          <w:rFonts w:ascii="Times New Roman" w:eastAsia="宋体" w:hAnsi="Times New Roman" w:cs="Times New Roman"/>
          <w:szCs w:val="20"/>
        </w:rPr>
        <w:t>我国</w:t>
      </w:r>
      <w:proofErr w:type="gramStart"/>
      <w:r w:rsidRPr="004865EF">
        <w:rPr>
          <w:rFonts w:ascii="Times New Roman" w:eastAsia="宋体" w:hAnsi="Times New Roman" w:cs="Times New Roman"/>
          <w:szCs w:val="20"/>
        </w:rPr>
        <w:t>私有云市场</w:t>
      </w:r>
      <w:proofErr w:type="gramEnd"/>
      <w:r w:rsidRPr="004865EF">
        <w:rPr>
          <w:rFonts w:ascii="Times New Roman" w:eastAsia="宋体" w:hAnsi="Times New Roman" w:cs="Times New Roman"/>
          <w:szCs w:val="20"/>
        </w:rPr>
        <w:t>规模及增速</w:t>
      </w:r>
    </w:p>
    <w:p w14:paraId="25F9CFC3" w14:textId="77777777" w:rsidR="00602898" w:rsidRPr="004865EF" w:rsidRDefault="00602898" w:rsidP="00602898">
      <w:pPr>
        <w:spacing w:beforeLines="50" w:before="156" w:afterLines="50" w:after="156"/>
        <w:rPr>
          <w:rFonts w:ascii="Times New Roman" w:eastAsia="宋体" w:hAnsi="Times New Roman" w:cs="Times New Roman"/>
          <w:szCs w:val="20"/>
        </w:rPr>
      </w:pPr>
      <w:r w:rsidRPr="004865EF">
        <w:rPr>
          <w:rFonts w:ascii="Times New Roman" w:eastAsia="宋体" w:hAnsi="Times New Roman" w:cs="Times New Roman"/>
          <w:szCs w:val="20"/>
        </w:rPr>
        <w:t>数据来源：中国信息通信研究院，</w:t>
      </w:r>
      <w:r w:rsidRPr="004865EF">
        <w:rPr>
          <w:rFonts w:ascii="Times New Roman" w:eastAsia="宋体" w:hAnsi="Times New Roman" w:cs="Times New Roman"/>
          <w:szCs w:val="20"/>
        </w:rPr>
        <w:t>2019</w:t>
      </w:r>
      <w:r w:rsidRPr="004865EF">
        <w:rPr>
          <w:rFonts w:ascii="Times New Roman" w:eastAsia="宋体" w:hAnsi="Times New Roman" w:cs="Times New Roman"/>
          <w:szCs w:val="20"/>
        </w:rPr>
        <w:t>年</w:t>
      </w:r>
      <w:r w:rsidRPr="004865EF">
        <w:rPr>
          <w:rFonts w:ascii="Times New Roman" w:eastAsia="宋体" w:hAnsi="Times New Roman" w:cs="Times New Roman"/>
          <w:szCs w:val="20"/>
        </w:rPr>
        <w:t>5</w:t>
      </w:r>
      <w:r w:rsidRPr="004865EF">
        <w:rPr>
          <w:rFonts w:ascii="Times New Roman" w:eastAsia="宋体" w:hAnsi="Times New Roman" w:cs="Times New Roman"/>
          <w:szCs w:val="20"/>
        </w:rPr>
        <w:t>月</w:t>
      </w:r>
    </w:p>
    <w:p w14:paraId="7BA443BA"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sz w:val="24"/>
          <w:szCs w:val="22"/>
        </w:rPr>
      </w:pP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行业的快速发展带来</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服务提供</w:t>
      </w:r>
      <w:proofErr w:type="gramStart"/>
      <w:r w:rsidRPr="004865EF">
        <w:rPr>
          <w:rFonts w:ascii="Times New Roman" w:eastAsia="宋体" w:hAnsi="Times New Roman" w:cs="Times New Roman" w:hint="eastAsia"/>
          <w:sz w:val="24"/>
          <w:szCs w:val="22"/>
        </w:rPr>
        <w:t>商业务</w:t>
      </w:r>
      <w:proofErr w:type="gramEnd"/>
      <w:r w:rsidRPr="004865EF">
        <w:rPr>
          <w:rFonts w:ascii="Times New Roman" w:eastAsia="宋体" w:hAnsi="Times New Roman" w:cs="Times New Roman" w:hint="eastAsia"/>
          <w:sz w:val="24"/>
          <w:szCs w:val="22"/>
        </w:rPr>
        <w:t>的快速扩张，从而带来其对大型数据中心的大量需求。</w:t>
      </w:r>
    </w:p>
    <w:p w14:paraId="67C7393E"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3</w:t>
      </w:r>
      <w:r w:rsidRPr="004865EF">
        <w:rPr>
          <w:rFonts w:ascii="Times New Roman" w:eastAsia="宋体" w:hAnsi="Times New Roman" w:cs="Times New Roman" w:hint="eastAsia"/>
          <w:sz w:val="24"/>
          <w:szCs w:val="22"/>
        </w:rPr>
        <w:t>、一线城市数据中心资源稀缺，具有较强的市场竞争力</w:t>
      </w:r>
    </w:p>
    <w:p w14:paraId="60EBF755"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kern w:val="0"/>
          <w:sz w:val="24"/>
          <w:szCs w:val="21"/>
        </w:rPr>
      </w:pPr>
      <w:r w:rsidRPr="004865EF">
        <w:rPr>
          <w:rFonts w:ascii="Times New Roman" w:eastAsia="宋体" w:hAnsi="Times New Roman" w:cs="Times New Roman"/>
          <w:kern w:val="0"/>
          <w:sz w:val="24"/>
          <w:szCs w:val="21"/>
        </w:rPr>
        <w:t>工信部发布《关于数据中心建设布局的指导意见》、《全国数据中心应用发展指引（</w:t>
      </w:r>
      <w:r w:rsidRPr="004865EF">
        <w:rPr>
          <w:rFonts w:ascii="Times New Roman" w:eastAsia="宋体" w:hAnsi="Times New Roman" w:cs="Times New Roman"/>
          <w:kern w:val="0"/>
          <w:sz w:val="24"/>
          <w:szCs w:val="21"/>
        </w:rPr>
        <w:t>2017</w:t>
      </w:r>
      <w:r w:rsidRPr="004865EF">
        <w:rPr>
          <w:rFonts w:ascii="Times New Roman" w:eastAsia="宋体" w:hAnsi="Times New Roman" w:cs="Times New Roman"/>
          <w:kern w:val="0"/>
          <w:sz w:val="24"/>
          <w:szCs w:val="21"/>
        </w:rPr>
        <w:t>）》以及《全国数据中心应用发展指引（</w:t>
      </w:r>
      <w:r w:rsidRPr="004865EF">
        <w:rPr>
          <w:rFonts w:ascii="Times New Roman" w:eastAsia="宋体" w:hAnsi="Times New Roman" w:cs="Times New Roman"/>
          <w:kern w:val="0"/>
          <w:sz w:val="24"/>
          <w:szCs w:val="21"/>
        </w:rPr>
        <w:t>2018</w:t>
      </w:r>
      <w:r w:rsidRPr="004865EF">
        <w:rPr>
          <w:rFonts w:ascii="Times New Roman" w:eastAsia="宋体" w:hAnsi="Times New Roman" w:cs="Times New Roman"/>
          <w:kern w:val="0"/>
          <w:sz w:val="24"/>
          <w:szCs w:val="21"/>
        </w:rPr>
        <w:t>）》，引导国内</w:t>
      </w:r>
      <w:r w:rsidRPr="004865EF">
        <w:rPr>
          <w:rFonts w:ascii="Times New Roman" w:eastAsia="宋体" w:hAnsi="Times New Roman" w:cs="Times New Roman"/>
          <w:kern w:val="0"/>
          <w:sz w:val="24"/>
          <w:szCs w:val="21"/>
        </w:rPr>
        <w:t>IDC</w:t>
      </w:r>
      <w:r w:rsidRPr="004865EF">
        <w:rPr>
          <w:rFonts w:ascii="Times New Roman" w:eastAsia="宋体" w:hAnsi="Times New Roman" w:cs="Times New Roman"/>
          <w:kern w:val="0"/>
          <w:sz w:val="24"/>
          <w:szCs w:val="21"/>
        </w:rPr>
        <w:lastRenderedPageBreak/>
        <w:t>行业的布局，规范数据中心建设标准、建设选择，同时对数据中心能耗效率（</w:t>
      </w:r>
      <w:r w:rsidRPr="004865EF">
        <w:rPr>
          <w:rFonts w:ascii="Times New Roman" w:eastAsia="宋体" w:hAnsi="Times New Roman" w:cs="Times New Roman"/>
          <w:kern w:val="0"/>
          <w:sz w:val="24"/>
          <w:szCs w:val="21"/>
        </w:rPr>
        <w:t>PUE</w:t>
      </w:r>
      <w:r w:rsidRPr="004865EF">
        <w:rPr>
          <w:rFonts w:ascii="Times New Roman" w:eastAsia="宋体" w:hAnsi="Times New Roman" w:cs="Times New Roman"/>
          <w:kern w:val="0"/>
          <w:sz w:val="24"/>
          <w:szCs w:val="21"/>
        </w:rPr>
        <w:t>）提出限制。目前，国内一线城市数据中心建设项目审批条件严格，</w:t>
      </w:r>
      <w:r w:rsidRPr="004865EF">
        <w:rPr>
          <w:rFonts w:ascii="Times New Roman" w:eastAsia="宋体" w:hAnsi="Times New Roman" w:cs="Times New Roman"/>
          <w:kern w:val="0"/>
          <w:sz w:val="24"/>
          <w:szCs w:val="21"/>
        </w:rPr>
        <w:t>IDC</w:t>
      </w:r>
      <w:r w:rsidRPr="004865EF">
        <w:rPr>
          <w:rFonts w:ascii="Times New Roman" w:eastAsia="宋体" w:hAnsi="Times New Roman" w:cs="Times New Roman"/>
          <w:kern w:val="0"/>
          <w:sz w:val="24"/>
          <w:szCs w:val="21"/>
        </w:rPr>
        <w:t>公司开始逐渐向中西部或二三线城市布局发展。金融机构、互联网企业主要集中在一线城市，对于数据中心访问时延、运维便捷以及安全性具有较高要求。伴随数据量持续增加，数据中心需求持续上升，而北京、上海等一线城市土地、电力资源稀缺，加之政策监管和项目趋严，</w:t>
      </w:r>
      <w:r w:rsidRPr="004865EF">
        <w:rPr>
          <w:rFonts w:ascii="Times New Roman" w:eastAsia="宋体" w:hAnsi="Times New Roman" w:cs="Times New Roman" w:hint="eastAsia"/>
          <w:kern w:val="0"/>
          <w:sz w:val="24"/>
          <w:szCs w:val="21"/>
        </w:rPr>
        <w:t>导致</w:t>
      </w:r>
      <w:r w:rsidRPr="004865EF">
        <w:rPr>
          <w:rFonts w:ascii="Times New Roman" w:eastAsia="宋体" w:hAnsi="Times New Roman" w:cs="Times New Roman"/>
          <w:sz w:val="24"/>
        </w:rPr>
        <w:t>了一线城市数据中心服务尤其是面向中小型企业的数据中心服务的供需失衡局面。</w:t>
      </w:r>
      <w:r w:rsidRPr="004865EF">
        <w:rPr>
          <w:rFonts w:ascii="Times New Roman" w:eastAsia="宋体" w:hAnsi="Times New Roman" w:cs="Times New Roman"/>
          <w:kern w:val="0"/>
          <w:sz w:val="24"/>
          <w:szCs w:val="21"/>
        </w:rPr>
        <w:t>公司此次</w:t>
      </w:r>
      <w:proofErr w:type="gramStart"/>
      <w:r w:rsidRPr="004865EF">
        <w:rPr>
          <w:rFonts w:ascii="Times New Roman" w:eastAsia="宋体" w:hAnsi="Times New Roman" w:cs="Times New Roman"/>
          <w:kern w:val="0"/>
          <w:sz w:val="24"/>
          <w:szCs w:val="21"/>
        </w:rPr>
        <w:t>募投项目</w:t>
      </w:r>
      <w:proofErr w:type="gramEnd"/>
      <w:r w:rsidRPr="004865EF">
        <w:rPr>
          <w:rFonts w:ascii="Times New Roman" w:eastAsia="宋体" w:hAnsi="Times New Roman" w:cs="Times New Roman"/>
          <w:kern w:val="0"/>
          <w:sz w:val="24"/>
          <w:szCs w:val="21"/>
        </w:rPr>
        <w:t>主要集中于北京、上海及周边等地，存在客户储备丰富、网络状况良好等稀缺优势，有效的补充公司在</w:t>
      </w:r>
      <w:proofErr w:type="gramStart"/>
      <w:r w:rsidRPr="004865EF">
        <w:rPr>
          <w:rFonts w:ascii="Times New Roman" w:eastAsia="宋体" w:hAnsi="Times New Roman" w:cs="Times New Roman"/>
          <w:kern w:val="0"/>
          <w:sz w:val="24"/>
          <w:szCs w:val="21"/>
        </w:rPr>
        <w:t>一</w:t>
      </w:r>
      <w:proofErr w:type="gramEnd"/>
      <w:r w:rsidRPr="004865EF">
        <w:rPr>
          <w:rFonts w:ascii="Times New Roman" w:eastAsia="宋体" w:hAnsi="Times New Roman" w:cs="Times New Roman"/>
          <w:kern w:val="0"/>
          <w:sz w:val="24"/>
          <w:szCs w:val="21"/>
        </w:rPr>
        <w:t>二线城市的数据中心产能，具有</w:t>
      </w:r>
      <w:r w:rsidRPr="004865EF">
        <w:rPr>
          <w:rFonts w:ascii="Times New Roman" w:eastAsia="宋体" w:hAnsi="Times New Roman" w:cs="Times New Roman" w:hint="eastAsia"/>
          <w:kern w:val="0"/>
          <w:sz w:val="24"/>
          <w:szCs w:val="21"/>
        </w:rPr>
        <w:t>较强的市场竞争力</w:t>
      </w:r>
      <w:r w:rsidRPr="004865EF">
        <w:rPr>
          <w:rFonts w:ascii="Times New Roman" w:eastAsia="宋体" w:hAnsi="Times New Roman" w:cs="Times New Roman"/>
          <w:kern w:val="0"/>
          <w:sz w:val="24"/>
          <w:szCs w:val="21"/>
        </w:rPr>
        <w:t>。</w:t>
      </w:r>
    </w:p>
    <w:p w14:paraId="577C62BA" w14:textId="77777777" w:rsidR="00602898" w:rsidRPr="004865EF" w:rsidRDefault="00602898" w:rsidP="00602898">
      <w:pPr>
        <w:spacing w:afterLines="50" w:after="156" w:line="360" w:lineRule="auto"/>
        <w:ind w:firstLineChars="200" w:firstLine="480"/>
        <w:rPr>
          <w:rFonts w:ascii="Times New Roman" w:eastAsia="宋体" w:hAnsi="Times New Roman" w:cs="Times New Roman"/>
          <w:kern w:val="0"/>
          <w:sz w:val="24"/>
          <w:szCs w:val="21"/>
        </w:rPr>
      </w:pPr>
      <w:r w:rsidRPr="004865EF">
        <w:rPr>
          <w:rFonts w:ascii="Times New Roman" w:eastAsia="宋体" w:hAnsi="Times New Roman" w:cs="Times New Roman" w:hint="eastAsia"/>
          <w:kern w:val="0"/>
          <w:sz w:val="24"/>
          <w:szCs w:val="21"/>
        </w:rPr>
        <w:t>4</w:t>
      </w:r>
      <w:r w:rsidRPr="004865EF">
        <w:rPr>
          <w:rFonts w:ascii="Times New Roman" w:eastAsia="宋体" w:hAnsi="Times New Roman" w:cs="Times New Roman" w:hint="eastAsia"/>
          <w:kern w:val="0"/>
          <w:sz w:val="24"/>
          <w:szCs w:val="21"/>
        </w:rPr>
        <w:t>、</w:t>
      </w:r>
      <w:proofErr w:type="gramStart"/>
      <w:r w:rsidRPr="004865EF">
        <w:rPr>
          <w:rFonts w:ascii="Times New Roman" w:eastAsia="宋体" w:hAnsi="Times New Roman" w:cs="Times New Roman" w:hint="eastAsia"/>
          <w:kern w:val="0"/>
          <w:sz w:val="24"/>
          <w:szCs w:val="21"/>
        </w:rPr>
        <w:t>募投项目</w:t>
      </w:r>
      <w:proofErr w:type="gramEnd"/>
      <w:r w:rsidRPr="004865EF">
        <w:rPr>
          <w:rFonts w:ascii="Times New Roman" w:eastAsia="宋体" w:hAnsi="Times New Roman" w:cs="Times New Roman" w:hint="eastAsia"/>
          <w:kern w:val="0"/>
          <w:sz w:val="24"/>
          <w:szCs w:val="21"/>
        </w:rPr>
        <w:t>的在手订单情况</w:t>
      </w:r>
    </w:p>
    <w:p w14:paraId="59E45428" w14:textId="3458DC7B" w:rsidR="00602898" w:rsidRPr="004865EF" w:rsidRDefault="00602898" w:rsidP="00602898">
      <w:pPr>
        <w:spacing w:beforeLines="50" w:before="156" w:afterLines="50" w:after="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截至本问询函回复出具日，公司针对本次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已与部分现有大客户进行洽谈，已形成购买意向的包括房山、嘉定和</w:t>
      </w:r>
      <w:proofErr w:type="gramStart"/>
      <w:r w:rsidRPr="004865EF">
        <w:rPr>
          <w:rFonts w:ascii="Times New Roman" w:eastAsia="宋体" w:hAnsi="Times New Roman" w:cs="Times New Roman"/>
          <w:sz w:val="24"/>
        </w:rPr>
        <w:t>燕郊</w:t>
      </w:r>
      <w:proofErr w:type="gramEnd"/>
      <w:r w:rsidRPr="004865EF">
        <w:rPr>
          <w:rFonts w:ascii="Times New Roman" w:eastAsia="宋体" w:hAnsi="Times New Roman" w:cs="Times New Roman"/>
          <w:sz w:val="24"/>
        </w:rPr>
        <w:t>项目，销售机柜</w:t>
      </w:r>
      <w:r w:rsidR="001F7C40" w:rsidRPr="004865EF">
        <w:rPr>
          <w:rFonts w:ascii="Times New Roman" w:eastAsia="宋体" w:hAnsi="Times New Roman" w:cs="Times New Roman" w:hint="eastAsia"/>
          <w:sz w:val="24"/>
        </w:rPr>
        <w:t>标的</w:t>
      </w:r>
      <w:r w:rsidRPr="004865EF">
        <w:rPr>
          <w:rFonts w:ascii="Times New Roman" w:eastAsia="宋体" w:hAnsi="Times New Roman" w:cs="Times New Roman"/>
          <w:sz w:val="24"/>
        </w:rPr>
        <w:t>数量</w:t>
      </w:r>
      <w:r w:rsidRPr="004865EF">
        <w:rPr>
          <w:rFonts w:ascii="Times New Roman" w:eastAsia="宋体" w:hAnsi="Times New Roman" w:cs="Times New Roman" w:hint="eastAsia"/>
          <w:sz w:val="24"/>
        </w:rPr>
        <w:t>约</w:t>
      </w:r>
      <w:r w:rsidR="001F7C40" w:rsidRPr="004865EF">
        <w:rPr>
          <w:rFonts w:ascii="楷体" w:eastAsia="楷体" w:hAnsi="楷体" w:cs="Times New Roman"/>
          <w:b/>
          <w:sz w:val="24"/>
        </w:rPr>
        <w:t>1.</w:t>
      </w:r>
      <w:r w:rsidR="00706FB9" w:rsidRPr="004865EF">
        <w:rPr>
          <w:rFonts w:ascii="楷体" w:eastAsia="楷体" w:hAnsi="楷体" w:cs="Times New Roman"/>
          <w:b/>
          <w:sz w:val="24"/>
        </w:rPr>
        <w:t>48</w:t>
      </w:r>
      <w:r w:rsidRPr="004865EF">
        <w:rPr>
          <w:rFonts w:ascii="Times New Roman" w:eastAsia="宋体" w:hAnsi="Times New Roman" w:cs="Times New Roman"/>
          <w:sz w:val="24"/>
        </w:rPr>
        <w:t>万个，具体情况如下：</w:t>
      </w:r>
    </w:p>
    <w:tbl>
      <w:tblPr>
        <w:tblStyle w:val="a4"/>
        <w:tblW w:w="8392" w:type="dxa"/>
        <w:tblLook w:val="04A0" w:firstRow="1" w:lastRow="0" w:firstColumn="1" w:lastColumn="0" w:noHBand="0" w:noVBand="1"/>
      </w:tblPr>
      <w:tblGrid>
        <w:gridCol w:w="2098"/>
        <w:gridCol w:w="2098"/>
        <w:gridCol w:w="2098"/>
        <w:gridCol w:w="2098"/>
      </w:tblGrid>
      <w:tr w:rsidR="004865EF" w:rsidRPr="004865EF" w14:paraId="23852D54" w14:textId="77777777" w:rsidTr="00A66425">
        <w:trPr>
          <w:trHeight w:val="397"/>
        </w:trPr>
        <w:tc>
          <w:tcPr>
            <w:tcW w:w="2098" w:type="dxa"/>
            <w:vAlign w:val="center"/>
          </w:tcPr>
          <w:p w14:paraId="277D7386" w14:textId="77777777" w:rsidR="001F7C40" w:rsidRPr="004865EF" w:rsidRDefault="001F7C40" w:rsidP="00602898">
            <w:pPr>
              <w:snapToGrid w:val="0"/>
              <w:jc w:val="center"/>
              <w:rPr>
                <w:rFonts w:ascii="Times New Roman" w:eastAsia="宋体" w:hAnsi="Times New Roman" w:cs="Times New Roman"/>
                <w:b/>
                <w:bCs/>
                <w:kern w:val="0"/>
                <w:lang w:val="zh-CN"/>
              </w:rPr>
            </w:pPr>
            <w:r w:rsidRPr="004865EF">
              <w:rPr>
                <w:rFonts w:ascii="Times New Roman" w:eastAsia="宋体" w:hAnsi="Times New Roman" w:cs="Times New Roman"/>
                <w:b/>
                <w:bCs/>
                <w:kern w:val="0"/>
                <w:lang w:val="zh-CN"/>
              </w:rPr>
              <w:t>在建项目</w:t>
            </w:r>
          </w:p>
        </w:tc>
        <w:tc>
          <w:tcPr>
            <w:tcW w:w="2098" w:type="dxa"/>
            <w:vAlign w:val="center"/>
          </w:tcPr>
          <w:p w14:paraId="12C5B23A" w14:textId="77777777" w:rsidR="001F7C40" w:rsidRPr="004865EF" w:rsidRDefault="001F7C40" w:rsidP="00602898">
            <w:pPr>
              <w:snapToGrid w:val="0"/>
              <w:jc w:val="center"/>
              <w:rPr>
                <w:rFonts w:ascii="Times New Roman" w:eastAsia="宋体" w:hAnsi="Times New Roman" w:cs="Times New Roman"/>
                <w:b/>
                <w:bCs/>
                <w:kern w:val="0"/>
                <w:lang w:val="zh-CN"/>
              </w:rPr>
            </w:pPr>
            <w:r w:rsidRPr="004865EF">
              <w:rPr>
                <w:rFonts w:ascii="Times New Roman" w:eastAsia="宋体" w:hAnsi="Times New Roman" w:cs="Times New Roman"/>
                <w:b/>
                <w:bCs/>
                <w:kern w:val="0"/>
                <w:lang w:val="zh-CN"/>
              </w:rPr>
              <w:t>在建（规划）</w:t>
            </w:r>
          </w:p>
          <w:p w14:paraId="455306AE" w14:textId="77777777" w:rsidR="001F7C40" w:rsidRPr="004865EF" w:rsidRDefault="001F7C40" w:rsidP="00602898">
            <w:pPr>
              <w:snapToGrid w:val="0"/>
              <w:jc w:val="center"/>
              <w:rPr>
                <w:rFonts w:ascii="Times New Roman" w:eastAsia="宋体" w:hAnsi="Times New Roman" w:cs="Times New Roman"/>
                <w:b/>
                <w:bCs/>
                <w:kern w:val="0"/>
                <w:lang w:val="zh-CN"/>
              </w:rPr>
            </w:pPr>
            <w:r w:rsidRPr="004865EF">
              <w:rPr>
                <w:rFonts w:ascii="Times New Roman" w:eastAsia="宋体" w:hAnsi="Times New Roman" w:cs="Times New Roman"/>
                <w:b/>
                <w:bCs/>
                <w:kern w:val="0"/>
                <w:lang w:val="zh-CN"/>
              </w:rPr>
              <w:t>机柜数量</w:t>
            </w:r>
          </w:p>
        </w:tc>
        <w:tc>
          <w:tcPr>
            <w:tcW w:w="2098" w:type="dxa"/>
            <w:vAlign w:val="center"/>
          </w:tcPr>
          <w:p w14:paraId="1D34101D" w14:textId="77777777" w:rsidR="001F7C40" w:rsidRPr="004865EF" w:rsidRDefault="001F7C40" w:rsidP="00602898">
            <w:pPr>
              <w:snapToGrid w:val="0"/>
              <w:jc w:val="center"/>
              <w:rPr>
                <w:rFonts w:ascii="Times New Roman" w:eastAsia="宋体" w:hAnsi="Times New Roman" w:cs="Times New Roman"/>
                <w:b/>
                <w:bCs/>
                <w:kern w:val="0"/>
                <w:lang w:val="zh-CN"/>
              </w:rPr>
            </w:pPr>
            <w:r w:rsidRPr="004865EF">
              <w:rPr>
                <w:rFonts w:ascii="Times New Roman" w:eastAsia="宋体" w:hAnsi="Times New Roman" w:cs="Times New Roman"/>
                <w:b/>
                <w:bCs/>
                <w:kern w:val="0"/>
                <w:lang w:val="zh-CN"/>
              </w:rPr>
              <w:t>已签约</w:t>
            </w:r>
          </w:p>
        </w:tc>
        <w:tc>
          <w:tcPr>
            <w:tcW w:w="2098" w:type="dxa"/>
            <w:vAlign w:val="center"/>
          </w:tcPr>
          <w:p w14:paraId="715AE646" w14:textId="78D587B5" w:rsidR="001F7C40" w:rsidRPr="004865EF" w:rsidRDefault="001F7C40" w:rsidP="00602898">
            <w:pPr>
              <w:snapToGrid w:val="0"/>
              <w:jc w:val="center"/>
              <w:rPr>
                <w:rFonts w:ascii="Times New Roman" w:eastAsia="宋体" w:hAnsi="Times New Roman" w:cs="Times New Roman"/>
                <w:b/>
                <w:bCs/>
                <w:kern w:val="0"/>
                <w:lang w:val="zh-CN"/>
              </w:rPr>
            </w:pPr>
            <w:r w:rsidRPr="004865EF">
              <w:rPr>
                <w:rFonts w:ascii="Times New Roman" w:eastAsia="宋体" w:hAnsi="Times New Roman" w:cs="Times New Roman"/>
                <w:b/>
                <w:bCs/>
                <w:kern w:val="0"/>
                <w:lang w:val="zh-CN"/>
              </w:rPr>
              <w:t>购买意向</w:t>
            </w:r>
          </w:p>
        </w:tc>
      </w:tr>
      <w:tr w:rsidR="004865EF" w:rsidRPr="004865EF" w14:paraId="40A864C5" w14:textId="77777777" w:rsidTr="00A66425">
        <w:trPr>
          <w:trHeight w:val="397"/>
        </w:trPr>
        <w:tc>
          <w:tcPr>
            <w:tcW w:w="2098" w:type="dxa"/>
            <w:vAlign w:val="center"/>
          </w:tcPr>
          <w:p w14:paraId="4728AB4F" w14:textId="77777777" w:rsidR="001F7C40" w:rsidRPr="004865EF" w:rsidRDefault="001F7C40" w:rsidP="00602898">
            <w:pPr>
              <w:snapToGrid w:val="0"/>
              <w:jc w:val="center"/>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房山二期</w:t>
            </w:r>
          </w:p>
        </w:tc>
        <w:tc>
          <w:tcPr>
            <w:tcW w:w="2098" w:type="dxa"/>
            <w:vAlign w:val="center"/>
          </w:tcPr>
          <w:p w14:paraId="7E40CD96" w14:textId="77777777" w:rsidR="001F7C40" w:rsidRPr="004865EF" w:rsidRDefault="001F7C40" w:rsidP="00602898">
            <w:pPr>
              <w:snapToGrid w:val="0"/>
              <w:jc w:val="right"/>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5</w:t>
            </w:r>
            <w:r w:rsidRPr="004865EF">
              <w:rPr>
                <w:rFonts w:ascii="Times New Roman" w:eastAsia="宋体" w:hAnsi="Times New Roman" w:cs="Times New Roman" w:hint="eastAsia"/>
                <w:bCs/>
                <w:kern w:val="0"/>
                <w:lang w:val="zh-CN"/>
              </w:rPr>
              <w:t>,</w:t>
            </w:r>
            <w:r w:rsidRPr="004865EF">
              <w:rPr>
                <w:rFonts w:ascii="Times New Roman" w:eastAsia="宋体" w:hAnsi="Times New Roman" w:cs="Times New Roman"/>
                <w:bCs/>
                <w:kern w:val="0"/>
                <w:lang w:val="zh-CN"/>
              </w:rPr>
              <w:t>000</w:t>
            </w:r>
          </w:p>
        </w:tc>
        <w:tc>
          <w:tcPr>
            <w:tcW w:w="2098" w:type="dxa"/>
            <w:vAlign w:val="center"/>
          </w:tcPr>
          <w:p w14:paraId="171BF62C" w14:textId="77777777" w:rsidR="001F7C40" w:rsidRPr="004865EF" w:rsidRDefault="001F7C40" w:rsidP="00602898">
            <w:pPr>
              <w:snapToGrid w:val="0"/>
              <w:jc w:val="right"/>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w:t>
            </w:r>
          </w:p>
        </w:tc>
        <w:tc>
          <w:tcPr>
            <w:tcW w:w="2098" w:type="dxa"/>
            <w:vAlign w:val="center"/>
          </w:tcPr>
          <w:p w14:paraId="26BFA112" w14:textId="77777777" w:rsidR="001F7C40" w:rsidRPr="004865EF" w:rsidRDefault="001F7C40" w:rsidP="00602898">
            <w:pPr>
              <w:snapToGrid w:val="0"/>
              <w:jc w:val="right"/>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2</w:t>
            </w:r>
            <w:r w:rsidRPr="004865EF">
              <w:rPr>
                <w:rFonts w:ascii="Times New Roman" w:eastAsia="宋体" w:hAnsi="Times New Roman" w:cs="Times New Roman" w:hint="eastAsia"/>
                <w:bCs/>
                <w:kern w:val="0"/>
                <w:lang w:val="zh-CN"/>
              </w:rPr>
              <w:t>,</w:t>
            </w:r>
            <w:r w:rsidRPr="004865EF">
              <w:rPr>
                <w:rFonts w:ascii="Times New Roman" w:eastAsia="宋体" w:hAnsi="Times New Roman" w:cs="Times New Roman"/>
                <w:bCs/>
                <w:kern w:val="0"/>
                <w:lang w:val="zh-CN"/>
              </w:rPr>
              <w:t>000</w:t>
            </w:r>
          </w:p>
        </w:tc>
      </w:tr>
      <w:tr w:rsidR="004865EF" w:rsidRPr="004865EF" w14:paraId="0EF43E27" w14:textId="77777777" w:rsidTr="00A66425">
        <w:trPr>
          <w:trHeight w:val="397"/>
        </w:trPr>
        <w:tc>
          <w:tcPr>
            <w:tcW w:w="2098" w:type="dxa"/>
            <w:vAlign w:val="center"/>
          </w:tcPr>
          <w:p w14:paraId="172EA433" w14:textId="77777777" w:rsidR="001F7C40" w:rsidRPr="004865EF" w:rsidRDefault="001F7C40" w:rsidP="00602898">
            <w:pPr>
              <w:snapToGrid w:val="0"/>
              <w:jc w:val="center"/>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嘉定二期</w:t>
            </w:r>
          </w:p>
        </w:tc>
        <w:tc>
          <w:tcPr>
            <w:tcW w:w="2098" w:type="dxa"/>
            <w:vAlign w:val="center"/>
          </w:tcPr>
          <w:p w14:paraId="735DE8B4" w14:textId="77777777" w:rsidR="001F7C40" w:rsidRPr="004865EF" w:rsidRDefault="001F7C40" w:rsidP="00602898">
            <w:pPr>
              <w:snapToGrid w:val="0"/>
              <w:jc w:val="right"/>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5,000</w:t>
            </w:r>
          </w:p>
        </w:tc>
        <w:tc>
          <w:tcPr>
            <w:tcW w:w="2098" w:type="dxa"/>
            <w:vAlign w:val="center"/>
          </w:tcPr>
          <w:p w14:paraId="74B539B9" w14:textId="77777777" w:rsidR="001F7C40" w:rsidRPr="004865EF" w:rsidRDefault="001F7C40" w:rsidP="00602898">
            <w:pPr>
              <w:snapToGrid w:val="0"/>
              <w:jc w:val="right"/>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w:t>
            </w:r>
          </w:p>
        </w:tc>
        <w:tc>
          <w:tcPr>
            <w:tcW w:w="2098" w:type="dxa"/>
            <w:vAlign w:val="center"/>
          </w:tcPr>
          <w:p w14:paraId="67746378" w14:textId="77777777" w:rsidR="001F7C40" w:rsidRPr="004865EF" w:rsidRDefault="001F7C40" w:rsidP="00602898">
            <w:pPr>
              <w:snapToGrid w:val="0"/>
              <w:jc w:val="right"/>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5,000</w:t>
            </w:r>
          </w:p>
        </w:tc>
      </w:tr>
      <w:tr w:rsidR="004865EF" w:rsidRPr="004865EF" w14:paraId="3B026AFA" w14:textId="77777777" w:rsidTr="00A66425">
        <w:trPr>
          <w:trHeight w:val="397"/>
        </w:trPr>
        <w:tc>
          <w:tcPr>
            <w:tcW w:w="2098" w:type="dxa"/>
            <w:vAlign w:val="center"/>
          </w:tcPr>
          <w:p w14:paraId="4B0117F0" w14:textId="77777777" w:rsidR="001F7C40" w:rsidRPr="004865EF" w:rsidRDefault="001F7C40" w:rsidP="00602898">
            <w:pPr>
              <w:snapToGrid w:val="0"/>
              <w:jc w:val="center"/>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燕郊三四期</w:t>
            </w:r>
          </w:p>
        </w:tc>
        <w:tc>
          <w:tcPr>
            <w:tcW w:w="2098" w:type="dxa"/>
            <w:vAlign w:val="center"/>
          </w:tcPr>
          <w:p w14:paraId="04002DC1" w14:textId="77777777" w:rsidR="001F7C40" w:rsidRPr="004865EF" w:rsidRDefault="001F7C40" w:rsidP="00602898">
            <w:pPr>
              <w:snapToGrid w:val="0"/>
              <w:jc w:val="right"/>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15,000</w:t>
            </w:r>
          </w:p>
        </w:tc>
        <w:tc>
          <w:tcPr>
            <w:tcW w:w="2098" w:type="dxa"/>
            <w:vAlign w:val="center"/>
          </w:tcPr>
          <w:p w14:paraId="15E7F73E" w14:textId="77777777" w:rsidR="001F7C40" w:rsidRPr="004865EF" w:rsidRDefault="001F7C40" w:rsidP="00602898">
            <w:pPr>
              <w:snapToGrid w:val="0"/>
              <w:jc w:val="right"/>
              <w:rPr>
                <w:rFonts w:ascii="Times New Roman" w:eastAsia="宋体" w:hAnsi="Times New Roman" w:cs="Times New Roman"/>
                <w:bCs/>
                <w:kern w:val="0"/>
                <w:lang w:val="zh-CN"/>
              </w:rPr>
            </w:pPr>
            <w:r w:rsidRPr="004865EF">
              <w:rPr>
                <w:rFonts w:ascii="Times New Roman" w:eastAsia="宋体" w:hAnsi="Times New Roman" w:cs="Times New Roman"/>
                <w:bCs/>
                <w:kern w:val="0"/>
                <w:lang w:val="zh-CN"/>
              </w:rPr>
              <w:t>-</w:t>
            </w:r>
          </w:p>
        </w:tc>
        <w:tc>
          <w:tcPr>
            <w:tcW w:w="2098" w:type="dxa"/>
            <w:vAlign w:val="center"/>
          </w:tcPr>
          <w:p w14:paraId="7F04CCDA" w14:textId="500F3B7E" w:rsidR="001F7C40" w:rsidRPr="004865EF" w:rsidRDefault="00706FB9">
            <w:pPr>
              <w:snapToGrid w:val="0"/>
              <w:jc w:val="right"/>
              <w:rPr>
                <w:rFonts w:ascii="楷体" w:eastAsia="楷体" w:hAnsi="楷体" w:cs="Times New Roman"/>
                <w:b/>
                <w:bCs/>
                <w:kern w:val="0"/>
                <w:lang w:val="zh-CN"/>
              </w:rPr>
            </w:pPr>
            <w:r w:rsidRPr="004865EF">
              <w:rPr>
                <w:rFonts w:ascii="楷体" w:eastAsia="楷体" w:hAnsi="楷体" w:cs="Times New Roman"/>
                <w:b/>
                <w:bCs/>
                <w:kern w:val="0"/>
                <w:lang w:val="zh-CN"/>
              </w:rPr>
              <w:t>7,8</w:t>
            </w:r>
            <w:r w:rsidR="001F7C40" w:rsidRPr="004865EF">
              <w:rPr>
                <w:rFonts w:ascii="楷体" w:eastAsia="楷体" w:hAnsi="楷体" w:cs="Times New Roman"/>
                <w:b/>
                <w:bCs/>
                <w:kern w:val="0"/>
                <w:lang w:val="zh-CN"/>
              </w:rPr>
              <w:t>00</w:t>
            </w:r>
          </w:p>
        </w:tc>
      </w:tr>
    </w:tbl>
    <w:p w14:paraId="66CEBE47" w14:textId="736A1E52" w:rsidR="00602898" w:rsidRPr="004865EF" w:rsidRDefault="00602898" w:rsidP="00602898">
      <w:pPr>
        <w:tabs>
          <w:tab w:val="left" w:pos="6905"/>
        </w:tabs>
        <w:rPr>
          <w:rFonts w:ascii="楷体" w:eastAsia="楷体" w:hAnsi="楷体" w:cs="Times New Roman"/>
          <w:b/>
        </w:rPr>
      </w:pPr>
      <w:r w:rsidRPr="004865EF">
        <w:rPr>
          <w:rFonts w:ascii="楷体" w:eastAsia="楷体" w:hAnsi="楷体" w:cs="Times New Roman" w:hint="eastAsia"/>
          <w:b/>
        </w:rPr>
        <w:t>注：上述购买意向</w:t>
      </w:r>
      <w:r w:rsidR="00706FB9" w:rsidRPr="004865EF">
        <w:rPr>
          <w:rFonts w:ascii="楷体" w:eastAsia="楷体" w:hAnsi="楷体" w:cs="Times New Roman" w:hint="eastAsia"/>
          <w:b/>
        </w:rPr>
        <w:t>中，已有2家客户与公司签订了正式的合作备忘录；其余意向客户未签署正式文件。</w:t>
      </w:r>
    </w:p>
    <w:p w14:paraId="59870B8C" w14:textId="2B75C49B" w:rsidR="00E13B92" w:rsidRPr="004865EF" w:rsidRDefault="00706FB9" w:rsidP="00602898">
      <w:pPr>
        <w:spacing w:beforeLines="50" w:before="156" w:line="360" w:lineRule="auto"/>
        <w:ind w:firstLine="482"/>
        <w:rPr>
          <w:rFonts w:ascii="楷体" w:eastAsia="楷体" w:hAnsi="楷体" w:cs="Times New Roman"/>
          <w:b/>
          <w:kern w:val="0"/>
          <w:sz w:val="24"/>
        </w:rPr>
      </w:pPr>
      <w:r w:rsidRPr="004865EF">
        <w:rPr>
          <w:rFonts w:ascii="楷体" w:eastAsia="楷体" w:hAnsi="楷体" w:cs="Times New Roman" w:hint="eastAsia"/>
          <w:b/>
          <w:kern w:val="0"/>
          <w:sz w:val="24"/>
        </w:rPr>
        <w:t>由于本次</w:t>
      </w:r>
      <w:proofErr w:type="gramStart"/>
      <w:r w:rsidRPr="004865EF">
        <w:rPr>
          <w:rFonts w:ascii="楷体" w:eastAsia="楷体" w:hAnsi="楷体" w:cs="Times New Roman" w:hint="eastAsia"/>
          <w:b/>
          <w:kern w:val="0"/>
          <w:sz w:val="24"/>
        </w:rPr>
        <w:t>募投项目</w:t>
      </w:r>
      <w:proofErr w:type="gramEnd"/>
      <w:r w:rsidRPr="004865EF">
        <w:rPr>
          <w:rFonts w:ascii="楷体" w:eastAsia="楷体" w:hAnsi="楷体" w:cs="Times New Roman" w:hint="eastAsia"/>
          <w:b/>
          <w:kern w:val="0"/>
          <w:sz w:val="24"/>
        </w:rPr>
        <w:t>仍处于</w:t>
      </w:r>
      <w:r w:rsidR="00E13B92" w:rsidRPr="004865EF">
        <w:rPr>
          <w:rFonts w:ascii="楷体" w:eastAsia="楷体" w:hAnsi="楷体" w:cs="Times New Roman" w:hint="eastAsia"/>
          <w:b/>
          <w:kern w:val="0"/>
          <w:sz w:val="24"/>
        </w:rPr>
        <w:t>数据中心主体建筑的</w:t>
      </w:r>
      <w:r w:rsidRPr="004865EF">
        <w:rPr>
          <w:rFonts w:ascii="楷体" w:eastAsia="楷体" w:hAnsi="楷体" w:cs="Times New Roman" w:hint="eastAsia"/>
          <w:b/>
          <w:kern w:val="0"/>
          <w:sz w:val="24"/>
        </w:rPr>
        <w:t>建设阶段，</w:t>
      </w:r>
      <w:r w:rsidR="00E13B92" w:rsidRPr="004865EF">
        <w:rPr>
          <w:rFonts w:ascii="楷体" w:eastAsia="楷体" w:hAnsi="楷体" w:cs="Times New Roman" w:hint="eastAsia"/>
          <w:b/>
          <w:kern w:val="0"/>
          <w:sz w:val="24"/>
        </w:rPr>
        <w:t>仍需机电安装等工作，尚需较长时间才能达到可供出售状态。针对零售型IDC，在机柜形成产能前，为确保合同双方的利益，客户和发行人一般不签订具体销售合同。发行人目前形成的意向客户中，部分客户通过项目报价、商业洽谈等形式形成了初步购买意向，部分大客户通过合作备忘录、意向书等形式对在建项目的部分资源进行了锁定</w:t>
      </w:r>
      <w:r w:rsidR="003F2F7B" w:rsidRPr="004865EF">
        <w:rPr>
          <w:rFonts w:ascii="楷体" w:eastAsia="楷体" w:hAnsi="楷体" w:cs="Times New Roman" w:hint="eastAsia"/>
          <w:b/>
          <w:kern w:val="0"/>
          <w:sz w:val="24"/>
        </w:rPr>
        <w:t>。合作备忘录主要是明确双方合作的原则性内容和意向表示，</w:t>
      </w:r>
      <w:proofErr w:type="gramStart"/>
      <w:r w:rsidR="003F2F7B" w:rsidRPr="004865EF">
        <w:rPr>
          <w:rFonts w:ascii="楷体" w:eastAsia="楷体" w:hAnsi="楷体" w:cs="Times New Roman" w:hint="eastAsia"/>
          <w:b/>
          <w:kern w:val="0"/>
          <w:sz w:val="24"/>
        </w:rPr>
        <w:t>后续仍</w:t>
      </w:r>
      <w:proofErr w:type="gramEnd"/>
      <w:r w:rsidR="003F2F7B" w:rsidRPr="004865EF">
        <w:rPr>
          <w:rFonts w:ascii="楷体" w:eastAsia="楷体" w:hAnsi="楷体" w:cs="Times New Roman" w:hint="eastAsia"/>
          <w:b/>
          <w:kern w:val="0"/>
          <w:sz w:val="24"/>
        </w:rPr>
        <w:t>将以签署的具体服务合同为准。</w:t>
      </w:r>
    </w:p>
    <w:p w14:paraId="32C41215" w14:textId="7E879FF0" w:rsidR="00706FB9" w:rsidRPr="004865EF" w:rsidRDefault="00235845" w:rsidP="00602898">
      <w:pPr>
        <w:spacing w:beforeLines="50" w:before="156" w:line="360" w:lineRule="auto"/>
        <w:ind w:firstLine="482"/>
        <w:rPr>
          <w:rFonts w:ascii="楷体" w:eastAsia="楷体" w:hAnsi="楷体" w:cs="Times New Roman"/>
          <w:b/>
          <w:kern w:val="0"/>
          <w:sz w:val="24"/>
        </w:rPr>
      </w:pPr>
      <w:r w:rsidRPr="004865EF">
        <w:rPr>
          <w:rFonts w:ascii="楷体" w:eastAsia="楷体" w:hAnsi="楷体" w:cs="Times New Roman" w:hint="eastAsia"/>
          <w:b/>
          <w:kern w:val="0"/>
          <w:sz w:val="24"/>
        </w:rPr>
        <w:t>发行人现有客户的签约期限主要</w:t>
      </w:r>
      <w:r w:rsidR="00E13B92" w:rsidRPr="004865EF">
        <w:rPr>
          <w:rFonts w:ascii="楷体" w:eastAsia="楷体" w:hAnsi="楷体" w:cs="Times New Roman" w:hint="eastAsia"/>
          <w:b/>
          <w:kern w:val="0"/>
          <w:sz w:val="24"/>
        </w:rPr>
        <w:t>在5年</w:t>
      </w:r>
      <w:r w:rsidRPr="004865EF">
        <w:rPr>
          <w:rFonts w:ascii="楷体" w:eastAsia="楷体" w:hAnsi="楷体" w:cs="Times New Roman" w:hint="eastAsia"/>
          <w:b/>
          <w:kern w:val="0"/>
          <w:sz w:val="24"/>
        </w:rPr>
        <w:t>以内</w:t>
      </w:r>
      <w:r w:rsidR="00E13B92" w:rsidRPr="004865EF">
        <w:rPr>
          <w:rFonts w:ascii="楷体" w:eastAsia="楷体" w:hAnsi="楷体" w:cs="Times New Roman" w:hint="eastAsia"/>
          <w:b/>
          <w:kern w:val="0"/>
          <w:sz w:val="24"/>
        </w:rPr>
        <w:t>，本次</w:t>
      </w:r>
      <w:proofErr w:type="gramStart"/>
      <w:r w:rsidR="00E13B92" w:rsidRPr="004865EF">
        <w:rPr>
          <w:rFonts w:ascii="楷体" w:eastAsia="楷体" w:hAnsi="楷体" w:cs="Times New Roman" w:hint="eastAsia"/>
          <w:b/>
          <w:kern w:val="0"/>
          <w:sz w:val="24"/>
        </w:rPr>
        <w:t>募投项目</w:t>
      </w:r>
      <w:proofErr w:type="gramEnd"/>
      <w:r w:rsidR="00E13B92" w:rsidRPr="004865EF">
        <w:rPr>
          <w:rFonts w:ascii="楷体" w:eastAsia="楷体" w:hAnsi="楷体" w:cs="Times New Roman" w:hint="eastAsia"/>
          <w:b/>
          <w:kern w:val="0"/>
          <w:sz w:val="24"/>
        </w:rPr>
        <w:t>的合作备忘录签订的合作期限在3-8年，未满足本次</w:t>
      </w:r>
      <w:proofErr w:type="gramStart"/>
      <w:r w:rsidR="00E13B92" w:rsidRPr="004865EF">
        <w:rPr>
          <w:rFonts w:ascii="楷体" w:eastAsia="楷体" w:hAnsi="楷体" w:cs="Times New Roman" w:hint="eastAsia"/>
          <w:b/>
          <w:kern w:val="0"/>
          <w:sz w:val="24"/>
        </w:rPr>
        <w:t>募投项目</w:t>
      </w:r>
      <w:proofErr w:type="gramEnd"/>
      <w:r w:rsidR="00E13B92" w:rsidRPr="004865EF">
        <w:rPr>
          <w:rFonts w:ascii="楷体" w:eastAsia="楷体" w:hAnsi="楷体" w:cs="Times New Roman" w:hint="eastAsia"/>
          <w:b/>
          <w:kern w:val="0"/>
          <w:sz w:val="24"/>
        </w:rPr>
        <w:t>测算的10年盈利期，</w:t>
      </w:r>
      <w:r w:rsidR="003F2F7B" w:rsidRPr="004865EF">
        <w:rPr>
          <w:rFonts w:ascii="楷体" w:eastAsia="楷体" w:hAnsi="楷体" w:cs="Times New Roman" w:hint="eastAsia"/>
          <w:b/>
          <w:kern w:val="0"/>
          <w:sz w:val="24"/>
        </w:rPr>
        <w:t>未来发行人可通过与客户续签合同等方式延长数据中心的服务期限，</w:t>
      </w:r>
      <w:r w:rsidR="00E13B92" w:rsidRPr="004865EF">
        <w:rPr>
          <w:rFonts w:ascii="楷体" w:eastAsia="楷体" w:hAnsi="楷体" w:cs="Times New Roman" w:hint="eastAsia"/>
          <w:b/>
          <w:kern w:val="0"/>
          <w:sz w:val="24"/>
        </w:rPr>
        <w:t>属于行业的正常情</w:t>
      </w:r>
      <w:r w:rsidR="00E13B92" w:rsidRPr="004865EF">
        <w:rPr>
          <w:rFonts w:ascii="楷体" w:eastAsia="楷体" w:hAnsi="楷体" w:cs="Times New Roman" w:hint="eastAsia"/>
          <w:b/>
          <w:kern w:val="0"/>
          <w:sz w:val="24"/>
        </w:rPr>
        <w:lastRenderedPageBreak/>
        <w:t>况</w:t>
      </w:r>
      <w:r w:rsidR="003F2F7B" w:rsidRPr="004865EF">
        <w:rPr>
          <w:rFonts w:ascii="楷体" w:eastAsia="楷体" w:hAnsi="楷体" w:cs="Times New Roman" w:hint="eastAsia"/>
          <w:b/>
          <w:kern w:val="0"/>
          <w:sz w:val="24"/>
        </w:rPr>
        <w:t>。</w:t>
      </w:r>
    </w:p>
    <w:p w14:paraId="2466923F" w14:textId="2D58D6E2" w:rsidR="00602898" w:rsidRPr="004865EF" w:rsidRDefault="00602898" w:rsidP="00602898">
      <w:pPr>
        <w:spacing w:beforeLines="50" w:before="156" w:line="360" w:lineRule="auto"/>
        <w:ind w:firstLine="482"/>
        <w:rPr>
          <w:rFonts w:ascii="Times New Roman" w:eastAsia="宋体" w:hAnsi="Times New Roman" w:cs="Times New Roman"/>
          <w:kern w:val="0"/>
          <w:sz w:val="24"/>
        </w:rPr>
      </w:pPr>
      <w:r w:rsidRPr="004865EF">
        <w:rPr>
          <w:rFonts w:ascii="Times New Roman" w:eastAsia="宋体" w:hAnsi="Times New Roman" w:cs="Times New Roman" w:hint="eastAsia"/>
          <w:kern w:val="0"/>
          <w:sz w:val="24"/>
        </w:rPr>
        <w:t>发行人主要从事零售型</w:t>
      </w:r>
      <w:r w:rsidRPr="004865EF">
        <w:rPr>
          <w:rFonts w:ascii="Times New Roman" w:eastAsia="宋体" w:hAnsi="Times New Roman" w:cs="Times New Roman" w:hint="eastAsia"/>
          <w:kern w:val="0"/>
          <w:sz w:val="24"/>
        </w:rPr>
        <w:t>IDC</w:t>
      </w:r>
      <w:r w:rsidRPr="004865EF">
        <w:rPr>
          <w:rFonts w:ascii="Times New Roman" w:eastAsia="宋体" w:hAnsi="Times New Roman" w:cs="Times New Roman" w:hint="eastAsia"/>
          <w:kern w:val="0"/>
          <w:sz w:val="24"/>
        </w:rPr>
        <w:t>，零售型</w:t>
      </w:r>
      <w:r w:rsidRPr="004865EF">
        <w:rPr>
          <w:rFonts w:ascii="Times New Roman" w:eastAsia="宋体" w:hAnsi="Times New Roman" w:cs="Times New Roman"/>
          <w:kern w:val="0"/>
          <w:sz w:val="24"/>
        </w:rPr>
        <w:t>IDC</w:t>
      </w:r>
      <w:r w:rsidRPr="004865EF">
        <w:rPr>
          <w:rFonts w:ascii="Times New Roman" w:eastAsia="宋体" w:hAnsi="Times New Roman" w:cs="Times New Roman" w:hint="eastAsia"/>
          <w:kern w:val="0"/>
          <w:sz w:val="24"/>
        </w:rPr>
        <w:t>在建设前</w:t>
      </w:r>
      <w:r w:rsidR="00213DBB" w:rsidRPr="004865EF">
        <w:rPr>
          <w:rFonts w:ascii="Times New Roman" w:eastAsia="宋体" w:hAnsi="Times New Roman" w:cs="Times New Roman" w:hint="eastAsia"/>
          <w:kern w:val="0"/>
          <w:sz w:val="24"/>
        </w:rPr>
        <w:t>通常</w:t>
      </w:r>
      <w:r w:rsidRPr="004865EF">
        <w:rPr>
          <w:rFonts w:ascii="Times New Roman" w:eastAsia="宋体" w:hAnsi="Times New Roman" w:cs="Times New Roman" w:hint="eastAsia"/>
          <w:kern w:val="0"/>
          <w:sz w:val="24"/>
        </w:rPr>
        <w:t>不存在确定客户，</w:t>
      </w:r>
      <w:r w:rsidRPr="004865EF">
        <w:rPr>
          <w:rFonts w:ascii="Times New Roman" w:eastAsia="宋体" w:hAnsi="Times New Roman" w:cs="Times New Roman"/>
          <w:kern w:val="0"/>
          <w:sz w:val="24"/>
        </w:rPr>
        <w:t>IDC</w:t>
      </w:r>
      <w:r w:rsidRPr="004865EF">
        <w:rPr>
          <w:rFonts w:ascii="Times New Roman" w:eastAsia="宋体" w:hAnsi="Times New Roman" w:cs="Times New Roman" w:hint="eastAsia"/>
          <w:kern w:val="0"/>
          <w:sz w:val="24"/>
        </w:rPr>
        <w:t>厂商通过运营较高标准化程度的数据中心向客户提供服务，销售单价普遍较高，机柜签约订单在商业拓展下呈逐年增加趋势，因此前期机柜签约数量较低。</w:t>
      </w:r>
    </w:p>
    <w:p w14:paraId="1FA42D7A" w14:textId="3551DC48" w:rsidR="001E40E8" w:rsidRPr="004865EF" w:rsidRDefault="00602898" w:rsidP="00675378">
      <w:pPr>
        <w:spacing w:beforeLines="50" w:before="156" w:line="360" w:lineRule="auto"/>
        <w:ind w:firstLine="482"/>
        <w:rPr>
          <w:rFonts w:ascii="Times New Roman" w:eastAsia="宋体" w:hAnsi="Times New Roman" w:cs="Times New Roman"/>
          <w:kern w:val="0"/>
          <w:sz w:val="24"/>
        </w:rPr>
      </w:pPr>
      <w:r w:rsidRPr="004865EF">
        <w:rPr>
          <w:rFonts w:ascii="Times New Roman" w:eastAsia="宋体" w:hAnsi="Times New Roman" w:cs="Times New Roman" w:hint="eastAsia"/>
          <w:kern w:val="0"/>
          <w:sz w:val="24"/>
        </w:rPr>
        <w:t>数据中心行业作为我国新型基础设施建设的重要组成部分，整体发展前景广阔。在市场需求和政策导向的双重刺激下，数据中心行业正在迎来高景气增长，同行业公司均在大幅扩张产能。发行人本次</w:t>
      </w:r>
      <w:proofErr w:type="gramStart"/>
      <w:r w:rsidRPr="004865EF">
        <w:rPr>
          <w:rFonts w:ascii="Times New Roman" w:eastAsia="宋体" w:hAnsi="Times New Roman" w:cs="Times New Roman" w:hint="eastAsia"/>
          <w:kern w:val="0"/>
          <w:sz w:val="24"/>
        </w:rPr>
        <w:t>募投项目</w:t>
      </w:r>
      <w:proofErr w:type="gramEnd"/>
      <w:r w:rsidRPr="004865EF">
        <w:rPr>
          <w:rFonts w:ascii="Times New Roman" w:eastAsia="宋体" w:hAnsi="Times New Roman" w:cs="Times New Roman" w:hint="eastAsia"/>
          <w:kern w:val="0"/>
          <w:sz w:val="24"/>
        </w:rPr>
        <w:t>主要集中于北京、上海及周边等地，储备客户丰富、网络状况良好，发行人预计未来具有充足的市场订单消化新增的</w:t>
      </w:r>
      <w:r w:rsidRPr="004865EF">
        <w:rPr>
          <w:rFonts w:ascii="Times New Roman" w:eastAsia="宋体" w:hAnsi="Times New Roman" w:cs="Times New Roman" w:hint="eastAsia"/>
          <w:kern w:val="0"/>
          <w:sz w:val="24"/>
        </w:rPr>
        <w:t>4.1</w:t>
      </w:r>
      <w:r w:rsidRPr="004865EF">
        <w:rPr>
          <w:rFonts w:ascii="Times New Roman" w:eastAsia="宋体" w:hAnsi="Times New Roman" w:cs="Times New Roman" w:hint="eastAsia"/>
          <w:kern w:val="0"/>
          <w:sz w:val="24"/>
        </w:rPr>
        <w:t>万个机柜。综上所述，本次</w:t>
      </w:r>
      <w:proofErr w:type="gramStart"/>
      <w:r w:rsidRPr="004865EF">
        <w:rPr>
          <w:rFonts w:ascii="Times New Roman" w:eastAsia="宋体" w:hAnsi="Times New Roman" w:cs="Times New Roman" w:hint="eastAsia"/>
          <w:kern w:val="0"/>
          <w:sz w:val="24"/>
        </w:rPr>
        <w:t>募投项目</w:t>
      </w:r>
      <w:proofErr w:type="gramEnd"/>
      <w:r w:rsidRPr="004865EF">
        <w:rPr>
          <w:rFonts w:ascii="Times New Roman" w:eastAsia="宋体" w:hAnsi="Times New Roman" w:cs="Times New Roman" w:hint="eastAsia"/>
          <w:kern w:val="0"/>
          <w:sz w:val="24"/>
        </w:rPr>
        <w:t>新增建设</w:t>
      </w:r>
      <w:r w:rsidRPr="004865EF">
        <w:rPr>
          <w:rFonts w:ascii="Times New Roman" w:eastAsia="宋体" w:hAnsi="Times New Roman" w:cs="Times New Roman" w:hint="eastAsia"/>
          <w:kern w:val="0"/>
          <w:sz w:val="24"/>
        </w:rPr>
        <w:t>4.1</w:t>
      </w:r>
      <w:r w:rsidRPr="004865EF">
        <w:rPr>
          <w:rFonts w:ascii="Times New Roman" w:eastAsia="宋体" w:hAnsi="Times New Roman" w:cs="Times New Roman" w:hint="eastAsia"/>
          <w:kern w:val="0"/>
          <w:sz w:val="24"/>
        </w:rPr>
        <w:t>万个机柜，能有效巩固</w:t>
      </w:r>
      <w:r w:rsidRPr="004865EF">
        <w:rPr>
          <w:rFonts w:ascii="Times New Roman" w:eastAsia="宋体" w:hAnsi="Times New Roman" w:cs="Times New Roman"/>
          <w:sz w:val="24"/>
        </w:rPr>
        <w:t>发行人在一线城市数据中心核心资源的领先地位，符合企业的战略发展部署，投资规模具有</w:t>
      </w:r>
      <w:r w:rsidRPr="004865EF">
        <w:rPr>
          <w:rFonts w:ascii="Times New Roman" w:eastAsia="宋体" w:hAnsi="Times New Roman" w:cs="Times New Roman" w:hint="eastAsia"/>
          <w:kern w:val="0"/>
          <w:sz w:val="24"/>
        </w:rPr>
        <w:t>合理性，新建数据中心不存在闲置风险。</w:t>
      </w:r>
    </w:p>
    <w:p w14:paraId="787154A5" w14:textId="41E5B06D" w:rsidR="001E40E8" w:rsidRPr="004865EF" w:rsidRDefault="00581F74" w:rsidP="00675378">
      <w:pPr>
        <w:spacing w:beforeLines="50" w:before="156" w:line="360" w:lineRule="auto"/>
        <w:ind w:firstLine="480"/>
        <w:rPr>
          <w:rFonts w:ascii="Times New Roman" w:eastAsia="宋体" w:hAnsi="Times New Roman" w:cs="Times New Roman"/>
          <w:kern w:val="0"/>
          <w:sz w:val="24"/>
        </w:rPr>
      </w:pPr>
      <w:r w:rsidRPr="004865EF">
        <w:rPr>
          <w:rFonts w:ascii="Times New Roman" w:eastAsia="宋体" w:hAnsi="Times New Roman" w:cs="Times New Roman" w:hint="eastAsia"/>
          <w:kern w:val="0"/>
          <w:sz w:val="24"/>
        </w:rPr>
        <w:t>发行人具有北京、上海及周边城市运营数据中心的经验，组建了完善的市场销售团队体系，并与主要互联网厂商、金融机构等重要客户建立了稳定的合作关系。基于目前数据中心良好的运营记录和商业合作关系，发行人与本次四个</w:t>
      </w:r>
      <w:proofErr w:type="gramStart"/>
      <w:r w:rsidRPr="004865EF">
        <w:rPr>
          <w:rFonts w:ascii="Times New Roman" w:eastAsia="宋体" w:hAnsi="Times New Roman" w:cs="Times New Roman" w:hint="eastAsia"/>
          <w:kern w:val="0"/>
          <w:sz w:val="24"/>
        </w:rPr>
        <w:t>募投项目</w:t>
      </w:r>
      <w:proofErr w:type="gramEnd"/>
      <w:r w:rsidRPr="004865EF">
        <w:rPr>
          <w:rFonts w:ascii="Times New Roman" w:eastAsia="宋体" w:hAnsi="Times New Roman" w:cs="Times New Roman" w:hint="eastAsia"/>
          <w:kern w:val="0"/>
          <w:sz w:val="24"/>
        </w:rPr>
        <w:t>的意向客户进行了初步商业洽谈，并取得了一定的购买意向。未来，发行人将基于北京、上海两地的销售团队资源，继续进行商业拓展</w:t>
      </w:r>
      <w:r w:rsidR="00E07785" w:rsidRPr="004865EF">
        <w:rPr>
          <w:rFonts w:ascii="Times New Roman" w:eastAsia="宋体" w:hAnsi="Times New Roman" w:cs="Times New Roman" w:hint="eastAsia"/>
          <w:kern w:val="0"/>
          <w:sz w:val="24"/>
        </w:rPr>
        <w:t>。同时，发行人已在募集说明书之“第六节</w:t>
      </w:r>
      <w:r w:rsidR="00E07785" w:rsidRPr="004865EF">
        <w:rPr>
          <w:rFonts w:ascii="Times New Roman" w:eastAsia="宋体" w:hAnsi="Times New Roman" w:cs="Times New Roman"/>
          <w:kern w:val="0"/>
          <w:sz w:val="24"/>
        </w:rPr>
        <w:t xml:space="preserve"> </w:t>
      </w:r>
      <w:r w:rsidR="00E07785" w:rsidRPr="004865EF">
        <w:rPr>
          <w:rFonts w:ascii="Times New Roman" w:eastAsia="宋体" w:hAnsi="Times New Roman" w:cs="Times New Roman" w:hint="eastAsia"/>
          <w:kern w:val="0"/>
          <w:sz w:val="24"/>
        </w:rPr>
        <w:t>与本次发行相关的风险因素”之“三、业务经营与管理风险”之“（二）募集资金投资项目的风险”中补充披露</w:t>
      </w:r>
      <w:proofErr w:type="gramStart"/>
      <w:r w:rsidR="00E07785" w:rsidRPr="004865EF">
        <w:rPr>
          <w:rFonts w:ascii="Times New Roman" w:eastAsia="宋体" w:hAnsi="Times New Roman" w:cs="Times New Roman" w:hint="eastAsia"/>
          <w:kern w:val="0"/>
          <w:sz w:val="24"/>
        </w:rPr>
        <w:t>募投项目</w:t>
      </w:r>
      <w:proofErr w:type="gramEnd"/>
      <w:r w:rsidR="00E07785" w:rsidRPr="004865EF">
        <w:rPr>
          <w:rFonts w:ascii="Times New Roman" w:eastAsia="宋体" w:hAnsi="Times New Roman" w:cs="Times New Roman" w:hint="eastAsia"/>
          <w:kern w:val="0"/>
          <w:sz w:val="24"/>
        </w:rPr>
        <w:t>商业拓展不及预期的相关风险提示如下：</w:t>
      </w:r>
    </w:p>
    <w:p w14:paraId="11D0720F" w14:textId="4179D860" w:rsidR="00E07785" w:rsidRPr="004865EF" w:rsidRDefault="00D86064" w:rsidP="00675378">
      <w:pPr>
        <w:spacing w:beforeLines="50" w:before="156" w:line="360" w:lineRule="auto"/>
        <w:ind w:firstLine="482"/>
        <w:rPr>
          <w:rFonts w:ascii="Times New Roman" w:eastAsia="宋体" w:hAnsi="Times New Roman" w:cs="Times New Roman"/>
          <w:kern w:val="0"/>
          <w:sz w:val="24"/>
        </w:rPr>
      </w:pPr>
      <w:r w:rsidRPr="004865EF">
        <w:rPr>
          <w:rFonts w:ascii="Times New Roman" w:eastAsia="宋体" w:hAnsi="Times New Roman" w:cs="Times New Roman" w:hint="eastAsia"/>
          <w:kern w:val="0"/>
          <w:sz w:val="24"/>
        </w:rPr>
        <w:t>发行人的数据中心主要集中于北京及周边地区，上海仅有嘉定一期项目于</w:t>
      </w:r>
      <w:r w:rsidRPr="004865EF">
        <w:rPr>
          <w:rFonts w:ascii="Times New Roman" w:eastAsia="宋体" w:hAnsi="Times New Roman" w:cs="Times New Roman"/>
          <w:kern w:val="0"/>
          <w:sz w:val="24"/>
        </w:rPr>
        <w:t>2017</w:t>
      </w:r>
      <w:r w:rsidRPr="004865EF">
        <w:rPr>
          <w:rFonts w:ascii="Times New Roman" w:eastAsia="宋体" w:hAnsi="Times New Roman" w:cs="Times New Roman"/>
          <w:kern w:val="0"/>
          <w:sz w:val="24"/>
        </w:rPr>
        <w:t>年开始运营。本次</w:t>
      </w:r>
      <w:proofErr w:type="gramStart"/>
      <w:r w:rsidRPr="004865EF">
        <w:rPr>
          <w:rFonts w:ascii="Times New Roman" w:eastAsia="宋体" w:hAnsi="Times New Roman" w:cs="Times New Roman" w:hint="eastAsia"/>
          <w:kern w:val="0"/>
          <w:sz w:val="24"/>
        </w:rPr>
        <w:t>募投项目</w:t>
      </w:r>
      <w:proofErr w:type="gramEnd"/>
      <w:r w:rsidRPr="004865EF">
        <w:rPr>
          <w:rFonts w:ascii="Times New Roman" w:eastAsia="宋体" w:hAnsi="Times New Roman" w:cs="Times New Roman" w:hint="eastAsia"/>
          <w:kern w:val="0"/>
          <w:sz w:val="24"/>
        </w:rPr>
        <w:t>新增建设</w:t>
      </w:r>
      <w:r w:rsidRPr="004865EF">
        <w:rPr>
          <w:rFonts w:ascii="Times New Roman" w:eastAsia="宋体" w:hAnsi="Times New Roman" w:cs="Times New Roman"/>
          <w:kern w:val="0"/>
          <w:sz w:val="24"/>
        </w:rPr>
        <w:t>4.1</w:t>
      </w:r>
      <w:r w:rsidRPr="004865EF">
        <w:rPr>
          <w:rFonts w:ascii="Times New Roman" w:eastAsia="宋体" w:hAnsi="Times New Roman" w:cs="Times New Roman"/>
          <w:kern w:val="0"/>
          <w:sz w:val="24"/>
        </w:rPr>
        <w:t>万个机柜，总投资规模较高，对公司的市场销售能力具有较高要求，同时发行人此前业务范围</w:t>
      </w:r>
      <w:r w:rsidRPr="004865EF">
        <w:rPr>
          <w:rFonts w:ascii="Times New Roman" w:eastAsia="宋体" w:hAnsi="Times New Roman" w:cs="Times New Roman" w:hint="eastAsia"/>
          <w:kern w:val="0"/>
          <w:sz w:val="24"/>
        </w:rPr>
        <w:t>主要覆盖北京及周边，本次</w:t>
      </w:r>
      <w:proofErr w:type="gramStart"/>
      <w:r w:rsidRPr="004865EF">
        <w:rPr>
          <w:rFonts w:ascii="Times New Roman" w:eastAsia="宋体" w:hAnsi="Times New Roman" w:cs="Times New Roman" w:hint="eastAsia"/>
          <w:kern w:val="0"/>
          <w:sz w:val="24"/>
        </w:rPr>
        <w:t>募投项目</w:t>
      </w:r>
      <w:proofErr w:type="gramEnd"/>
      <w:r w:rsidR="007902D0" w:rsidRPr="004865EF">
        <w:rPr>
          <w:rFonts w:ascii="Times New Roman" w:eastAsia="宋体" w:hAnsi="Times New Roman" w:cs="Times New Roman" w:hint="eastAsia"/>
          <w:kern w:val="0"/>
          <w:sz w:val="24"/>
        </w:rPr>
        <w:t>位置包含</w:t>
      </w:r>
      <w:r w:rsidRPr="004865EF">
        <w:rPr>
          <w:rFonts w:ascii="Times New Roman" w:eastAsia="宋体" w:hAnsi="Times New Roman" w:cs="Times New Roman" w:hint="eastAsia"/>
          <w:kern w:val="0"/>
          <w:sz w:val="24"/>
        </w:rPr>
        <w:t>上海、长沙等地，可能面临一定的市场拓展压力。如果本次</w:t>
      </w:r>
      <w:proofErr w:type="gramStart"/>
      <w:r w:rsidRPr="004865EF">
        <w:rPr>
          <w:rFonts w:ascii="Times New Roman" w:eastAsia="宋体" w:hAnsi="Times New Roman" w:cs="Times New Roman" w:hint="eastAsia"/>
          <w:kern w:val="0"/>
          <w:sz w:val="24"/>
        </w:rPr>
        <w:t>募投项目</w:t>
      </w:r>
      <w:proofErr w:type="gramEnd"/>
      <w:r w:rsidRPr="004865EF">
        <w:rPr>
          <w:rFonts w:ascii="Times New Roman" w:eastAsia="宋体" w:hAnsi="Times New Roman" w:cs="Times New Roman" w:hint="eastAsia"/>
          <w:kern w:val="0"/>
          <w:sz w:val="24"/>
        </w:rPr>
        <w:t>的销售进度无法达到预期进度，可能导致公司面临较大的资金压力，净利润等经营业绩指标下滑，投资回报率降低甚至投资亏损的风险。</w:t>
      </w:r>
    </w:p>
    <w:p w14:paraId="18C000FD" w14:textId="551FC3B2" w:rsidR="00602898" w:rsidRPr="004865EF" w:rsidRDefault="00602898" w:rsidP="00A66425">
      <w:pPr>
        <w:pStyle w:val="2"/>
        <w:spacing w:before="156" w:after="156"/>
      </w:pPr>
      <w:r w:rsidRPr="004865EF">
        <w:rPr>
          <w:rFonts w:hint="eastAsia"/>
        </w:rPr>
        <w:lastRenderedPageBreak/>
        <w:t>六、</w:t>
      </w:r>
      <w:r w:rsidRPr="004865EF">
        <w:t>披露本次</w:t>
      </w:r>
      <w:proofErr w:type="gramStart"/>
      <w:r w:rsidRPr="004865EF">
        <w:t>募投项目</w:t>
      </w:r>
      <w:proofErr w:type="gramEnd"/>
      <w:r w:rsidRPr="004865EF">
        <w:t>效益测算的过程及依据，结合公司毛利率波动及可比公司情况说明效益测算的谨慎合理性</w:t>
      </w:r>
    </w:p>
    <w:p w14:paraId="6E7701CB" w14:textId="681B2E45" w:rsidR="00151F32" w:rsidRPr="004865EF" w:rsidRDefault="00151F32" w:rsidP="00E87AF9">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本次</w:t>
      </w:r>
      <w:proofErr w:type="gramStart"/>
      <w:r w:rsidRPr="004865EF">
        <w:rPr>
          <w:rFonts w:ascii="Times New Roman" w:eastAsia="宋体" w:hAnsi="Times New Roman" w:cs="Times New Roman" w:hint="eastAsia"/>
          <w:sz w:val="24"/>
        </w:rPr>
        <w:t>募投项目</w:t>
      </w:r>
      <w:proofErr w:type="gramEnd"/>
      <w:r w:rsidR="00482795" w:rsidRPr="004865EF">
        <w:rPr>
          <w:rFonts w:ascii="Times New Roman" w:eastAsia="宋体" w:hAnsi="Times New Roman" w:cs="Times New Roman" w:hint="eastAsia"/>
          <w:sz w:val="24"/>
        </w:rPr>
        <w:t>的效益测算</w:t>
      </w:r>
      <w:r w:rsidRPr="004865EF">
        <w:rPr>
          <w:rFonts w:ascii="Times New Roman" w:eastAsia="宋体" w:hAnsi="Times New Roman" w:cs="Times New Roman" w:hint="eastAsia"/>
          <w:sz w:val="24"/>
        </w:rPr>
        <w:t>均采用了相同的测算方法，具体测算依据如下：</w:t>
      </w:r>
    </w:p>
    <w:p w14:paraId="136B7CA2" w14:textId="704F4E42" w:rsidR="00151F32" w:rsidRPr="004865EF" w:rsidRDefault="00482795"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bCs/>
          <w:sz w:val="24"/>
        </w:rPr>
        <w:t>1</w:t>
      </w:r>
      <w:r w:rsidRPr="004865EF">
        <w:rPr>
          <w:rFonts w:ascii="Times New Roman" w:eastAsia="宋体" w:hAnsi="Times New Roman" w:cs="Times New Roman"/>
          <w:bCs/>
          <w:sz w:val="24"/>
        </w:rPr>
        <w:t>、</w:t>
      </w:r>
      <w:r w:rsidR="00151F32" w:rsidRPr="004865EF">
        <w:rPr>
          <w:rFonts w:ascii="Times New Roman" w:eastAsia="宋体" w:hAnsi="Times New Roman" w:cs="Times New Roman" w:hint="eastAsia"/>
          <w:bCs/>
          <w:sz w:val="24"/>
        </w:rPr>
        <w:t>营业收入测算</w:t>
      </w:r>
      <w:r w:rsidRPr="004865EF">
        <w:rPr>
          <w:rFonts w:ascii="Times New Roman" w:eastAsia="宋体" w:hAnsi="Times New Roman" w:cs="Times New Roman" w:hint="eastAsia"/>
          <w:bCs/>
          <w:sz w:val="24"/>
        </w:rPr>
        <w:t>：</w:t>
      </w:r>
      <w:r w:rsidR="00151F32" w:rsidRPr="004865EF">
        <w:rPr>
          <w:rFonts w:ascii="Times New Roman" w:eastAsia="宋体" w:hAnsi="Times New Roman" w:cs="Times New Roman" w:hint="eastAsia"/>
          <w:bCs/>
          <w:sz w:val="24"/>
        </w:rPr>
        <w:t>参考公司目前同功率机柜租金水平确定单机柜年度收入，并结合各个项目运营期内产能利用率的预计情况测算项目营业收入。</w:t>
      </w:r>
    </w:p>
    <w:p w14:paraId="0AA47B37" w14:textId="4236E991" w:rsidR="00151F32" w:rsidRPr="004865EF" w:rsidRDefault="00482795"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bCs/>
          <w:sz w:val="24"/>
        </w:rPr>
        <w:t>2</w:t>
      </w:r>
      <w:r w:rsidRPr="004865EF">
        <w:rPr>
          <w:rFonts w:ascii="Times New Roman" w:eastAsia="宋体" w:hAnsi="Times New Roman" w:cs="Times New Roman"/>
          <w:bCs/>
          <w:sz w:val="24"/>
        </w:rPr>
        <w:t>、</w:t>
      </w:r>
      <w:r w:rsidR="00151F32" w:rsidRPr="004865EF">
        <w:rPr>
          <w:rFonts w:ascii="Times New Roman" w:eastAsia="宋体" w:hAnsi="Times New Roman" w:cs="Times New Roman" w:hint="eastAsia"/>
          <w:bCs/>
          <w:sz w:val="24"/>
        </w:rPr>
        <w:t>营业成本测算</w:t>
      </w:r>
      <w:r w:rsidRPr="004865EF">
        <w:rPr>
          <w:rFonts w:ascii="Times New Roman" w:eastAsia="宋体" w:hAnsi="Times New Roman" w:cs="Times New Roman" w:hint="eastAsia"/>
          <w:bCs/>
          <w:sz w:val="24"/>
        </w:rPr>
        <w:t>：</w:t>
      </w:r>
      <w:r w:rsidR="00151F32" w:rsidRPr="004865EF">
        <w:rPr>
          <w:rFonts w:ascii="Times New Roman" w:eastAsia="宋体" w:hAnsi="Times New Roman" w:cs="Times New Roman" w:hint="eastAsia"/>
          <w:bCs/>
          <w:sz w:val="24"/>
        </w:rPr>
        <w:t>项目营业成本主要包括数据中心折旧摊销成本、水电及带宽成本、运维成本、人工成本和期间费用，其中：</w:t>
      </w:r>
    </w:p>
    <w:p w14:paraId="63179524" w14:textId="5060306F" w:rsidR="00151F32" w:rsidRPr="004865EF" w:rsidRDefault="00482795"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w:t>
      </w:r>
      <w:r w:rsidRPr="004865EF">
        <w:rPr>
          <w:rFonts w:ascii="Times New Roman" w:eastAsia="宋体" w:hAnsi="Times New Roman" w:cs="Times New Roman"/>
          <w:bCs/>
          <w:sz w:val="24"/>
        </w:rPr>
        <w:t>1</w:t>
      </w:r>
      <w:r w:rsidRPr="004865EF">
        <w:rPr>
          <w:rFonts w:ascii="Times New Roman" w:eastAsia="宋体" w:hAnsi="Times New Roman" w:cs="Times New Roman"/>
          <w:bCs/>
          <w:sz w:val="24"/>
        </w:rPr>
        <w:t>）</w:t>
      </w:r>
      <w:r w:rsidR="00151F32" w:rsidRPr="004865EF">
        <w:rPr>
          <w:rFonts w:ascii="Times New Roman" w:eastAsia="宋体" w:hAnsi="Times New Roman" w:cs="Times New Roman" w:hint="eastAsia"/>
          <w:bCs/>
          <w:sz w:val="24"/>
        </w:rPr>
        <w:t>数据中心土地摊销成本，根据取得土地的实际支出，在剩余土地使用年限内平均摊销；</w:t>
      </w:r>
    </w:p>
    <w:p w14:paraId="1AC16DB5" w14:textId="152EE174" w:rsidR="00151F32" w:rsidRPr="004865EF" w:rsidRDefault="00482795"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w:t>
      </w:r>
      <w:r w:rsidR="00151F32" w:rsidRPr="004865EF">
        <w:rPr>
          <w:rFonts w:ascii="Times New Roman" w:eastAsia="宋体" w:hAnsi="Times New Roman" w:cs="Times New Roman"/>
          <w:bCs/>
          <w:sz w:val="24"/>
        </w:rPr>
        <w:t>2</w:t>
      </w:r>
      <w:r w:rsidR="00151F32" w:rsidRPr="004865EF">
        <w:rPr>
          <w:rFonts w:ascii="Times New Roman" w:eastAsia="宋体" w:hAnsi="Times New Roman" w:cs="Times New Roman"/>
          <w:bCs/>
          <w:sz w:val="24"/>
        </w:rPr>
        <w:t>）</w:t>
      </w:r>
      <w:r w:rsidR="00151F32" w:rsidRPr="004865EF">
        <w:rPr>
          <w:rFonts w:ascii="Times New Roman" w:eastAsia="宋体" w:hAnsi="Times New Roman" w:cs="Times New Roman" w:hint="eastAsia"/>
          <w:bCs/>
          <w:sz w:val="24"/>
        </w:rPr>
        <w:t>房屋建筑物折旧成本，根据数据中心技术指标要求、规划建筑面积和单位面积建设造价预计房屋建筑总支出，并在剩余土地使用年限内平均摊销；</w:t>
      </w:r>
    </w:p>
    <w:p w14:paraId="099A7440" w14:textId="428BCB6C" w:rsidR="00151F32" w:rsidRPr="004865EF" w:rsidRDefault="00482795"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w:t>
      </w:r>
      <w:r w:rsidR="00151F32" w:rsidRPr="004865EF">
        <w:rPr>
          <w:rFonts w:ascii="Times New Roman" w:eastAsia="宋体" w:hAnsi="Times New Roman" w:cs="Times New Roman"/>
          <w:bCs/>
          <w:sz w:val="24"/>
        </w:rPr>
        <w:t>3</w:t>
      </w:r>
      <w:r w:rsidR="00151F32" w:rsidRPr="004865EF">
        <w:rPr>
          <w:rFonts w:ascii="Times New Roman" w:eastAsia="宋体" w:hAnsi="Times New Roman" w:cs="Times New Roman"/>
          <w:bCs/>
          <w:sz w:val="24"/>
        </w:rPr>
        <w:t>）</w:t>
      </w:r>
      <w:r w:rsidR="00151F32" w:rsidRPr="004865EF">
        <w:rPr>
          <w:rFonts w:ascii="Times New Roman" w:eastAsia="宋体" w:hAnsi="Times New Roman" w:cs="Times New Roman" w:hint="eastAsia"/>
          <w:bCs/>
          <w:sz w:val="24"/>
        </w:rPr>
        <w:t>设备折旧成本，根据项目规划、设备需求数量、市场现行设备通用单价，并结合公司历史项目经验预计设备投资总支出，并根据资产类别和现行资产折旧政策平均摊销；</w:t>
      </w:r>
    </w:p>
    <w:p w14:paraId="056A7745" w14:textId="0807D57D" w:rsidR="00151F32" w:rsidRPr="004865EF" w:rsidRDefault="00482795"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w:t>
      </w:r>
      <w:r w:rsidR="00151F32" w:rsidRPr="004865EF">
        <w:rPr>
          <w:rFonts w:ascii="Times New Roman" w:eastAsia="宋体" w:hAnsi="Times New Roman" w:cs="Times New Roman"/>
          <w:bCs/>
          <w:sz w:val="24"/>
        </w:rPr>
        <w:t>4</w:t>
      </w:r>
      <w:r w:rsidR="00151F32" w:rsidRPr="004865EF">
        <w:rPr>
          <w:rFonts w:ascii="Times New Roman" w:eastAsia="宋体" w:hAnsi="Times New Roman" w:cs="Times New Roman"/>
          <w:bCs/>
          <w:sz w:val="24"/>
        </w:rPr>
        <w:t>）</w:t>
      </w:r>
      <w:r w:rsidR="00151F32" w:rsidRPr="004865EF">
        <w:rPr>
          <w:rFonts w:ascii="Times New Roman" w:eastAsia="宋体" w:hAnsi="Times New Roman" w:cs="Times New Roman" w:hint="eastAsia"/>
          <w:bCs/>
          <w:sz w:val="24"/>
        </w:rPr>
        <w:t>水电及带宽成本，根据单机柜功率、用电系数、项目</w:t>
      </w:r>
      <w:r w:rsidR="00151F32" w:rsidRPr="004865EF">
        <w:rPr>
          <w:rFonts w:ascii="Times New Roman" w:eastAsia="宋体" w:hAnsi="Times New Roman" w:cs="Times New Roman"/>
          <w:bCs/>
          <w:sz w:val="24"/>
        </w:rPr>
        <w:t>PUE</w:t>
      </w:r>
      <w:r w:rsidR="00151F32" w:rsidRPr="004865EF">
        <w:rPr>
          <w:rFonts w:ascii="Times New Roman" w:eastAsia="宋体" w:hAnsi="Times New Roman" w:cs="Times New Roman"/>
          <w:bCs/>
          <w:sz w:val="24"/>
        </w:rPr>
        <w:t>值、单位能耗制冷用水量等参数，计算单机柜年度运行所需的水电量消耗，并结合地方工业水电收费标准，测算单机柜年度运行水电成本；根据单机柜带宽销售数量和通用采购单价，测算单机柜年度带宽成本；单机柜成本确定后，根据各年度机柜预计出租数量测算水电及带宽成本总额；</w:t>
      </w:r>
    </w:p>
    <w:p w14:paraId="442ADA89" w14:textId="0EE07BBB" w:rsidR="00151F32" w:rsidRPr="004865EF" w:rsidRDefault="00482795"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w:t>
      </w:r>
      <w:r w:rsidR="00151F32" w:rsidRPr="004865EF">
        <w:rPr>
          <w:rFonts w:ascii="Times New Roman" w:eastAsia="宋体" w:hAnsi="Times New Roman" w:cs="Times New Roman"/>
          <w:bCs/>
          <w:sz w:val="24"/>
        </w:rPr>
        <w:t>5</w:t>
      </w:r>
      <w:r w:rsidR="00151F32" w:rsidRPr="004865EF">
        <w:rPr>
          <w:rFonts w:ascii="Times New Roman" w:eastAsia="宋体" w:hAnsi="Times New Roman" w:cs="Times New Roman"/>
          <w:bCs/>
          <w:sz w:val="24"/>
        </w:rPr>
        <w:t>）</w:t>
      </w:r>
      <w:r w:rsidRPr="004865EF">
        <w:rPr>
          <w:rFonts w:ascii="Times New Roman" w:eastAsia="宋体" w:hAnsi="Times New Roman" w:cs="Times New Roman" w:hint="eastAsia"/>
          <w:bCs/>
          <w:sz w:val="24"/>
        </w:rPr>
        <w:t>期间费用，</w:t>
      </w:r>
      <w:r w:rsidR="00151F32" w:rsidRPr="004865EF">
        <w:rPr>
          <w:rFonts w:ascii="Times New Roman" w:eastAsia="宋体" w:hAnsi="Times New Roman" w:cs="Times New Roman" w:hint="eastAsia"/>
          <w:bCs/>
          <w:sz w:val="24"/>
        </w:rPr>
        <w:t>年度运</w:t>
      </w:r>
      <w:proofErr w:type="gramStart"/>
      <w:r w:rsidR="00151F32" w:rsidRPr="004865EF">
        <w:rPr>
          <w:rFonts w:ascii="Times New Roman" w:eastAsia="宋体" w:hAnsi="Times New Roman" w:cs="Times New Roman" w:hint="eastAsia"/>
          <w:bCs/>
          <w:sz w:val="24"/>
        </w:rPr>
        <w:t>维成本</w:t>
      </w:r>
      <w:proofErr w:type="gramEnd"/>
      <w:r w:rsidR="00151F32" w:rsidRPr="004865EF">
        <w:rPr>
          <w:rFonts w:ascii="Times New Roman" w:eastAsia="宋体" w:hAnsi="Times New Roman" w:cs="Times New Roman" w:hint="eastAsia"/>
          <w:bCs/>
          <w:sz w:val="24"/>
        </w:rPr>
        <w:t>按照数据中心年度折旧摊销总额的</w:t>
      </w:r>
      <w:r w:rsidR="00151F32" w:rsidRPr="004865EF">
        <w:rPr>
          <w:rFonts w:ascii="Times New Roman" w:eastAsia="宋体" w:hAnsi="Times New Roman" w:cs="Times New Roman"/>
          <w:bCs/>
          <w:sz w:val="24"/>
        </w:rPr>
        <w:t>10%</w:t>
      </w:r>
      <w:r w:rsidR="00151F32" w:rsidRPr="004865EF">
        <w:rPr>
          <w:rFonts w:ascii="Times New Roman" w:eastAsia="宋体" w:hAnsi="Times New Roman" w:cs="Times New Roman" w:hint="eastAsia"/>
          <w:bCs/>
          <w:sz w:val="24"/>
        </w:rPr>
        <w:t>测算；管理费用和销售费用均按照数据中心年度营业收入的</w:t>
      </w:r>
      <w:r w:rsidR="00151F32" w:rsidRPr="004865EF">
        <w:rPr>
          <w:rFonts w:ascii="Times New Roman" w:eastAsia="宋体" w:hAnsi="Times New Roman" w:cs="Times New Roman"/>
          <w:bCs/>
          <w:sz w:val="24"/>
        </w:rPr>
        <w:t>2%</w:t>
      </w:r>
      <w:r w:rsidR="00151F32" w:rsidRPr="004865EF">
        <w:rPr>
          <w:rFonts w:ascii="Times New Roman" w:eastAsia="宋体" w:hAnsi="Times New Roman" w:cs="Times New Roman" w:hint="eastAsia"/>
          <w:bCs/>
          <w:sz w:val="24"/>
        </w:rPr>
        <w:t>测算；人工成本按照数据中心楼栋数量、运营维护单班次人数预计员工总数，并参考公司现行薪资水平测算年度人工成本</w:t>
      </w:r>
      <w:r w:rsidRPr="004865EF">
        <w:rPr>
          <w:rFonts w:ascii="Times New Roman" w:eastAsia="宋体" w:hAnsi="Times New Roman" w:cs="Times New Roman" w:hint="eastAsia"/>
          <w:bCs/>
          <w:sz w:val="24"/>
        </w:rPr>
        <w:t>；</w:t>
      </w:r>
      <w:r w:rsidR="00151F32" w:rsidRPr="004865EF">
        <w:rPr>
          <w:rFonts w:ascii="Times New Roman" w:eastAsia="宋体" w:hAnsi="Times New Roman" w:cs="Times New Roman" w:hint="eastAsia"/>
          <w:bCs/>
          <w:sz w:val="24"/>
        </w:rPr>
        <w:t>燕郊三四期、长沙一期项目总投资金额较高，公司预计采用金融机构长期借款方式筹集部分建设资金，并按照年度融资金额及</w:t>
      </w:r>
      <w:r w:rsidR="00151F32" w:rsidRPr="004865EF">
        <w:rPr>
          <w:rFonts w:ascii="Times New Roman" w:eastAsia="宋体" w:hAnsi="Times New Roman" w:cs="Times New Roman"/>
          <w:bCs/>
          <w:sz w:val="24"/>
        </w:rPr>
        <w:t>6%</w:t>
      </w:r>
      <w:r w:rsidR="00151F32" w:rsidRPr="004865EF">
        <w:rPr>
          <w:rFonts w:ascii="Times New Roman" w:eastAsia="宋体" w:hAnsi="Times New Roman" w:cs="Times New Roman" w:hint="eastAsia"/>
          <w:bCs/>
          <w:sz w:val="24"/>
        </w:rPr>
        <w:t>的融资成本计算财务费用。</w:t>
      </w:r>
    </w:p>
    <w:p w14:paraId="2CDE8AD8" w14:textId="6D46722D" w:rsidR="00482795" w:rsidRPr="004865EF" w:rsidRDefault="00482795" w:rsidP="00E87AF9">
      <w:pPr>
        <w:spacing w:beforeLines="50" w:before="156" w:line="360" w:lineRule="auto"/>
        <w:ind w:firstLineChars="200" w:firstLine="480"/>
        <w:rPr>
          <w:rFonts w:ascii="Times New Roman" w:eastAsia="宋体" w:hAnsi="Times New Roman" w:cs="Times New Roman"/>
          <w:sz w:val="24"/>
        </w:rPr>
        <w:sectPr w:rsidR="00482795" w:rsidRPr="004865EF" w:rsidSect="00675378">
          <w:pgSz w:w="11906" w:h="16838"/>
          <w:pgMar w:top="1440" w:right="1800" w:bottom="1440" w:left="1800" w:header="851" w:footer="992" w:gutter="0"/>
          <w:cols w:space="425"/>
          <w:docGrid w:type="lines" w:linePitch="312"/>
        </w:sectPr>
      </w:pPr>
      <w:r w:rsidRPr="004865EF">
        <w:rPr>
          <w:rFonts w:ascii="Times New Roman" w:eastAsia="宋体" w:hAnsi="Times New Roman" w:cs="Times New Roman"/>
          <w:bCs/>
          <w:sz w:val="24"/>
        </w:rPr>
        <w:t>3</w:t>
      </w:r>
      <w:r w:rsidRPr="004865EF">
        <w:rPr>
          <w:rFonts w:ascii="Times New Roman" w:eastAsia="宋体" w:hAnsi="Times New Roman" w:cs="Times New Roman"/>
          <w:bCs/>
          <w:sz w:val="24"/>
        </w:rPr>
        <w:t>、</w:t>
      </w:r>
      <w:r w:rsidR="00151F32" w:rsidRPr="004865EF">
        <w:rPr>
          <w:rFonts w:ascii="Times New Roman" w:eastAsia="宋体" w:hAnsi="Times New Roman" w:cs="Times New Roman" w:hint="eastAsia"/>
          <w:bCs/>
          <w:sz w:val="24"/>
        </w:rPr>
        <w:t>所得税率</w:t>
      </w:r>
      <w:r w:rsidR="00151F32" w:rsidRPr="004865EF">
        <w:rPr>
          <w:rFonts w:ascii="Times New Roman" w:eastAsia="宋体" w:hAnsi="Times New Roman" w:cs="Times New Roman"/>
          <w:bCs/>
          <w:sz w:val="24"/>
        </w:rPr>
        <w:t>T+1</w:t>
      </w:r>
      <w:r w:rsidR="00151F32" w:rsidRPr="004865EF">
        <w:rPr>
          <w:rFonts w:ascii="Times New Roman" w:eastAsia="宋体" w:hAnsi="Times New Roman" w:cs="Times New Roman" w:hint="eastAsia"/>
          <w:bCs/>
          <w:sz w:val="24"/>
        </w:rPr>
        <w:t>年为</w:t>
      </w:r>
      <w:r w:rsidR="00151F32" w:rsidRPr="004865EF">
        <w:rPr>
          <w:rFonts w:ascii="Times New Roman" w:eastAsia="宋体" w:hAnsi="Times New Roman" w:cs="Times New Roman"/>
          <w:bCs/>
          <w:sz w:val="24"/>
        </w:rPr>
        <w:t>25%</w:t>
      </w:r>
      <w:r w:rsidR="00151F32" w:rsidRPr="004865EF">
        <w:rPr>
          <w:rFonts w:ascii="Times New Roman" w:eastAsia="宋体" w:hAnsi="Times New Roman" w:cs="Times New Roman" w:hint="eastAsia"/>
          <w:bCs/>
          <w:sz w:val="24"/>
        </w:rPr>
        <w:t>，</w:t>
      </w:r>
      <w:r w:rsidR="00151F32" w:rsidRPr="004865EF">
        <w:rPr>
          <w:rFonts w:ascii="Times New Roman" w:eastAsia="宋体" w:hAnsi="Times New Roman" w:cs="Times New Roman"/>
          <w:bCs/>
          <w:sz w:val="24"/>
        </w:rPr>
        <w:t>T+2</w:t>
      </w:r>
      <w:r w:rsidR="00151F32" w:rsidRPr="004865EF">
        <w:rPr>
          <w:rFonts w:ascii="Times New Roman" w:eastAsia="宋体" w:hAnsi="Times New Roman" w:cs="Times New Roman" w:hint="eastAsia"/>
          <w:bCs/>
          <w:sz w:val="24"/>
        </w:rPr>
        <w:t>年及以后按照</w:t>
      </w:r>
      <w:r w:rsidR="00151F32" w:rsidRPr="004865EF">
        <w:rPr>
          <w:rFonts w:ascii="Times New Roman" w:eastAsia="宋体" w:hAnsi="Times New Roman" w:cs="Times New Roman"/>
          <w:bCs/>
          <w:sz w:val="24"/>
        </w:rPr>
        <w:t>15%</w:t>
      </w:r>
      <w:r w:rsidR="00151F32" w:rsidRPr="004865EF">
        <w:rPr>
          <w:rFonts w:ascii="Times New Roman" w:eastAsia="宋体" w:hAnsi="Times New Roman" w:cs="Times New Roman" w:hint="eastAsia"/>
          <w:bCs/>
          <w:sz w:val="24"/>
        </w:rPr>
        <w:t>进行测算。</w:t>
      </w:r>
    </w:p>
    <w:p w14:paraId="18F2A09C" w14:textId="62B8FD52"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lastRenderedPageBreak/>
        <w:t>（</w:t>
      </w:r>
      <w:r w:rsidRPr="004865EF">
        <w:rPr>
          <w:rFonts w:ascii="Times New Roman" w:eastAsia="宋体" w:hAnsi="Times New Roman" w:cs="Times New Roman" w:hint="eastAsia"/>
          <w:sz w:val="24"/>
        </w:rPr>
        <w:t>一</w:t>
      </w:r>
      <w:r w:rsidRPr="004865EF">
        <w:rPr>
          <w:rFonts w:ascii="Times New Roman" w:eastAsia="宋体" w:hAnsi="Times New Roman" w:cs="Times New Roman"/>
          <w:sz w:val="24"/>
        </w:rPr>
        <w:t>）</w:t>
      </w:r>
      <w:r w:rsidR="00602898" w:rsidRPr="004865EF">
        <w:rPr>
          <w:rFonts w:ascii="Times New Roman" w:eastAsia="宋体" w:hAnsi="Times New Roman" w:cs="Times New Roman" w:hint="eastAsia"/>
          <w:sz w:val="24"/>
        </w:rPr>
        <w:t>北京房山绿色</w:t>
      </w:r>
      <w:proofErr w:type="gramStart"/>
      <w:r w:rsidR="00602898" w:rsidRPr="004865EF">
        <w:rPr>
          <w:rFonts w:ascii="Times New Roman" w:eastAsia="宋体" w:hAnsi="Times New Roman" w:cs="Times New Roman" w:hint="eastAsia"/>
          <w:sz w:val="24"/>
        </w:rPr>
        <w:t>云计算</w:t>
      </w:r>
      <w:proofErr w:type="gramEnd"/>
      <w:r w:rsidR="00602898" w:rsidRPr="004865EF">
        <w:rPr>
          <w:rFonts w:ascii="Times New Roman" w:eastAsia="宋体" w:hAnsi="Times New Roman" w:cs="Times New Roman" w:hint="eastAsia"/>
          <w:sz w:val="24"/>
        </w:rPr>
        <w:t>数据中心二期</w:t>
      </w:r>
    </w:p>
    <w:p w14:paraId="2F084B14" w14:textId="5C1834E9"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1</w:t>
      </w:r>
      <w:r w:rsidRPr="004865EF">
        <w:rPr>
          <w:rFonts w:ascii="Times New Roman" w:eastAsia="宋体" w:hAnsi="Times New Roman" w:cs="Times New Roman" w:hint="eastAsia"/>
          <w:sz w:val="24"/>
        </w:rPr>
        <w:t>、</w:t>
      </w:r>
      <w:r w:rsidR="00602898" w:rsidRPr="004865EF">
        <w:rPr>
          <w:rFonts w:ascii="Times New Roman" w:eastAsia="宋体" w:hAnsi="Times New Roman" w:cs="Times New Roman" w:hint="eastAsia"/>
          <w:sz w:val="24"/>
        </w:rPr>
        <w:t>预计效益情况</w:t>
      </w:r>
    </w:p>
    <w:p w14:paraId="6C34FFE7"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房山二期项目全部建成投产后，预计产生</w:t>
      </w:r>
      <w:r w:rsidRPr="004865EF">
        <w:rPr>
          <w:rFonts w:ascii="Times New Roman" w:eastAsia="宋体" w:hAnsi="Times New Roman" w:cs="Times New Roman" w:hint="eastAsia"/>
          <w:sz w:val="24"/>
        </w:rPr>
        <w:t>IDC</w:t>
      </w:r>
      <w:r w:rsidRPr="004865EF">
        <w:rPr>
          <w:rFonts w:ascii="Times New Roman" w:eastAsia="宋体" w:hAnsi="Times New Roman" w:cs="Times New Roman" w:hint="eastAsia"/>
          <w:sz w:val="24"/>
        </w:rPr>
        <w:t>及其增值服务年度收入</w:t>
      </w:r>
      <w:r w:rsidRPr="004865EF">
        <w:rPr>
          <w:rFonts w:ascii="Times New Roman" w:eastAsia="宋体" w:hAnsi="Times New Roman" w:cs="Times New Roman"/>
          <w:sz w:val="24"/>
        </w:rPr>
        <w:t>51,900.00</w:t>
      </w:r>
      <w:r w:rsidRPr="004865EF">
        <w:rPr>
          <w:rFonts w:ascii="Times New Roman" w:eastAsia="宋体" w:hAnsi="Times New Roman" w:cs="Times New Roman" w:hint="eastAsia"/>
          <w:sz w:val="24"/>
        </w:rPr>
        <w:t>万元，年度净利润</w:t>
      </w:r>
      <w:r w:rsidRPr="004865EF">
        <w:rPr>
          <w:rFonts w:ascii="Times New Roman" w:eastAsia="宋体" w:hAnsi="Times New Roman" w:cs="Times New Roman" w:hint="eastAsia"/>
          <w:sz w:val="24"/>
        </w:rPr>
        <w:t>16,391.37</w:t>
      </w:r>
      <w:r w:rsidRPr="004865EF">
        <w:rPr>
          <w:rFonts w:ascii="Times New Roman" w:eastAsia="宋体" w:hAnsi="Times New Roman" w:cs="Times New Roman" w:hint="eastAsia"/>
          <w:sz w:val="24"/>
        </w:rPr>
        <w:t>万元，根据财务模型及公司历史管理经验，按照项目</w:t>
      </w:r>
      <w:r w:rsidRPr="004865EF">
        <w:rPr>
          <w:rFonts w:ascii="Times New Roman" w:eastAsia="宋体" w:hAnsi="Times New Roman" w:cs="Times New Roman" w:hint="eastAsia"/>
          <w:sz w:val="24"/>
        </w:rPr>
        <w:t>10</w:t>
      </w:r>
      <w:r w:rsidRPr="004865EF">
        <w:rPr>
          <w:rFonts w:ascii="Times New Roman" w:eastAsia="宋体" w:hAnsi="Times New Roman" w:cs="Times New Roman" w:hint="eastAsia"/>
          <w:sz w:val="24"/>
        </w:rPr>
        <w:t>年运营服务期测算，房山二期项目内部收益率</w:t>
      </w:r>
      <w:r w:rsidRPr="004865EF">
        <w:rPr>
          <w:rFonts w:ascii="Times New Roman" w:eastAsia="宋体" w:hAnsi="Times New Roman" w:cs="Times New Roman" w:hint="eastAsia"/>
          <w:sz w:val="24"/>
        </w:rPr>
        <w:t>14.07%</w:t>
      </w:r>
      <w:r w:rsidRPr="004865EF">
        <w:rPr>
          <w:rFonts w:ascii="Times New Roman" w:eastAsia="宋体" w:hAnsi="Times New Roman" w:cs="Times New Roman" w:hint="eastAsia"/>
          <w:sz w:val="24"/>
        </w:rPr>
        <w:t>（税后），投资回收期为</w:t>
      </w:r>
      <w:r w:rsidRPr="004865EF">
        <w:rPr>
          <w:rFonts w:ascii="Times New Roman" w:eastAsia="宋体" w:hAnsi="Times New Roman" w:cs="Times New Roman" w:hint="eastAsia"/>
          <w:sz w:val="24"/>
        </w:rPr>
        <w:t>8.40</w:t>
      </w:r>
      <w:r w:rsidRPr="004865EF">
        <w:rPr>
          <w:rFonts w:ascii="Times New Roman" w:eastAsia="宋体" w:hAnsi="Times New Roman" w:cs="Times New Roman" w:hint="eastAsia"/>
          <w:sz w:val="24"/>
        </w:rPr>
        <w:t>年（税后）。</w:t>
      </w:r>
    </w:p>
    <w:p w14:paraId="484A1F41" w14:textId="65B83E55"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2</w:t>
      </w:r>
      <w:r w:rsidRPr="004865EF">
        <w:rPr>
          <w:rFonts w:ascii="Times New Roman" w:eastAsia="宋体" w:hAnsi="Times New Roman" w:cs="Times New Roman" w:hint="eastAsia"/>
          <w:sz w:val="24"/>
        </w:rPr>
        <w:t>、</w:t>
      </w:r>
      <w:r w:rsidR="00602898" w:rsidRPr="004865EF">
        <w:rPr>
          <w:rFonts w:ascii="Times New Roman" w:eastAsia="宋体" w:hAnsi="Times New Roman" w:cs="Times New Roman" w:hint="eastAsia"/>
          <w:sz w:val="24"/>
        </w:rPr>
        <w:t>预计效益测算过程</w:t>
      </w:r>
    </w:p>
    <w:p w14:paraId="5E9DCE76" w14:textId="77777777" w:rsidR="00602898" w:rsidRPr="004865EF" w:rsidRDefault="00602898"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房山二期项目按照</w:t>
      </w:r>
      <w:r w:rsidRPr="004865EF">
        <w:rPr>
          <w:rFonts w:ascii="Times New Roman" w:eastAsia="宋体" w:hAnsi="Times New Roman" w:cs="Times New Roman"/>
          <w:bCs/>
          <w:sz w:val="24"/>
        </w:rPr>
        <w:t>10</w:t>
      </w:r>
      <w:r w:rsidRPr="004865EF">
        <w:rPr>
          <w:rFonts w:ascii="Times New Roman" w:eastAsia="宋体" w:hAnsi="Times New Roman" w:cs="Times New Roman" w:hint="eastAsia"/>
          <w:bCs/>
          <w:sz w:val="24"/>
        </w:rPr>
        <w:t>年运营服务期预计的效益测算过程如下：</w:t>
      </w:r>
    </w:p>
    <w:p w14:paraId="00781EEA" w14:textId="0262F913" w:rsidR="006C4603" w:rsidRPr="004865EF" w:rsidRDefault="006C4603" w:rsidP="00E87AF9">
      <w:pPr>
        <w:spacing w:beforeLines="50" w:before="156"/>
        <w:ind w:firstLineChars="200" w:firstLine="420"/>
        <w:jc w:val="right"/>
        <w:rPr>
          <w:rFonts w:ascii="Times New Roman" w:eastAsia="宋体" w:hAnsi="Times New Roman" w:cs="Times New Roman"/>
          <w:bCs/>
        </w:rPr>
      </w:pPr>
      <w:r w:rsidRPr="004865EF">
        <w:rPr>
          <w:rFonts w:ascii="Times New Roman" w:eastAsia="宋体" w:hAnsi="Times New Roman" w:cs="Times New Roman" w:hint="eastAsia"/>
        </w:rPr>
        <w:t>单位：万元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37"/>
        <w:gridCol w:w="1134"/>
        <w:gridCol w:w="1134"/>
        <w:gridCol w:w="1134"/>
        <w:gridCol w:w="1134"/>
        <w:gridCol w:w="1134"/>
        <w:gridCol w:w="1134"/>
        <w:gridCol w:w="1134"/>
        <w:gridCol w:w="1134"/>
        <w:gridCol w:w="1134"/>
        <w:gridCol w:w="1134"/>
      </w:tblGrid>
      <w:tr w:rsidR="004865EF" w:rsidRPr="004865EF" w14:paraId="022A6598" w14:textId="77777777" w:rsidTr="00602898">
        <w:trPr>
          <w:trHeight w:val="397"/>
          <w:tblHeader/>
        </w:trPr>
        <w:tc>
          <w:tcPr>
            <w:tcW w:w="856" w:type="dxa"/>
            <w:shd w:val="clear" w:color="000000" w:fill="FFFFFF"/>
            <w:vAlign w:val="center"/>
            <w:hideMark/>
          </w:tcPr>
          <w:p w14:paraId="67067A8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hint="eastAsia"/>
                <w:b/>
                <w:bCs/>
                <w:kern w:val="0"/>
                <w:sz w:val="18"/>
                <w:szCs w:val="18"/>
              </w:rPr>
              <w:t>序号</w:t>
            </w:r>
          </w:p>
        </w:tc>
        <w:tc>
          <w:tcPr>
            <w:tcW w:w="1837" w:type="dxa"/>
            <w:shd w:val="clear" w:color="000000" w:fill="FFFFFF"/>
            <w:vAlign w:val="center"/>
            <w:hideMark/>
          </w:tcPr>
          <w:p w14:paraId="7E96877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hint="eastAsia"/>
                <w:b/>
                <w:bCs/>
                <w:kern w:val="0"/>
                <w:sz w:val="18"/>
                <w:szCs w:val="18"/>
              </w:rPr>
              <w:t>项目</w:t>
            </w:r>
          </w:p>
        </w:tc>
        <w:tc>
          <w:tcPr>
            <w:tcW w:w="1134" w:type="dxa"/>
            <w:shd w:val="clear" w:color="000000" w:fill="FFFFFF"/>
            <w:vAlign w:val="center"/>
            <w:hideMark/>
          </w:tcPr>
          <w:p w14:paraId="6FD6FF6C"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T+1</w:t>
            </w:r>
          </w:p>
        </w:tc>
        <w:tc>
          <w:tcPr>
            <w:tcW w:w="1134" w:type="dxa"/>
            <w:shd w:val="clear" w:color="000000" w:fill="FFFFFF"/>
            <w:vAlign w:val="center"/>
            <w:hideMark/>
          </w:tcPr>
          <w:p w14:paraId="2611B85D"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T+2</w:t>
            </w:r>
          </w:p>
        </w:tc>
        <w:tc>
          <w:tcPr>
            <w:tcW w:w="1134" w:type="dxa"/>
            <w:shd w:val="clear" w:color="000000" w:fill="FFFFFF"/>
            <w:vAlign w:val="center"/>
            <w:hideMark/>
          </w:tcPr>
          <w:p w14:paraId="10DA917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T+3</w:t>
            </w:r>
          </w:p>
        </w:tc>
        <w:tc>
          <w:tcPr>
            <w:tcW w:w="1134" w:type="dxa"/>
            <w:shd w:val="clear" w:color="000000" w:fill="FFFFFF"/>
            <w:vAlign w:val="center"/>
            <w:hideMark/>
          </w:tcPr>
          <w:p w14:paraId="2C0A64BC"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T+4</w:t>
            </w:r>
          </w:p>
        </w:tc>
        <w:tc>
          <w:tcPr>
            <w:tcW w:w="1134" w:type="dxa"/>
            <w:shd w:val="clear" w:color="000000" w:fill="FFFFFF"/>
            <w:vAlign w:val="center"/>
            <w:hideMark/>
          </w:tcPr>
          <w:p w14:paraId="25C73B1E"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T+5</w:t>
            </w:r>
          </w:p>
        </w:tc>
        <w:tc>
          <w:tcPr>
            <w:tcW w:w="1134" w:type="dxa"/>
            <w:shd w:val="clear" w:color="000000" w:fill="FFFFFF"/>
            <w:vAlign w:val="center"/>
            <w:hideMark/>
          </w:tcPr>
          <w:p w14:paraId="6733B7ED"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T+6</w:t>
            </w:r>
          </w:p>
        </w:tc>
        <w:tc>
          <w:tcPr>
            <w:tcW w:w="1134" w:type="dxa"/>
            <w:shd w:val="clear" w:color="000000" w:fill="FFFFFF"/>
            <w:vAlign w:val="center"/>
            <w:hideMark/>
          </w:tcPr>
          <w:p w14:paraId="4623EA9F"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T+7</w:t>
            </w:r>
          </w:p>
        </w:tc>
        <w:tc>
          <w:tcPr>
            <w:tcW w:w="1134" w:type="dxa"/>
            <w:shd w:val="clear" w:color="000000" w:fill="FFFFFF"/>
            <w:vAlign w:val="center"/>
            <w:hideMark/>
          </w:tcPr>
          <w:p w14:paraId="6AECA256"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T+8</w:t>
            </w:r>
          </w:p>
        </w:tc>
        <w:tc>
          <w:tcPr>
            <w:tcW w:w="1134" w:type="dxa"/>
            <w:shd w:val="clear" w:color="000000" w:fill="FFFFFF"/>
            <w:vAlign w:val="center"/>
            <w:hideMark/>
          </w:tcPr>
          <w:p w14:paraId="131CAF83"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T+9</w:t>
            </w:r>
          </w:p>
        </w:tc>
        <w:tc>
          <w:tcPr>
            <w:tcW w:w="1134" w:type="dxa"/>
            <w:shd w:val="clear" w:color="000000" w:fill="FFFFFF"/>
            <w:vAlign w:val="center"/>
            <w:hideMark/>
          </w:tcPr>
          <w:p w14:paraId="4E85E837" w14:textId="77777777" w:rsidR="00602898" w:rsidRPr="004865EF" w:rsidRDefault="00602898" w:rsidP="00602898">
            <w:pPr>
              <w:widowControl/>
              <w:jc w:val="center"/>
              <w:rPr>
                <w:rFonts w:ascii="Times New Roman" w:eastAsia="宋体" w:hAnsi="Times New Roman" w:cs="Times New Roman"/>
                <w:b/>
                <w:bCs/>
                <w:kern w:val="0"/>
                <w:sz w:val="18"/>
                <w:szCs w:val="18"/>
              </w:rPr>
            </w:pPr>
            <w:r w:rsidRPr="004865EF">
              <w:rPr>
                <w:rFonts w:ascii="Times New Roman" w:eastAsia="宋体" w:hAnsi="Times New Roman" w:cs="Times New Roman"/>
                <w:b/>
                <w:bCs/>
                <w:kern w:val="0"/>
                <w:sz w:val="18"/>
                <w:szCs w:val="18"/>
              </w:rPr>
              <w:t>T+10</w:t>
            </w:r>
          </w:p>
        </w:tc>
      </w:tr>
      <w:tr w:rsidR="004865EF" w:rsidRPr="004865EF" w14:paraId="087DD200" w14:textId="77777777" w:rsidTr="00602898">
        <w:trPr>
          <w:trHeight w:val="397"/>
        </w:trPr>
        <w:tc>
          <w:tcPr>
            <w:tcW w:w="856" w:type="dxa"/>
            <w:shd w:val="clear" w:color="000000" w:fill="FFFFFF"/>
            <w:vAlign w:val="center"/>
            <w:hideMark/>
          </w:tcPr>
          <w:p w14:paraId="2F88230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w:t>
            </w:r>
          </w:p>
        </w:tc>
        <w:tc>
          <w:tcPr>
            <w:tcW w:w="1837" w:type="dxa"/>
            <w:shd w:val="clear" w:color="000000" w:fill="FFFFFF"/>
            <w:vAlign w:val="center"/>
            <w:hideMark/>
          </w:tcPr>
          <w:p w14:paraId="14B3AC58"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营业收入</w:t>
            </w:r>
          </w:p>
        </w:tc>
        <w:tc>
          <w:tcPr>
            <w:tcW w:w="1134" w:type="dxa"/>
            <w:shd w:val="clear" w:color="000000" w:fill="FFFFFF"/>
            <w:vAlign w:val="center"/>
            <w:hideMark/>
          </w:tcPr>
          <w:p w14:paraId="4BE7615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19,462.50</w:t>
            </w:r>
          </w:p>
        </w:tc>
        <w:tc>
          <w:tcPr>
            <w:tcW w:w="1134" w:type="dxa"/>
            <w:shd w:val="clear" w:color="000000" w:fill="FFFFFF"/>
            <w:vAlign w:val="center"/>
            <w:hideMark/>
          </w:tcPr>
          <w:p w14:paraId="068D46D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45,412.50</w:t>
            </w:r>
          </w:p>
        </w:tc>
        <w:tc>
          <w:tcPr>
            <w:tcW w:w="1134" w:type="dxa"/>
            <w:shd w:val="clear" w:color="000000" w:fill="FFFFFF"/>
            <w:vAlign w:val="center"/>
            <w:hideMark/>
          </w:tcPr>
          <w:p w14:paraId="74E3FEA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51,900.00</w:t>
            </w:r>
          </w:p>
        </w:tc>
        <w:tc>
          <w:tcPr>
            <w:tcW w:w="1134" w:type="dxa"/>
            <w:shd w:val="clear" w:color="000000" w:fill="FFFFFF"/>
            <w:vAlign w:val="center"/>
            <w:hideMark/>
          </w:tcPr>
          <w:p w14:paraId="69ACFDE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51,900.00</w:t>
            </w:r>
          </w:p>
        </w:tc>
        <w:tc>
          <w:tcPr>
            <w:tcW w:w="1134" w:type="dxa"/>
            <w:shd w:val="clear" w:color="000000" w:fill="FFFFFF"/>
            <w:vAlign w:val="center"/>
            <w:hideMark/>
          </w:tcPr>
          <w:p w14:paraId="2C95211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51,900.00</w:t>
            </w:r>
          </w:p>
        </w:tc>
        <w:tc>
          <w:tcPr>
            <w:tcW w:w="1134" w:type="dxa"/>
            <w:shd w:val="clear" w:color="000000" w:fill="FFFFFF"/>
            <w:vAlign w:val="center"/>
            <w:hideMark/>
          </w:tcPr>
          <w:p w14:paraId="7022721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51,900.00</w:t>
            </w:r>
          </w:p>
        </w:tc>
        <w:tc>
          <w:tcPr>
            <w:tcW w:w="1134" w:type="dxa"/>
            <w:shd w:val="clear" w:color="000000" w:fill="FFFFFF"/>
            <w:vAlign w:val="center"/>
            <w:hideMark/>
          </w:tcPr>
          <w:p w14:paraId="747F282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51,900.00</w:t>
            </w:r>
          </w:p>
        </w:tc>
        <w:tc>
          <w:tcPr>
            <w:tcW w:w="1134" w:type="dxa"/>
            <w:shd w:val="clear" w:color="000000" w:fill="FFFFFF"/>
            <w:vAlign w:val="center"/>
            <w:hideMark/>
          </w:tcPr>
          <w:p w14:paraId="4D33631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51,900.00</w:t>
            </w:r>
          </w:p>
        </w:tc>
        <w:tc>
          <w:tcPr>
            <w:tcW w:w="1134" w:type="dxa"/>
            <w:shd w:val="clear" w:color="000000" w:fill="FFFFFF"/>
            <w:vAlign w:val="center"/>
            <w:hideMark/>
          </w:tcPr>
          <w:p w14:paraId="476E236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51,900.00</w:t>
            </w:r>
          </w:p>
        </w:tc>
        <w:tc>
          <w:tcPr>
            <w:tcW w:w="1134" w:type="dxa"/>
            <w:shd w:val="clear" w:color="000000" w:fill="FFFFFF"/>
            <w:vAlign w:val="center"/>
            <w:hideMark/>
          </w:tcPr>
          <w:p w14:paraId="675023E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51,900.00</w:t>
            </w:r>
          </w:p>
        </w:tc>
      </w:tr>
      <w:tr w:rsidR="004865EF" w:rsidRPr="004865EF" w14:paraId="22AD548D" w14:textId="77777777" w:rsidTr="00602898">
        <w:trPr>
          <w:trHeight w:val="397"/>
        </w:trPr>
        <w:tc>
          <w:tcPr>
            <w:tcW w:w="856" w:type="dxa"/>
            <w:shd w:val="clear" w:color="000000" w:fill="FFFFFF"/>
            <w:vAlign w:val="center"/>
            <w:hideMark/>
          </w:tcPr>
          <w:p w14:paraId="5DEDFA4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w:t>
            </w:r>
          </w:p>
        </w:tc>
        <w:tc>
          <w:tcPr>
            <w:tcW w:w="1837" w:type="dxa"/>
            <w:shd w:val="clear" w:color="000000" w:fill="FFFFFF"/>
            <w:vAlign w:val="center"/>
            <w:hideMark/>
          </w:tcPr>
          <w:p w14:paraId="0DA6688E"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营业成本</w:t>
            </w:r>
          </w:p>
        </w:tc>
        <w:tc>
          <w:tcPr>
            <w:tcW w:w="1134" w:type="dxa"/>
            <w:shd w:val="clear" w:color="000000" w:fill="FFFFFF"/>
            <w:vAlign w:val="center"/>
            <w:hideMark/>
          </w:tcPr>
          <w:p w14:paraId="4405DA5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13,770.12</w:t>
            </w:r>
          </w:p>
        </w:tc>
        <w:tc>
          <w:tcPr>
            <w:tcW w:w="1134" w:type="dxa"/>
            <w:shd w:val="clear" w:color="000000" w:fill="FFFFFF"/>
            <w:vAlign w:val="center"/>
            <w:hideMark/>
          </w:tcPr>
          <w:p w14:paraId="2F97064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29,775.05</w:t>
            </w:r>
          </w:p>
        </w:tc>
        <w:tc>
          <w:tcPr>
            <w:tcW w:w="1134" w:type="dxa"/>
            <w:shd w:val="clear" w:color="000000" w:fill="FFFFFF"/>
            <w:vAlign w:val="center"/>
            <w:hideMark/>
          </w:tcPr>
          <w:p w14:paraId="4FD8286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32,616.03</w:t>
            </w:r>
          </w:p>
        </w:tc>
        <w:tc>
          <w:tcPr>
            <w:tcW w:w="1134" w:type="dxa"/>
            <w:shd w:val="clear" w:color="000000" w:fill="FFFFFF"/>
            <w:vAlign w:val="center"/>
            <w:hideMark/>
          </w:tcPr>
          <w:p w14:paraId="3293F9F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32,616.03</w:t>
            </w:r>
          </w:p>
        </w:tc>
        <w:tc>
          <w:tcPr>
            <w:tcW w:w="1134" w:type="dxa"/>
            <w:shd w:val="clear" w:color="000000" w:fill="FFFFFF"/>
            <w:vAlign w:val="center"/>
            <w:hideMark/>
          </w:tcPr>
          <w:p w14:paraId="71E9A28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32,616.03</w:t>
            </w:r>
          </w:p>
        </w:tc>
        <w:tc>
          <w:tcPr>
            <w:tcW w:w="1134" w:type="dxa"/>
            <w:shd w:val="clear" w:color="000000" w:fill="FFFFFF"/>
            <w:vAlign w:val="center"/>
            <w:hideMark/>
          </w:tcPr>
          <w:p w14:paraId="2B0C92B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32,616.03</w:t>
            </w:r>
          </w:p>
        </w:tc>
        <w:tc>
          <w:tcPr>
            <w:tcW w:w="1134" w:type="dxa"/>
            <w:shd w:val="clear" w:color="000000" w:fill="FFFFFF"/>
            <w:vAlign w:val="center"/>
            <w:hideMark/>
          </w:tcPr>
          <w:p w14:paraId="1C6584E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32,616.03</w:t>
            </w:r>
          </w:p>
        </w:tc>
        <w:tc>
          <w:tcPr>
            <w:tcW w:w="1134" w:type="dxa"/>
            <w:shd w:val="clear" w:color="000000" w:fill="FFFFFF"/>
            <w:vAlign w:val="center"/>
            <w:hideMark/>
          </w:tcPr>
          <w:p w14:paraId="7DA910A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32,616.03</w:t>
            </w:r>
          </w:p>
        </w:tc>
        <w:tc>
          <w:tcPr>
            <w:tcW w:w="1134" w:type="dxa"/>
            <w:shd w:val="clear" w:color="000000" w:fill="FFFFFF"/>
            <w:vAlign w:val="center"/>
            <w:hideMark/>
          </w:tcPr>
          <w:p w14:paraId="59F1868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32,616.03</w:t>
            </w:r>
          </w:p>
        </w:tc>
        <w:tc>
          <w:tcPr>
            <w:tcW w:w="1134" w:type="dxa"/>
            <w:shd w:val="clear" w:color="000000" w:fill="FFFFFF"/>
            <w:vAlign w:val="center"/>
            <w:hideMark/>
          </w:tcPr>
          <w:p w14:paraId="21C1CB9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32,616.03</w:t>
            </w:r>
          </w:p>
        </w:tc>
      </w:tr>
      <w:tr w:rsidR="004865EF" w:rsidRPr="004865EF" w14:paraId="49A11DBB" w14:textId="77777777" w:rsidTr="00602898">
        <w:trPr>
          <w:trHeight w:val="397"/>
        </w:trPr>
        <w:tc>
          <w:tcPr>
            <w:tcW w:w="856" w:type="dxa"/>
            <w:shd w:val="clear" w:color="000000" w:fill="FFFFFF"/>
            <w:vAlign w:val="center"/>
            <w:hideMark/>
          </w:tcPr>
          <w:p w14:paraId="6E916B2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2.1</w:t>
            </w:r>
          </w:p>
        </w:tc>
        <w:tc>
          <w:tcPr>
            <w:tcW w:w="1837" w:type="dxa"/>
            <w:shd w:val="clear" w:color="000000" w:fill="FFFFFF"/>
            <w:vAlign w:val="center"/>
            <w:hideMark/>
          </w:tcPr>
          <w:p w14:paraId="5BC7BCE2"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折旧摊销成本</w:t>
            </w:r>
          </w:p>
        </w:tc>
        <w:tc>
          <w:tcPr>
            <w:tcW w:w="1134" w:type="dxa"/>
            <w:shd w:val="clear" w:color="000000" w:fill="FFFFFF"/>
            <w:vAlign w:val="center"/>
            <w:hideMark/>
          </w:tcPr>
          <w:p w14:paraId="18A6198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5,247.17</w:t>
            </w:r>
          </w:p>
        </w:tc>
        <w:tc>
          <w:tcPr>
            <w:tcW w:w="1134" w:type="dxa"/>
            <w:shd w:val="clear" w:color="000000" w:fill="FFFFFF"/>
            <w:vAlign w:val="center"/>
            <w:hideMark/>
          </w:tcPr>
          <w:p w14:paraId="372DE0F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9,888.15</w:t>
            </w:r>
          </w:p>
        </w:tc>
        <w:tc>
          <w:tcPr>
            <w:tcW w:w="1134" w:type="dxa"/>
            <w:shd w:val="clear" w:color="000000" w:fill="FFFFFF"/>
            <w:vAlign w:val="center"/>
            <w:hideMark/>
          </w:tcPr>
          <w:p w14:paraId="761CB29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9,888.15</w:t>
            </w:r>
          </w:p>
        </w:tc>
        <w:tc>
          <w:tcPr>
            <w:tcW w:w="1134" w:type="dxa"/>
            <w:shd w:val="clear" w:color="000000" w:fill="FFFFFF"/>
            <w:vAlign w:val="center"/>
            <w:hideMark/>
          </w:tcPr>
          <w:p w14:paraId="45FCD1B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9,888.15</w:t>
            </w:r>
          </w:p>
        </w:tc>
        <w:tc>
          <w:tcPr>
            <w:tcW w:w="1134" w:type="dxa"/>
            <w:shd w:val="clear" w:color="000000" w:fill="FFFFFF"/>
            <w:vAlign w:val="center"/>
            <w:hideMark/>
          </w:tcPr>
          <w:p w14:paraId="0F05C7B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9,888.15</w:t>
            </w:r>
          </w:p>
        </w:tc>
        <w:tc>
          <w:tcPr>
            <w:tcW w:w="1134" w:type="dxa"/>
            <w:shd w:val="clear" w:color="000000" w:fill="FFFFFF"/>
            <w:vAlign w:val="center"/>
            <w:hideMark/>
          </w:tcPr>
          <w:p w14:paraId="6BCBDC2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9,888.15</w:t>
            </w:r>
          </w:p>
        </w:tc>
        <w:tc>
          <w:tcPr>
            <w:tcW w:w="1134" w:type="dxa"/>
            <w:shd w:val="clear" w:color="000000" w:fill="FFFFFF"/>
            <w:vAlign w:val="center"/>
            <w:hideMark/>
          </w:tcPr>
          <w:p w14:paraId="06CA674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9,888.15</w:t>
            </w:r>
          </w:p>
        </w:tc>
        <w:tc>
          <w:tcPr>
            <w:tcW w:w="1134" w:type="dxa"/>
            <w:shd w:val="clear" w:color="000000" w:fill="FFFFFF"/>
            <w:vAlign w:val="center"/>
            <w:hideMark/>
          </w:tcPr>
          <w:p w14:paraId="1DE8691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9,888.15</w:t>
            </w:r>
          </w:p>
        </w:tc>
        <w:tc>
          <w:tcPr>
            <w:tcW w:w="1134" w:type="dxa"/>
            <w:shd w:val="clear" w:color="000000" w:fill="FFFFFF"/>
            <w:vAlign w:val="center"/>
            <w:hideMark/>
          </w:tcPr>
          <w:p w14:paraId="7814FCA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9,888.15</w:t>
            </w:r>
          </w:p>
        </w:tc>
        <w:tc>
          <w:tcPr>
            <w:tcW w:w="1134" w:type="dxa"/>
            <w:shd w:val="clear" w:color="000000" w:fill="FFFFFF"/>
            <w:vAlign w:val="center"/>
            <w:hideMark/>
          </w:tcPr>
          <w:p w14:paraId="582CCC2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9,888.15</w:t>
            </w:r>
          </w:p>
        </w:tc>
      </w:tr>
      <w:tr w:rsidR="004865EF" w:rsidRPr="004865EF" w14:paraId="63C15059" w14:textId="77777777" w:rsidTr="00602898">
        <w:trPr>
          <w:trHeight w:val="397"/>
        </w:trPr>
        <w:tc>
          <w:tcPr>
            <w:tcW w:w="856" w:type="dxa"/>
            <w:shd w:val="clear" w:color="000000" w:fill="FFFFFF"/>
            <w:vAlign w:val="center"/>
            <w:hideMark/>
          </w:tcPr>
          <w:p w14:paraId="44FE6ACC"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w:t>
            </w:r>
          </w:p>
        </w:tc>
        <w:tc>
          <w:tcPr>
            <w:tcW w:w="1837" w:type="dxa"/>
            <w:shd w:val="clear" w:color="000000" w:fill="FFFFFF"/>
            <w:vAlign w:val="center"/>
            <w:hideMark/>
          </w:tcPr>
          <w:p w14:paraId="6F53E21B"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水电及带宽成本</w:t>
            </w:r>
          </w:p>
        </w:tc>
        <w:tc>
          <w:tcPr>
            <w:tcW w:w="1134" w:type="dxa"/>
            <w:shd w:val="clear" w:color="000000" w:fill="FFFFFF"/>
            <w:vAlign w:val="center"/>
            <w:hideMark/>
          </w:tcPr>
          <w:p w14:paraId="0016296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7,072.15</w:t>
            </w:r>
          </w:p>
        </w:tc>
        <w:tc>
          <w:tcPr>
            <w:tcW w:w="1134" w:type="dxa"/>
            <w:shd w:val="clear" w:color="000000" w:fill="FFFFFF"/>
            <w:vAlign w:val="center"/>
            <w:hideMark/>
          </w:tcPr>
          <w:p w14:paraId="6D3E6CF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16,501.68</w:t>
            </w:r>
          </w:p>
        </w:tc>
        <w:tc>
          <w:tcPr>
            <w:tcW w:w="1134" w:type="dxa"/>
            <w:shd w:val="clear" w:color="000000" w:fill="FFFFFF"/>
            <w:vAlign w:val="center"/>
            <w:hideMark/>
          </w:tcPr>
          <w:p w14:paraId="0EE6395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18,859.07</w:t>
            </w:r>
          </w:p>
        </w:tc>
        <w:tc>
          <w:tcPr>
            <w:tcW w:w="1134" w:type="dxa"/>
            <w:shd w:val="clear" w:color="000000" w:fill="FFFFFF"/>
            <w:vAlign w:val="center"/>
            <w:hideMark/>
          </w:tcPr>
          <w:p w14:paraId="3131786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18,859.07</w:t>
            </w:r>
          </w:p>
        </w:tc>
        <w:tc>
          <w:tcPr>
            <w:tcW w:w="1134" w:type="dxa"/>
            <w:shd w:val="clear" w:color="000000" w:fill="FFFFFF"/>
            <w:vAlign w:val="center"/>
            <w:hideMark/>
          </w:tcPr>
          <w:p w14:paraId="51E5903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18,859.07</w:t>
            </w:r>
          </w:p>
        </w:tc>
        <w:tc>
          <w:tcPr>
            <w:tcW w:w="1134" w:type="dxa"/>
            <w:shd w:val="clear" w:color="000000" w:fill="FFFFFF"/>
            <w:vAlign w:val="center"/>
            <w:hideMark/>
          </w:tcPr>
          <w:p w14:paraId="6EDA64A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18,859.07</w:t>
            </w:r>
          </w:p>
        </w:tc>
        <w:tc>
          <w:tcPr>
            <w:tcW w:w="1134" w:type="dxa"/>
            <w:shd w:val="clear" w:color="000000" w:fill="FFFFFF"/>
            <w:vAlign w:val="center"/>
            <w:hideMark/>
          </w:tcPr>
          <w:p w14:paraId="4B54FA6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18,859.07</w:t>
            </w:r>
          </w:p>
        </w:tc>
        <w:tc>
          <w:tcPr>
            <w:tcW w:w="1134" w:type="dxa"/>
            <w:shd w:val="clear" w:color="000000" w:fill="FFFFFF"/>
            <w:vAlign w:val="center"/>
            <w:hideMark/>
          </w:tcPr>
          <w:p w14:paraId="1616BB5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18,859.07</w:t>
            </w:r>
          </w:p>
        </w:tc>
        <w:tc>
          <w:tcPr>
            <w:tcW w:w="1134" w:type="dxa"/>
            <w:shd w:val="clear" w:color="000000" w:fill="FFFFFF"/>
            <w:vAlign w:val="center"/>
            <w:hideMark/>
          </w:tcPr>
          <w:p w14:paraId="011E2A3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18,859.07</w:t>
            </w:r>
          </w:p>
        </w:tc>
        <w:tc>
          <w:tcPr>
            <w:tcW w:w="1134" w:type="dxa"/>
            <w:shd w:val="clear" w:color="000000" w:fill="FFFFFF"/>
            <w:vAlign w:val="center"/>
            <w:hideMark/>
          </w:tcPr>
          <w:p w14:paraId="7D4539A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18,859.07</w:t>
            </w:r>
          </w:p>
        </w:tc>
      </w:tr>
      <w:tr w:rsidR="004865EF" w:rsidRPr="004865EF" w14:paraId="2F501650" w14:textId="77777777" w:rsidTr="00602898">
        <w:trPr>
          <w:trHeight w:val="397"/>
        </w:trPr>
        <w:tc>
          <w:tcPr>
            <w:tcW w:w="856" w:type="dxa"/>
            <w:shd w:val="clear" w:color="000000" w:fill="FFFFFF"/>
            <w:vAlign w:val="center"/>
            <w:hideMark/>
          </w:tcPr>
          <w:p w14:paraId="0A3450CF"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2.3</w:t>
            </w:r>
          </w:p>
        </w:tc>
        <w:tc>
          <w:tcPr>
            <w:tcW w:w="1837" w:type="dxa"/>
            <w:shd w:val="clear" w:color="000000" w:fill="FFFFFF"/>
            <w:vAlign w:val="center"/>
            <w:hideMark/>
          </w:tcPr>
          <w:p w14:paraId="140CCCF3"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运</w:t>
            </w:r>
            <w:proofErr w:type="gramStart"/>
            <w:r w:rsidRPr="004865EF">
              <w:rPr>
                <w:rFonts w:ascii="Times New Roman" w:eastAsia="宋体" w:hAnsi="Times New Roman" w:cs="Times New Roman" w:hint="eastAsia"/>
                <w:bCs/>
                <w:kern w:val="0"/>
                <w:sz w:val="18"/>
                <w:szCs w:val="18"/>
              </w:rPr>
              <w:t>维成本</w:t>
            </w:r>
            <w:proofErr w:type="gramEnd"/>
          </w:p>
        </w:tc>
        <w:tc>
          <w:tcPr>
            <w:tcW w:w="1134" w:type="dxa"/>
            <w:shd w:val="clear" w:color="000000" w:fill="FFFFFF"/>
            <w:vAlign w:val="center"/>
            <w:hideMark/>
          </w:tcPr>
          <w:p w14:paraId="4A1F3F2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370.81</w:t>
            </w:r>
          </w:p>
        </w:tc>
        <w:tc>
          <w:tcPr>
            <w:tcW w:w="1134" w:type="dxa"/>
            <w:shd w:val="clear" w:color="000000" w:fill="FFFFFF"/>
            <w:vAlign w:val="center"/>
            <w:hideMark/>
          </w:tcPr>
          <w:p w14:paraId="2BC6697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865.21</w:t>
            </w:r>
          </w:p>
        </w:tc>
        <w:tc>
          <w:tcPr>
            <w:tcW w:w="1134" w:type="dxa"/>
            <w:shd w:val="clear" w:color="000000" w:fill="FFFFFF"/>
            <w:vAlign w:val="center"/>
            <w:hideMark/>
          </w:tcPr>
          <w:p w14:paraId="75C92A8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988.82</w:t>
            </w:r>
          </w:p>
        </w:tc>
        <w:tc>
          <w:tcPr>
            <w:tcW w:w="1134" w:type="dxa"/>
            <w:shd w:val="clear" w:color="000000" w:fill="FFFFFF"/>
            <w:vAlign w:val="center"/>
            <w:hideMark/>
          </w:tcPr>
          <w:p w14:paraId="4171B2F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988.82</w:t>
            </w:r>
          </w:p>
        </w:tc>
        <w:tc>
          <w:tcPr>
            <w:tcW w:w="1134" w:type="dxa"/>
            <w:shd w:val="clear" w:color="000000" w:fill="FFFFFF"/>
            <w:vAlign w:val="center"/>
            <w:hideMark/>
          </w:tcPr>
          <w:p w14:paraId="41EBAED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988.82</w:t>
            </w:r>
          </w:p>
        </w:tc>
        <w:tc>
          <w:tcPr>
            <w:tcW w:w="1134" w:type="dxa"/>
            <w:shd w:val="clear" w:color="000000" w:fill="FFFFFF"/>
            <w:vAlign w:val="center"/>
            <w:hideMark/>
          </w:tcPr>
          <w:p w14:paraId="099EF9F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988.82</w:t>
            </w:r>
          </w:p>
        </w:tc>
        <w:tc>
          <w:tcPr>
            <w:tcW w:w="1134" w:type="dxa"/>
            <w:shd w:val="clear" w:color="000000" w:fill="FFFFFF"/>
            <w:vAlign w:val="center"/>
            <w:hideMark/>
          </w:tcPr>
          <w:p w14:paraId="32E7873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988.82</w:t>
            </w:r>
          </w:p>
        </w:tc>
        <w:tc>
          <w:tcPr>
            <w:tcW w:w="1134" w:type="dxa"/>
            <w:shd w:val="clear" w:color="000000" w:fill="FFFFFF"/>
            <w:vAlign w:val="center"/>
            <w:hideMark/>
          </w:tcPr>
          <w:p w14:paraId="773B1BB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988.82</w:t>
            </w:r>
          </w:p>
        </w:tc>
        <w:tc>
          <w:tcPr>
            <w:tcW w:w="1134" w:type="dxa"/>
            <w:shd w:val="clear" w:color="000000" w:fill="FFFFFF"/>
            <w:vAlign w:val="center"/>
            <w:hideMark/>
          </w:tcPr>
          <w:p w14:paraId="31A2904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988.82</w:t>
            </w:r>
          </w:p>
        </w:tc>
        <w:tc>
          <w:tcPr>
            <w:tcW w:w="1134" w:type="dxa"/>
            <w:shd w:val="clear" w:color="000000" w:fill="FFFFFF"/>
            <w:vAlign w:val="center"/>
            <w:hideMark/>
          </w:tcPr>
          <w:p w14:paraId="4484A23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988.82</w:t>
            </w:r>
          </w:p>
        </w:tc>
      </w:tr>
      <w:tr w:rsidR="004865EF" w:rsidRPr="004865EF" w14:paraId="33B5AE33" w14:textId="77777777" w:rsidTr="00602898">
        <w:trPr>
          <w:trHeight w:val="397"/>
        </w:trPr>
        <w:tc>
          <w:tcPr>
            <w:tcW w:w="856" w:type="dxa"/>
            <w:shd w:val="clear" w:color="000000" w:fill="FFFFFF"/>
            <w:vAlign w:val="center"/>
            <w:hideMark/>
          </w:tcPr>
          <w:p w14:paraId="2E74B7FB"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w:t>
            </w:r>
          </w:p>
        </w:tc>
        <w:tc>
          <w:tcPr>
            <w:tcW w:w="1837" w:type="dxa"/>
            <w:shd w:val="clear" w:color="000000" w:fill="FFFFFF"/>
            <w:vAlign w:val="center"/>
            <w:hideMark/>
          </w:tcPr>
          <w:p w14:paraId="4EC2E582"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人工成本</w:t>
            </w:r>
          </w:p>
        </w:tc>
        <w:tc>
          <w:tcPr>
            <w:tcW w:w="1134" w:type="dxa"/>
            <w:shd w:val="clear" w:color="000000" w:fill="FFFFFF"/>
            <w:vAlign w:val="center"/>
            <w:hideMark/>
          </w:tcPr>
          <w:p w14:paraId="25EB977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360.00</w:t>
            </w:r>
          </w:p>
        </w:tc>
        <w:tc>
          <w:tcPr>
            <w:tcW w:w="1134" w:type="dxa"/>
            <w:shd w:val="clear" w:color="000000" w:fill="FFFFFF"/>
            <w:vAlign w:val="center"/>
            <w:hideMark/>
          </w:tcPr>
          <w:p w14:paraId="5A1DEDD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840.00</w:t>
            </w:r>
          </w:p>
        </w:tc>
        <w:tc>
          <w:tcPr>
            <w:tcW w:w="1134" w:type="dxa"/>
            <w:shd w:val="clear" w:color="000000" w:fill="FFFFFF"/>
            <w:vAlign w:val="center"/>
            <w:hideMark/>
          </w:tcPr>
          <w:p w14:paraId="493A53D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5DAFD0F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3CF0C72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7C16310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7A6413B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6C56220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3F648E2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0FAE7B1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r>
      <w:tr w:rsidR="004865EF" w:rsidRPr="004865EF" w14:paraId="0FB7715D" w14:textId="77777777" w:rsidTr="00602898">
        <w:trPr>
          <w:trHeight w:val="397"/>
        </w:trPr>
        <w:tc>
          <w:tcPr>
            <w:tcW w:w="856" w:type="dxa"/>
            <w:shd w:val="clear" w:color="000000" w:fill="FFFFFF"/>
            <w:vAlign w:val="center"/>
            <w:hideMark/>
          </w:tcPr>
          <w:p w14:paraId="5BE8A9E0"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w:t>
            </w:r>
          </w:p>
        </w:tc>
        <w:tc>
          <w:tcPr>
            <w:tcW w:w="1837" w:type="dxa"/>
            <w:shd w:val="clear" w:color="000000" w:fill="FFFFFF"/>
            <w:vAlign w:val="center"/>
            <w:hideMark/>
          </w:tcPr>
          <w:p w14:paraId="07C9DDEE"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管理费用</w:t>
            </w:r>
          </w:p>
        </w:tc>
        <w:tc>
          <w:tcPr>
            <w:tcW w:w="1134" w:type="dxa"/>
            <w:shd w:val="clear" w:color="000000" w:fill="FFFFFF"/>
            <w:vAlign w:val="center"/>
            <w:hideMark/>
          </w:tcPr>
          <w:p w14:paraId="6653A7F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360.00</w:t>
            </w:r>
          </w:p>
        </w:tc>
        <w:tc>
          <w:tcPr>
            <w:tcW w:w="1134" w:type="dxa"/>
            <w:shd w:val="clear" w:color="000000" w:fill="FFFFFF"/>
            <w:vAlign w:val="center"/>
            <w:hideMark/>
          </w:tcPr>
          <w:p w14:paraId="3260550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840.00</w:t>
            </w:r>
          </w:p>
        </w:tc>
        <w:tc>
          <w:tcPr>
            <w:tcW w:w="1134" w:type="dxa"/>
            <w:shd w:val="clear" w:color="000000" w:fill="FFFFFF"/>
            <w:vAlign w:val="center"/>
            <w:hideMark/>
          </w:tcPr>
          <w:p w14:paraId="34AB99C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3637612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0595EFC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641D69E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5773D7D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122C640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4C05D28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166A868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r>
      <w:tr w:rsidR="004865EF" w:rsidRPr="004865EF" w14:paraId="366570E1" w14:textId="77777777" w:rsidTr="00602898">
        <w:trPr>
          <w:trHeight w:val="397"/>
        </w:trPr>
        <w:tc>
          <w:tcPr>
            <w:tcW w:w="856" w:type="dxa"/>
            <w:shd w:val="clear" w:color="000000" w:fill="FFFFFF"/>
            <w:vAlign w:val="center"/>
            <w:hideMark/>
          </w:tcPr>
          <w:p w14:paraId="0B84B67C"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w:t>
            </w:r>
          </w:p>
        </w:tc>
        <w:tc>
          <w:tcPr>
            <w:tcW w:w="1837" w:type="dxa"/>
            <w:shd w:val="clear" w:color="000000" w:fill="FFFFFF"/>
            <w:vAlign w:val="center"/>
            <w:hideMark/>
          </w:tcPr>
          <w:p w14:paraId="7D596146"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销售费用</w:t>
            </w:r>
          </w:p>
        </w:tc>
        <w:tc>
          <w:tcPr>
            <w:tcW w:w="1134" w:type="dxa"/>
            <w:shd w:val="clear" w:color="000000" w:fill="FFFFFF"/>
            <w:vAlign w:val="center"/>
            <w:hideMark/>
          </w:tcPr>
          <w:p w14:paraId="68F5BD6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360.00</w:t>
            </w:r>
          </w:p>
        </w:tc>
        <w:tc>
          <w:tcPr>
            <w:tcW w:w="1134" w:type="dxa"/>
            <w:shd w:val="clear" w:color="000000" w:fill="FFFFFF"/>
            <w:vAlign w:val="center"/>
            <w:hideMark/>
          </w:tcPr>
          <w:p w14:paraId="367005B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840.00</w:t>
            </w:r>
          </w:p>
        </w:tc>
        <w:tc>
          <w:tcPr>
            <w:tcW w:w="1134" w:type="dxa"/>
            <w:shd w:val="clear" w:color="000000" w:fill="FFFFFF"/>
            <w:vAlign w:val="center"/>
            <w:hideMark/>
          </w:tcPr>
          <w:p w14:paraId="0298FE0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4256084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7987FB9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70CC778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6F12201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2565755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4054190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7550C36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r>
      <w:tr w:rsidR="004865EF" w:rsidRPr="004865EF" w14:paraId="350C873E" w14:textId="77777777" w:rsidTr="00602898">
        <w:trPr>
          <w:trHeight w:val="397"/>
        </w:trPr>
        <w:tc>
          <w:tcPr>
            <w:tcW w:w="856" w:type="dxa"/>
            <w:shd w:val="clear" w:color="000000" w:fill="FFFFFF"/>
            <w:vAlign w:val="center"/>
            <w:hideMark/>
          </w:tcPr>
          <w:p w14:paraId="6CA84A9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w:t>
            </w:r>
          </w:p>
        </w:tc>
        <w:tc>
          <w:tcPr>
            <w:tcW w:w="1837" w:type="dxa"/>
            <w:shd w:val="clear" w:color="000000" w:fill="FFFFFF"/>
            <w:vAlign w:val="center"/>
            <w:hideMark/>
          </w:tcPr>
          <w:p w14:paraId="0F418CEC"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利润总额</w:t>
            </w:r>
          </w:p>
        </w:tc>
        <w:tc>
          <w:tcPr>
            <w:tcW w:w="1134" w:type="dxa"/>
            <w:shd w:val="clear" w:color="000000" w:fill="FFFFFF"/>
            <w:vAlign w:val="center"/>
            <w:hideMark/>
          </w:tcPr>
          <w:p w14:paraId="60C7F0F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5,692.38</w:t>
            </w:r>
          </w:p>
        </w:tc>
        <w:tc>
          <w:tcPr>
            <w:tcW w:w="1134" w:type="dxa"/>
            <w:shd w:val="clear" w:color="000000" w:fill="FFFFFF"/>
            <w:vAlign w:val="center"/>
            <w:hideMark/>
          </w:tcPr>
          <w:p w14:paraId="7173BBD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15,637.45</w:t>
            </w:r>
          </w:p>
        </w:tc>
        <w:tc>
          <w:tcPr>
            <w:tcW w:w="1134" w:type="dxa"/>
            <w:shd w:val="clear" w:color="000000" w:fill="FFFFFF"/>
            <w:vAlign w:val="center"/>
            <w:hideMark/>
          </w:tcPr>
          <w:p w14:paraId="7FF958C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19,283.97</w:t>
            </w:r>
          </w:p>
        </w:tc>
        <w:tc>
          <w:tcPr>
            <w:tcW w:w="1134" w:type="dxa"/>
            <w:shd w:val="clear" w:color="000000" w:fill="FFFFFF"/>
            <w:vAlign w:val="center"/>
            <w:hideMark/>
          </w:tcPr>
          <w:p w14:paraId="1BD0B7D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19,283.97</w:t>
            </w:r>
          </w:p>
        </w:tc>
        <w:tc>
          <w:tcPr>
            <w:tcW w:w="1134" w:type="dxa"/>
            <w:shd w:val="clear" w:color="000000" w:fill="FFFFFF"/>
            <w:vAlign w:val="center"/>
            <w:hideMark/>
          </w:tcPr>
          <w:p w14:paraId="312AA22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19,283.97</w:t>
            </w:r>
          </w:p>
        </w:tc>
        <w:tc>
          <w:tcPr>
            <w:tcW w:w="1134" w:type="dxa"/>
            <w:shd w:val="clear" w:color="000000" w:fill="FFFFFF"/>
            <w:vAlign w:val="center"/>
            <w:hideMark/>
          </w:tcPr>
          <w:p w14:paraId="4B9C931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19,283.97</w:t>
            </w:r>
          </w:p>
        </w:tc>
        <w:tc>
          <w:tcPr>
            <w:tcW w:w="1134" w:type="dxa"/>
            <w:shd w:val="clear" w:color="000000" w:fill="FFFFFF"/>
            <w:vAlign w:val="center"/>
            <w:hideMark/>
          </w:tcPr>
          <w:p w14:paraId="50C3545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19,283.97</w:t>
            </w:r>
          </w:p>
        </w:tc>
        <w:tc>
          <w:tcPr>
            <w:tcW w:w="1134" w:type="dxa"/>
            <w:shd w:val="clear" w:color="000000" w:fill="FFFFFF"/>
            <w:vAlign w:val="center"/>
            <w:hideMark/>
          </w:tcPr>
          <w:p w14:paraId="70873A8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19,283.97</w:t>
            </w:r>
          </w:p>
        </w:tc>
        <w:tc>
          <w:tcPr>
            <w:tcW w:w="1134" w:type="dxa"/>
            <w:shd w:val="clear" w:color="000000" w:fill="FFFFFF"/>
            <w:vAlign w:val="center"/>
            <w:hideMark/>
          </w:tcPr>
          <w:p w14:paraId="0EDE7F8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19,283.97</w:t>
            </w:r>
          </w:p>
        </w:tc>
        <w:tc>
          <w:tcPr>
            <w:tcW w:w="1134" w:type="dxa"/>
            <w:shd w:val="clear" w:color="000000" w:fill="FFFFFF"/>
            <w:vAlign w:val="center"/>
            <w:hideMark/>
          </w:tcPr>
          <w:p w14:paraId="08D02AF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19,283.97</w:t>
            </w:r>
          </w:p>
        </w:tc>
      </w:tr>
      <w:tr w:rsidR="004865EF" w:rsidRPr="004865EF" w14:paraId="3B6594A6" w14:textId="77777777" w:rsidTr="00602898">
        <w:trPr>
          <w:trHeight w:val="397"/>
        </w:trPr>
        <w:tc>
          <w:tcPr>
            <w:tcW w:w="856" w:type="dxa"/>
            <w:shd w:val="clear" w:color="000000" w:fill="FFFFFF"/>
            <w:vAlign w:val="center"/>
            <w:hideMark/>
          </w:tcPr>
          <w:p w14:paraId="3CAD1CA2"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lastRenderedPageBreak/>
              <w:t>4</w:t>
            </w:r>
          </w:p>
        </w:tc>
        <w:tc>
          <w:tcPr>
            <w:tcW w:w="1837" w:type="dxa"/>
            <w:shd w:val="clear" w:color="000000" w:fill="FFFFFF"/>
            <w:vAlign w:val="center"/>
            <w:hideMark/>
          </w:tcPr>
          <w:p w14:paraId="583034CA"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所得税</w:t>
            </w:r>
          </w:p>
        </w:tc>
        <w:tc>
          <w:tcPr>
            <w:tcW w:w="1134" w:type="dxa"/>
            <w:shd w:val="clear" w:color="000000" w:fill="FFFFFF"/>
            <w:vAlign w:val="center"/>
            <w:hideMark/>
          </w:tcPr>
          <w:p w14:paraId="4C65FD3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1,423.09</w:t>
            </w:r>
          </w:p>
        </w:tc>
        <w:tc>
          <w:tcPr>
            <w:tcW w:w="1134" w:type="dxa"/>
            <w:shd w:val="clear" w:color="000000" w:fill="FFFFFF"/>
            <w:vAlign w:val="center"/>
            <w:hideMark/>
          </w:tcPr>
          <w:p w14:paraId="7FB07DB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2,345.62</w:t>
            </w:r>
          </w:p>
        </w:tc>
        <w:tc>
          <w:tcPr>
            <w:tcW w:w="1134" w:type="dxa"/>
            <w:shd w:val="clear" w:color="000000" w:fill="FFFFFF"/>
            <w:vAlign w:val="center"/>
            <w:hideMark/>
          </w:tcPr>
          <w:p w14:paraId="30D4126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2,892.59</w:t>
            </w:r>
          </w:p>
        </w:tc>
        <w:tc>
          <w:tcPr>
            <w:tcW w:w="1134" w:type="dxa"/>
            <w:shd w:val="clear" w:color="000000" w:fill="FFFFFF"/>
            <w:vAlign w:val="center"/>
            <w:hideMark/>
          </w:tcPr>
          <w:p w14:paraId="52D1C39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2,892.59</w:t>
            </w:r>
          </w:p>
        </w:tc>
        <w:tc>
          <w:tcPr>
            <w:tcW w:w="1134" w:type="dxa"/>
            <w:shd w:val="clear" w:color="000000" w:fill="FFFFFF"/>
            <w:vAlign w:val="center"/>
            <w:hideMark/>
          </w:tcPr>
          <w:p w14:paraId="5448719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2,892.59</w:t>
            </w:r>
          </w:p>
        </w:tc>
        <w:tc>
          <w:tcPr>
            <w:tcW w:w="1134" w:type="dxa"/>
            <w:shd w:val="clear" w:color="000000" w:fill="FFFFFF"/>
            <w:vAlign w:val="center"/>
            <w:hideMark/>
          </w:tcPr>
          <w:p w14:paraId="7A3A4E2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2,892.59</w:t>
            </w:r>
          </w:p>
        </w:tc>
        <w:tc>
          <w:tcPr>
            <w:tcW w:w="1134" w:type="dxa"/>
            <w:shd w:val="clear" w:color="000000" w:fill="FFFFFF"/>
            <w:vAlign w:val="center"/>
            <w:hideMark/>
          </w:tcPr>
          <w:p w14:paraId="29D4ECA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2,892.59</w:t>
            </w:r>
          </w:p>
        </w:tc>
        <w:tc>
          <w:tcPr>
            <w:tcW w:w="1134" w:type="dxa"/>
            <w:shd w:val="clear" w:color="000000" w:fill="FFFFFF"/>
            <w:vAlign w:val="center"/>
            <w:hideMark/>
          </w:tcPr>
          <w:p w14:paraId="6887D59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2,892.59</w:t>
            </w:r>
          </w:p>
        </w:tc>
        <w:tc>
          <w:tcPr>
            <w:tcW w:w="1134" w:type="dxa"/>
            <w:shd w:val="clear" w:color="000000" w:fill="FFFFFF"/>
            <w:vAlign w:val="center"/>
            <w:hideMark/>
          </w:tcPr>
          <w:p w14:paraId="3E1A565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2,892.59</w:t>
            </w:r>
          </w:p>
        </w:tc>
        <w:tc>
          <w:tcPr>
            <w:tcW w:w="1134" w:type="dxa"/>
            <w:shd w:val="clear" w:color="000000" w:fill="FFFFFF"/>
            <w:vAlign w:val="center"/>
            <w:hideMark/>
          </w:tcPr>
          <w:p w14:paraId="136F99A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2,892.59</w:t>
            </w:r>
          </w:p>
        </w:tc>
      </w:tr>
      <w:tr w:rsidR="004865EF" w:rsidRPr="004865EF" w14:paraId="10BCCC90" w14:textId="77777777" w:rsidTr="00602898">
        <w:trPr>
          <w:trHeight w:val="397"/>
        </w:trPr>
        <w:tc>
          <w:tcPr>
            <w:tcW w:w="856" w:type="dxa"/>
            <w:shd w:val="clear" w:color="000000" w:fill="FFFFFF"/>
            <w:vAlign w:val="center"/>
            <w:hideMark/>
          </w:tcPr>
          <w:p w14:paraId="4304720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w:t>
            </w:r>
          </w:p>
        </w:tc>
        <w:tc>
          <w:tcPr>
            <w:tcW w:w="1837" w:type="dxa"/>
            <w:shd w:val="clear" w:color="000000" w:fill="FFFFFF"/>
            <w:vAlign w:val="center"/>
            <w:hideMark/>
          </w:tcPr>
          <w:p w14:paraId="1C967811"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净利润</w:t>
            </w:r>
          </w:p>
        </w:tc>
        <w:tc>
          <w:tcPr>
            <w:tcW w:w="1134" w:type="dxa"/>
            <w:shd w:val="clear" w:color="000000" w:fill="FFFFFF"/>
            <w:vAlign w:val="center"/>
            <w:hideMark/>
          </w:tcPr>
          <w:p w14:paraId="5388E6A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4,269.28</w:t>
            </w:r>
          </w:p>
        </w:tc>
        <w:tc>
          <w:tcPr>
            <w:tcW w:w="1134" w:type="dxa"/>
            <w:shd w:val="clear" w:color="000000" w:fill="FFFFFF"/>
            <w:vAlign w:val="center"/>
            <w:hideMark/>
          </w:tcPr>
          <w:p w14:paraId="4604D97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13,291.83</w:t>
            </w:r>
          </w:p>
        </w:tc>
        <w:tc>
          <w:tcPr>
            <w:tcW w:w="1134" w:type="dxa"/>
            <w:shd w:val="clear" w:color="000000" w:fill="FFFFFF"/>
            <w:vAlign w:val="center"/>
            <w:hideMark/>
          </w:tcPr>
          <w:p w14:paraId="4317E42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16,391.37</w:t>
            </w:r>
          </w:p>
        </w:tc>
        <w:tc>
          <w:tcPr>
            <w:tcW w:w="1134" w:type="dxa"/>
            <w:shd w:val="clear" w:color="000000" w:fill="FFFFFF"/>
            <w:vAlign w:val="center"/>
            <w:hideMark/>
          </w:tcPr>
          <w:p w14:paraId="0697926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16,391.37</w:t>
            </w:r>
          </w:p>
        </w:tc>
        <w:tc>
          <w:tcPr>
            <w:tcW w:w="1134" w:type="dxa"/>
            <w:shd w:val="clear" w:color="000000" w:fill="FFFFFF"/>
            <w:vAlign w:val="center"/>
            <w:hideMark/>
          </w:tcPr>
          <w:p w14:paraId="7FD8D0D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16,391.37</w:t>
            </w:r>
          </w:p>
        </w:tc>
        <w:tc>
          <w:tcPr>
            <w:tcW w:w="1134" w:type="dxa"/>
            <w:shd w:val="clear" w:color="000000" w:fill="FFFFFF"/>
            <w:vAlign w:val="center"/>
            <w:hideMark/>
          </w:tcPr>
          <w:p w14:paraId="3BD083E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16,391.37</w:t>
            </w:r>
          </w:p>
        </w:tc>
        <w:tc>
          <w:tcPr>
            <w:tcW w:w="1134" w:type="dxa"/>
            <w:shd w:val="clear" w:color="000000" w:fill="FFFFFF"/>
            <w:vAlign w:val="center"/>
            <w:hideMark/>
          </w:tcPr>
          <w:p w14:paraId="4960E67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16,391.37</w:t>
            </w:r>
          </w:p>
        </w:tc>
        <w:tc>
          <w:tcPr>
            <w:tcW w:w="1134" w:type="dxa"/>
            <w:shd w:val="clear" w:color="000000" w:fill="FFFFFF"/>
            <w:vAlign w:val="center"/>
            <w:hideMark/>
          </w:tcPr>
          <w:p w14:paraId="25757FB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16,391.37</w:t>
            </w:r>
          </w:p>
        </w:tc>
        <w:tc>
          <w:tcPr>
            <w:tcW w:w="1134" w:type="dxa"/>
            <w:shd w:val="clear" w:color="000000" w:fill="FFFFFF"/>
            <w:vAlign w:val="center"/>
            <w:hideMark/>
          </w:tcPr>
          <w:p w14:paraId="27B1D40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16,391.37</w:t>
            </w:r>
          </w:p>
        </w:tc>
        <w:tc>
          <w:tcPr>
            <w:tcW w:w="1134" w:type="dxa"/>
            <w:shd w:val="clear" w:color="000000" w:fill="FFFFFF"/>
            <w:vAlign w:val="center"/>
            <w:hideMark/>
          </w:tcPr>
          <w:p w14:paraId="6C1F884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16,391.37</w:t>
            </w:r>
          </w:p>
        </w:tc>
      </w:tr>
      <w:tr w:rsidR="004865EF" w:rsidRPr="004865EF" w14:paraId="25C7BCA6" w14:textId="77777777" w:rsidTr="00602898">
        <w:trPr>
          <w:trHeight w:val="397"/>
        </w:trPr>
        <w:tc>
          <w:tcPr>
            <w:tcW w:w="856" w:type="dxa"/>
            <w:shd w:val="clear" w:color="000000" w:fill="FFFFFF"/>
            <w:vAlign w:val="center"/>
            <w:hideMark/>
          </w:tcPr>
          <w:p w14:paraId="36007B04"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w:t>
            </w:r>
          </w:p>
        </w:tc>
        <w:tc>
          <w:tcPr>
            <w:tcW w:w="1837" w:type="dxa"/>
            <w:shd w:val="clear" w:color="000000" w:fill="FFFFFF"/>
            <w:vAlign w:val="center"/>
            <w:hideMark/>
          </w:tcPr>
          <w:p w14:paraId="4B7C25F7"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现金净流入</w:t>
            </w:r>
          </w:p>
        </w:tc>
        <w:tc>
          <w:tcPr>
            <w:tcW w:w="1134" w:type="dxa"/>
            <w:shd w:val="clear" w:color="000000" w:fill="FFFFFF"/>
            <w:vAlign w:val="center"/>
            <w:hideMark/>
          </w:tcPr>
          <w:p w14:paraId="74C9429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-38,783.36</w:t>
            </w:r>
          </w:p>
        </w:tc>
        <w:tc>
          <w:tcPr>
            <w:tcW w:w="1134" w:type="dxa"/>
            <w:shd w:val="clear" w:color="000000" w:fill="FFFFFF"/>
            <w:vAlign w:val="center"/>
            <w:hideMark/>
          </w:tcPr>
          <w:p w14:paraId="680C1D6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23,179.99</w:t>
            </w:r>
          </w:p>
        </w:tc>
        <w:tc>
          <w:tcPr>
            <w:tcW w:w="1134" w:type="dxa"/>
            <w:shd w:val="clear" w:color="000000" w:fill="FFFFFF"/>
            <w:vAlign w:val="center"/>
            <w:hideMark/>
          </w:tcPr>
          <w:p w14:paraId="33D0D90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26,279.52</w:t>
            </w:r>
          </w:p>
        </w:tc>
        <w:tc>
          <w:tcPr>
            <w:tcW w:w="1134" w:type="dxa"/>
            <w:shd w:val="clear" w:color="000000" w:fill="FFFFFF"/>
            <w:vAlign w:val="center"/>
            <w:hideMark/>
          </w:tcPr>
          <w:p w14:paraId="6E21B40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26,279.52</w:t>
            </w:r>
          </w:p>
        </w:tc>
        <w:tc>
          <w:tcPr>
            <w:tcW w:w="1134" w:type="dxa"/>
            <w:shd w:val="clear" w:color="000000" w:fill="FFFFFF"/>
            <w:vAlign w:val="center"/>
            <w:hideMark/>
          </w:tcPr>
          <w:p w14:paraId="1E0396D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26,279.52</w:t>
            </w:r>
          </w:p>
        </w:tc>
        <w:tc>
          <w:tcPr>
            <w:tcW w:w="1134" w:type="dxa"/>
            <w:shd w:val="clear" w:color="000000" w:fill="FFFFFF"/>
            <w:vAlign w:val="center"/>
            <w:hideMark/>
          </w:tcPr>
          <w:p w14:paraId="0ABF193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26,279.52</w:t>
            </w:r>
          </w:p>
        </w:tc>
        <w:tc>
          <w:tcPr>
            <w:tcW w:w="1134" w:type="dxa"/>
            <w:shd w:val="clear" w:color="000000" w:fill="FFFFFF"/>
            <w:vAlign w:val="center"/>
            <w:hideMark/>
          </w:tcPr>
          <w:p w14:paraId="60371BA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26,279.52</w:t>
            </w:r>
          </w:p>
        </w:tc>
        <w:tc>
          <w:tcPr>
            <w:tcW w:w="1134" w:type="dxa"/>
            <w:shd w:val="clear" w:color="000000" w:fill="FFFFFF"/>
            <w:vAlign w:val="center"/>
            <w:hideMark/>
          </w:tcPr>
          <w:p w14:paraId="3D2D039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26,279.52</w:t>
            </w:r>
          </w:p>
        </w:tc>
        <w:tc>
          <w:tcPr>
            <w:tcW w:w="1134" w:type="dxa"/>
            <w:shd w:val="clear" w:color="000000" w:fill="FFFFFF"/>
            <w:vAlign w:val="center"/>
            <w:hideMark/>
          </w:tcPr>
          <w:p w14:paraId="02EF0EC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26,279.52</w:t>
            </w:r>
          </w:p>
        </w:tc>
        <w:tc>
          <w:tcPr>
            <w:tcW w:w="1134" w:type="dxa"/>
            <w:shd w:val="clear" w:color="000000" w:fill="FFFFFF"/>
            <w:vAlign w:val="center"/>
            <w:hideMark/>
          </w:tcPr>
          <w:p w14:paraId="28176D4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26,279.52</w:t>
            </w:r>
          </w:p>
        </w:tc>
      </w:tr>
    </w:tbl>
    <w:p w14:paraId="03B8C930" w14:textId="77777777" w:rsidR="00151F32" w:rsidRPr="004865EF" w:rsidRDefault="00151F32"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项目测算第</w:t>
      </w:r>
      <w:r w:rsidRPr="004865EF">
        <w:rPr>
          <w:rFonts w:ascii="Times New Roman" w:eastAsia="宋体" w:hAnsi="Times New Roman" w:cs="Times New Roman"/>
          <w:bCs/>
          <w:sz w:val="24"/>
        </w:rPr>
        <w:t>1</w:t>
      </w:r>
      <w:r w:rsidRPr="004865EF">
        <w:rPr>
          <w:rFonts w:ascii="Times New Roman" w:eastAsia="宋体" w:hAnsi="Times New Roman" w:cs="Times New Roman" w:hint="eastAsia"/>
          <w:bCs/>
          <w:sz w:val="24"/>
        </w:rPr>
        <w:t>年产能利用率为</w:t>
      </w:r>
      <w:r w:rsidRPr="004865EF">
        <w:rPr>
          <w:rFonts w:ascii="Times New Roman" w:eastAsia="宋体" w:hAnsi="Times New Roman" w:cs="Times New Roman"/>
          <w:bCs/>
          <w:sz w:val="24"/>
        </w:rPr>
        <w:t>37.50%</w:t>
      </w:r>
      <w:r w:rsidRPr="004865EF">
        <w:rPr>
          <w:rFonts w:ascii="Times New Roman" w:eastAsia="宋体" w:hAnsi="Times New Roman" w:cs="Times New Roman" w:hint="eastAsia"/>
          <w:bCs/>
          <w:sz w:val="24"/>
        </w:rPr>
        <w:t>，第</w:t>
      </w:r>
      <w:r w:rsidRPr="004865EF">
        <w:rPr>
          <w:rFonts w:ascii="Times New Roman" w:eastAsia="宋体" w:hAnsi="Times New Roman" w:cs="Times New Roman"/>
          <w:bCs/>
          <w:sz w:val="24"/>
        </w:rPr>
        <w:t>2</w:t>
      </w:r>
      <w:r w:rsidRPr="004865EF">
        <w:rPr>
          <w:rFonts w:ascii="Times New Roman" w:eastAsia="宋体" w:hAnsi="Times New Roman" w:cs="Times New Roman" w:hint="eastAsia"/>
          <w:bCs/>
          <w:sz w:val="24"/>
        </w:rPr>
        <w:t>年产能利用率为</w:t>
      </w:r>
      <w:r w:rsidRPr="004865EF">
        <w:rPr>
          <w:rFonts w:ascii="Times New Roman" w:eastAsia="宋体" w:hAnsi="Times New Roman" w:cs="Times New Roman"/>
          <w:bCs/>
          <w:sz w:val="24"/>
        </w:rPr>
        <w:t>87.50%</w:t>
      </w:r>
      <w:r w:rsidRPr="004865EF">
        <w:rPr>
          <w:rFonts w:ascii="Times New Roman" w:eastAsia="宋体" w:hAnsi="Times New Roman" w:cs="Times New Roman" w:hint="eastAsia"/>
          <w:bCs/>
          <w:sz w:val="24"/>
        </w:rPr>
        <w:t>，从第</w:t>
      </w:r>
      <w:r w:rsidRPr="004865EF">
        <w:rPr>
          <w:rFonts w:ascii="Times New Roman" w:eastAsia="宋体" w:hAnsi="Times New Roman" w:cs="Times New Roman"/>
          <w:bCs/>
          <w:sz w:val="24"/>
        </w:rPr>
        <w:t>3</w:t>
      </w:r>
      <w:r w:rsidRPr="004865EF">
        <w:rPr>
          <w:rFonts w:ascii="Times New Roman" w:eastAsia="宋体" w:hAnsi="Times New Roman" w:cs="Times New Roman" w:hint="eastAsia"/>
          <w:bCs/>
          <w:sz w:val="24"/>
        </w:rPr>
        <w:t>年至第</w:t>
      </w:r>
      <w:r w:rsidRPr="004865EF">
        <w:rPr>
          <w:rFonts w:ascii="Times New Roman" w:eastAsia="宋体" w:hAnsi="Times New Roman" w:cs="Times New Roman"/>
          <w:bCs/>
          <w:sz w:val="24"/>
        </w:rPr>
        <w:t>10</w:t>
      </w:r>
      <w:r w:rsidRPr="004865EF">
        <w:rPr>
          <w:rFonts w:ascii="Times New Roman" w:eastAsia="宋体" w:hAnsi="Times New Roman" w:cs="Times New Roman" w:hint="eastAsia"/>
          <w:bCs/>
          <w:sz w:val="24"/>
        </w:rPr>
        <w:t>年为稳定运营期，产能利用率为</w:t>
      </w:r>
      <w:r w:rsidRPr="004865EF">
        <w:rPr>
          <w:rFonts w:ascii="Times New Roman" w:eastAsia="宋体" w:hAnsi="Times New Roman" w:cs="Times New Roman"/>
          <w:bCs/>
          <w:sz w:val="24"/>
        </w:rPr>
        <w:t>100.00%</w:t>
      </w:r>
      <w:r w:rsidRPr="004865EF">
        <w:rPr>
          <w:rFonts w:ascii="Times New Roman" w:eastAsia="宋体" w:hAnsi="Times New Roman" w:cs="Times New Roman" w:hint="eastAsia"/>
          <w:bCs/>
          <w:sz w:val="24"/>
        </w:rPr>
        <w:t>，单机柜年度收入预测参考公司目前同功率机柜租金水平确定，运营期内保持稳定。</w:t>
      </w:r>
    </w:p>
    <w:p w14:paraId="20C65AF0" w14:textId="5860FE6D"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（二）</w:t>
      </w:r>
      <w:r w:rsidR="00602898" w:rsidRPr="004865EF">
        <w:rPr>
          <w:rFonts w:ascii="Times New Roman" w:eastAsia="宋体" w:hAnsi="Times New Roman" w:cs="Times New Roman" w:hint="eastAsia"/>
          <w:sz w:val="24"/>
        </w:rPr>
        <w:t>上海嘉定绿色</w:t>
      </w:r>
      <w:proofErr w:type="gramStart"/>
      <w:r w:rsidR="00602898" w:rsidRPr="004865EF">
        <w:rPr>
          <w:rFonts w:ascii="Times New Roman" w:eastAsia="宋体" w:hAnsi="Times New Roman" w:cs="Times New Roman" w:hint="eastAsia"/>
          <w:sz w:val="24"/>
        </w:rPr>
        <w:t>云计算</w:t>
      </w:r>
      <w:proofErr w:type="gramEnd"/>
      <w:r w:rsidR="00602898" w:rsidRPr="004865EF">
        <w:rPr>
          <w:rFonts w:ascii="Times New Roman" w:eastAsia="宋体" w:hAnsi="Times New Roman" w:cs="Times New Roman" w:hint="eastAsia"/>
          <w:sz w:val="24"/>
        </w:rPr>
        <w:t>基地二期</w:t>
      </w:r>
    </w:p>
    <w:p w14:paraId="749B5D09" w14:textId="004B67DA"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1</w:t>
      </w:r>
      <w:r w:rsidRPr="004865EF">
        <w:rPr>
          <w:rFonts w:ascii="Times New Roman" w:eastAsia="宋体" w:hAnsi="Times New Roman" w:cs="Times New Roman" w:hint="eastAsia"/>
          <w:sz w:val="24"/>
        </w:rPr>
        <w:t>、</w:t>
      </w:r>
      <w:r w:rsidR="00602898" w:rsidRPr="004865EF">
        <w:rPr>
          <w:rFonts w:ascii="Times New Roman" w:eastAsia="宋体" w:hAnsi="Times New Roman" w:cs="Times New Roman" w:hint="eastAsia"/>
          <w:sz w:val="24"/>
        </w:rPr>
        <w:t>预计效益情况</w:t>
      </w:r>
    </w:p>
    <w:p w14:paraId="074D16C9"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嘉定二期项目全部建成投产后，预计产生</w:t>
      </w:r>
      <w:r w:rsidRPr="004865EF">
        <w:rPr>
          <w:rFonts w:ascii="Times New Roman" w:eastAsia="宋体" w:hAnsi="Times New Roman" w:cs="Times New Roman" w:hint="eastAsia"/>
          <w:sz w:val="24"/>
        </w:rPr>
        <w:t>IDC</w:t>
      </w:r>
      <w:r w:rsidRPr="004865EF">
        <w:rPr>
          <w:rFonts w:ascii="Times New Roman" w:eastAsia="宋体" w:hAnsi="Times New Roman" w:cs="Times New Roman" w:hint="eastAsia"/>
          <w:sz w:val="24"/>
        </w:rPr>
        <w:t>及其增值服务年度收入</w:t>
      </w:r>
      <w:r w:rsidRPr="004865EF">
        <w:rPr>
          <w:rFonts w:ascii="Times New Roman" w:eastAsia="宋体" w:hAnsi="Times New Roman" w:cs="Times New Roman"/>
          <w:sz w:val="24"/>
        </w:rPr>
        <w:t>48,000.00</w:t>
      </w:r>
      <w:r w:rsidRPr="004865EF">
        <w:rPr>
          <w:rFonts w:ascii="Times New Roman" w:eastAsia="宋体" w:hAnsi="Times New Roman" w:cs="Times New Roman" w:hint="eastAsia"/>
          <w:sz w:val="24"/>
        </w:rPr>
        <w:t>万元，年度净利润</w:t>
      </w:r>
      <w:r w:rsidRPr="004865EF">
        <w:rPr>
          <w:rFonts w:ascii="Times New Roman" w:eastAsia="宋体" w:hAnsi="Times New Roman" w:cs="Times New Roman"/>
          <w:sz w:val="24"/>
        </w:rPr>
        <w:t>16,359.16</w:t>
      </w:r>
      <w:r w:rsidRPr="004865EF">
        <w:rPr>
          <w:rFonts w:ascii="Times New Roman" w:eastAsia="宋体" w:hAnsi="Times New Roman" w:cs="Times New Roman" w:hint="eastAsia"/>
          <w:sz w:val="24"/>
        </w:rPr>
        <w:t>万元，根据财务模型及公司历史管理经验，按照项目</w:t>
      </w:r>
      <w:r w:rsidRPr="004865EF">
        <w:rPr>
          <w:rFonts w:ascii="Times New Roman" w:eastAsia="宋体" w:hAnsi="Times New Roman" w:cs="Times New Roman" w:hint="eastAsia"/>
          <w:sz w:val="24"/>
        </w:rPr>
        <w:t>10</w:t>
      </w:r>
      <w:r w:rsidRPr="004865EF">
        <w:rPr>
          <w:rFonts w:ascii="Times New Roman" w:eastAsia="宋体" w:hAnsi="Times New Roman" w:cs="Times New Roman" w:hint="eastAsia"/>
          <w:sz w:val="24"/>
        </w:rPr>
        <w:t>年运营服务期测算，嘉定二期项目内部收益率</w:t>
      </w:r>
      <w:r w:rsidRPr="004865EF">
        <w:rPr>
          <w:rFonts w:ascii="Times New Roman" w:eastAsia="宋体" w:hAnsi="Times New Roman" w:cs="Times New Roman" w:hint="eastAsia"/>
          <w:sz w:val="24"/>
        </w:rPr>
        <w:t>12.01%</w:t>
      </w:r>
      <w:r w:rsidRPr="004865EF">
        <w:rPr>
          <w:rFonts w:ascii="Times New Roman" w:eastAsia="宋体" w:hAnsi="Times New Roman" w:cs="Times New Roman" w:hint="eastAsia"/>
          <w:sz w:val="24"/>
        </w:rPr>
        <w:t>（税后），投资回收期为</w:t>
      </w:r>
      <w:r w:rsidRPr="004865EF">
        <w:rPr>
          <w:rFonts w:ascii="Times New Roman" w:eastAsia="宋体" w:hAnsi="Times New Roman" w:cs="Times New Roman" w:hint="eastAsia"/>
          <w:sz w:val="24"/>
        </w:rPr>
        <w:t>8.05</w:t>
      </w:r>
      <w:r w:rsidRPr="004865EF">
        <w:rPr>
          <w:rFonts w:ascii="Times New Roman" w:eastAsia="宋体" w:hAnsi="Times New Roman" w:cs="Times New Roman" w:hint="eastAsia"/>
          <w:sz w:val="24"/>
        </w:rPr>
        <w:t>年（税后）。</w:t>
      </w:r>
    </w:p>
    <w:p w14:paraId="336FE1E1" w14:textId="15638EBF"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2</w:t>
      </w:r>
      <w:r w:rsidRPr="004865EF">
        <w:rPr>
          <w:rFonts w:ascii="Times New Roman" w:eastAsia="宋体" w:hAnsi="Times New Roman" w:cs="Times New Roman" w:hint="eastAsia"/>
          <w:sz w:val="24"/>
        </w:rPr>
        <w:t>、</w:t>
      </w:r>
      <w:r w:rsidR="00602898" w:rsidRPr="004865EF">
        <w:rPr>
          <w:rFonts w:ascii="Times New Roman" w:eastAsia="宋体" w:hAnsi="Times New Roman" w:cs="Times New Roman" w:hint="eastAsia"/>
          <w:sz w:val="24"/>
        </w:rPr>
        <w:t>预计效益测算过程</w:t>
      </w:r>
    </w:p>
    <w:p w14:paraId="66394BCE" w14:textId="77777777" w:rsidR="00602898" w:rsidRPr="004865EF" w:rsidRDefault="00602898"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嘉定二期项目按照</w:t>
      </w:r>
      <w:r w:rsidRPr="004865EF">
        <w:rPr>
          <w:rFonts w:ascii="Times New Roman" w:eastAsia="宋体" w:hAnsi="Times New Roman" w:cs="Times New Roman"/>
          <w:bCs/>
          <w:sz w:val="24"/>
        </w:rPr>
        <w:t>10</w:t>
      </w:r>
      <w:r w:rsidRPr="004865EF">
        <w:rPr>
          <w:rFonts w:ascii="Times New Roman" w:eastAsia="宋体" w:hAnsi="Times New Roman" w:cs="Times New Roman" w:hint="eastAsia"/>
          <w:bCs/>
          <w:sz w:val="24"/>
        </w:rPr>
        <w:t>年运营服务期预计的效益测算过程如下：</w:t>
      </w:r>
    </w:p>
    <w:p w14:paraId="78BE94B4" w14:textId="554D08DD" w:rsidR="006C4603" w:rsidRPr="004865EF" w:rsidRDefault="006C4603" w:rsidP="00E87AF9">
      <w:pPr>
        <w:spacing w:beforeLines="50" w:before="156"/>
        <w:ind w:firstLineChars="200" w:firstLine="440"/>
        <w:jc w:val="right"/>
        <w:rPr>
          <w:rFonts w:ascii="Times New Roman" w:eastAsia="宋体" w:hAnsi="Times New Roman" w:cs="Times New Roman"/>
          <w:bCs/>
          <w:sz w:val="22"/>
        </w:rPr>
      </w:pPr>
      <w:r w:rsidRPr="004865EF">
        <w:rPr>
          <w:rFonts w:ascii="Times New Roman" w:eastAsia="宋体" w:hAnsi="Times New Roman" w:cs="Times New Roman" w:hint="eastAsia"/>
          <w:sz w:val="22"/>
        </w:rPr>
        <w:t>单位：万元</w:t>
      </w:r>
    </w:p>
    <w:tbl>
      <w:tblPr>
        <w:tblW w:w="140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43"/>
        <w:gridCol w:w="1134"/>
        <w:gridCol w:w="1134"/>
        <w:gridCol w:w="1134"/>
        <w:gridCol w:w="1134"/>
        <w:gridCol w:w="1134"/>
        <w:gridCol w:w="1134"/>
        <w:gridCol w:w="1134"/>
        <w:gridCol w:w="1134"/>
        <w:gridCol w:w="1134"/>
        <w:gridCol w:w="1134"/>
      </w:tblGrid>
      <w:tr w:rsidR="004865EF" w:rsidRPr="004865EF" w14:paraId="113AA6DF" w14:textId="77777777" w:rsidTr="00602898">
        <w:trPr>
          <w:trHeight w:val="397"/>
          <w:tblHeader/>
        </w:trPr>
        <w:tc>
          <w:tcPr>
            <w:tcW w:w="856" w:type="dxa"/>
            <w:shd w:val="clear" w:color="000000" w:fill="FFFFFF"/>
            <w:vAlign w:val="center"/>
            <w:hideMark/>
          </w:tcPr>
          <w:p w14:paraId="3F1DFA39"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hint="eastAsia"/>
                <w:b/>
                <w:bCs/>
                <w:kern w:val="0"/>
                <w:sz w:val="18"/>
                <w:szCs w:val="18"/>
              </w:rPr>
              <w:t>序号</w:t>
            </w:r>
          </w:p>
        </w:tc>
        <w:tc>
          <w:tcPr>
            <w:tcW w:w="1843" w:type="dxa"/>
            <w:shd w:val="clear" w:color="000000" w:fill="FFFFFF"/>
            <w:vAlign w:val="center"/>
            <w:hideMark/>
          </w:tcPr>
          <w:p w14:paraId="7C15351E"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hint="eastAsia"/>
                <w:b/>
                <w:bCs/>
                <w:kern w:val="0"/>
                <w:sz w:val="18"/>
                <w:szCs w:val="18"/>
              </w:rPr>
              <w:t>项目</w:t>
            </w:r>
          </w:p>
        </w:tc>
        <w:tc>
          <w:tcPr>
            <w:tcW w:w="1134" w:type="dxa"/>
            <w:shd w:val="clear" w:color="000000" w:fill="FFFFFF"/>
            <w:vAlign w:val="center"/>
            <w:hideMark/>
          </w:tcPr>
          <w:p w14:paraId="54A3CCFD"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T+1</w:t>
            </w:r>
          </w:p>
        </w:tc>
        <w:tc>
          <w:tcPr>
            <w:tcW w:w="1134" w:type="dxa"/>
            <w:shd w:val="clear" w:color="000000" w:fill="FFFFFF"/>
            <w:vAlign w:val="center"/>
            <w:hideMark/>
          </w:tcPr>
          <w:p w14:paraId="2AFBE0F3"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T+2</w:t>
            </w:r>
          </w:p>
        </w:tc>
        <w:tc>
          <w:tcPr>
            <w:tcW w:w="1134" w:type="dxa"/>
            <w:shd w:val="clear" w:color="000000" w:fill="FFFFFF"/>
            <w:vAlign w:val="center"/>
            <w:hideMark/>
          </w:tcPr>
          <w:p w14:paraId="1BF1985B"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T+3</w:t>
            </w:r>
          </w:p>
        </w:tc>
        <w:tc>
          <w:tcPr>
            <w:tcW w:w="1134" w:type="dxa"/>
            <w:shd w:val="clear" w:color="000000" w:fill="FFFFFF"/>
            <w:vAlign w:val="center"/>
            <w:hideMark/>
          </w:tcPr>
          <w:p w14:paraId="1E6E98E0"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T+4</w:t>
            </w:r>
          </w:p>
        </w:tc>
        <w:tc>
          <w:tcPr>
            <w:tcW w:w="1134" w:type="dxa"/>
            <w:shd w:val="clear" w:color="000000" w:fill="FFFFFF"/>
            <w:vAlign w:val="center"/>
            <w:hideMark/>
          </w:tcPr>
          <w:p w14:paraId="13EB9D99"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T+5</w:t>
            </w:r>
          </w:p>
        </w:tc>
        <w:tc>
          <w:tcPr>
            <w:tcW w:w="1134" w:type="dxa"/>
            <w:shd w:val="clear" w:color="000000" w:fill="FFFFFF"/>
            <w:vAlign w:val="center"/>
            <w:hideMark/>
          </w:tcPr>
          <w:p w14:paraId="5109B05A"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T+6</w:t>
            </w:r>
          </w:p>
        </w:tc>
        <w:tc>
          <w:tcPr>
            <w:tcW w:w="1134" w:type="dxa"/>
            <w:shd w:val="clear" w:color="000000" w:fill="FFFFFF"/>
            <w:vAlign w:val="center"/>
            <w:hideMark/>
          </w:tcPr>
          <w:p w14:paraId="7BBF484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T+7</w:t>
            </w:r>
          </w:p>
        </w:tc>
        <w:tc>
          <w:tcPr>
            <w:tcW w:w="1134" w:type="dxa"/>
            <w:shd w:val="clear" w:color="000000" w:fill="FFFFFF"/>
            <w:vAlign w:val="center"/>
            <w:hideMark/>
          </w:tcPr>
          <w:p w14:paraId="7443E477"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T+8</w:t>
            </w:r>
          </w:p>
        </w:tc>
        <w:tc>
          <w:tcPr>
            <w:tcW w:w="1134" w:type="dxa"/>
            <w:shd w:val="clear" w:color="000000" w:fill="FFFFFF"/>
            <w:vAlign w:val="center"/>
            <w:hideMark/>
          </w:tcPr>
          <w:p w14:paraId="6BA09700"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T+9</w:t>
            </w:r>
          </w:p>
        </w:tc>
        <w:tc>
          <w:tcPr>
            <w:tcW w:w="1134" w:type="dxa"/>
            <w:shd w:val="clear" w:color="000000" w:fill="FFFFFF"/>
            <w:vAlign w:val="center"/>
            <w:hideMark/>
          </w:tcPr>
          <w:p w14:paraId="0ACDB8E4" w14:textId="77777777" w:rsidR="00602898" w:rsidRPr="004865EF" w:rsidRDefault="00602898" w:rsidP="00602898">
            <w:pPr>
              <w:widowControl/>
              <w:jc w:val="center"/>
              <w:rPr>
                <w:rFonts w:ascii="Times New Roman" w:eastAsia="宋体" w:hAnsi="Times New Roman" w:cs="Times New Roman"/>
                <w:b/>
                <w:bCs/>
                <w:kern w:val="0"/>
                <w:sz w:val="18"/>
                <w:szCs w:val="18"/>
              </w:rPr>
            </w:pPr>
            <w:r w:rsidRPr="004865EF">
              <w:rPr>
                <w:rFonts w:ascii="Times New Roman" w:eastAsia="宋体" w:hAnsi="Times New Roman" w:cs="Times New Roman"/>
                <w:b/>
                <w:bCs/>
                <w:kern w:val="0"/>
                <w:sz w:val="18"/>
                <w:szCs w:val="18"/>
              </w:rPr>
              <w:t>T+10</w:t>
            </w:r>
          </w:p>
        </w:tc>
      </w:tr>
      <w:tr w:rsidR="004865EF" w:rsidRPr="004865EF" w14:paraId="374C40A2" w14:textId="77777777" w:rsidTr="00602898">
        <w:trPr>
          <w:trHeight w:val="397"/>
        </w:trPr>
        <w:tc>
          <w:tcPr>
            <w:tcW w:w="856" w:type="dxa"/>
            <w:shd w:val="clear" w:color="000000" w:fill="FFFFFF"/>
            <w:vAlign w:val="center"/>
            <w:hideMark/>
          </w:tcPr>
          <w:p w14:paraId="12207AA7"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w:t>
            </w:r>
          </w:p>
        </w:tc>
        <w:tc>
          <w:tcPr>
            <w:tcW w:w="1843" w:type="dxa"/>
            <w:shd w:val="clear" w:color="000000" w:fill="FFFFFF"/>
            <w:vAlign w:val="center"/>
            <w:hideMark/>
          </w:tcPr>
          <w:p w14:paraId="030E10A5"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营业收入</w:t>
            </w:r>
          </w:p>
        </w:tc>
        <w:tc>
          <w:tcPr>
            <w:tcW w:w="1134" w:type="dxa"/>
            <w:shd w:val="clear" w:color="000000" w:fill="FFFFFF"/>
            <w:vAlign w:val="center"/>
            <w:hideMark/>
          </w:tcPr>
          <w:p w14:paraId="4DA1315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14,400.00</w:t>
            </w:r>
          </w:p>
        </w:tc>
        <w:tc>
          <w:tcPr>
            <w:tcW w:w="1134" w:type="dxa"/>
            <w:shd w:val="clear" w:color="000000" w:fill="FFFFFF"/>
            <w:vAlign w:val="center"/>
            <w:hideMark/>
          </w:tcPr>
          <w:p w14:paraId="3BEF385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33,600.00</w:t>
            </w:r>
          </w:p>
        </w:tc>
        <w:tc>
          <w:tcPr>
            <w:tcW w:w="1134" w:type="dxa"/>
            <w:shd w:val="clear" w:color="000000" w:fill="FFFFFF"/>
            <w:vAlign w:val="center"/>
            <w:hideMark/>
          </w:tcPr>
          <w:p w14:paraId="6352437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48,000.00</w:t>
            </w:r>
          </w:p>
        </w:tc>
        <w:tc>
          <w:tcPr>
            <w:tcW w:w="1134" w:type="dxa"/>
            <w:shd w:val="clear" w:color="000000" w:fill="FFFFFF"/>
            <w:vAlign w:val="center"/>
            <w:hideMark/>
          </w:tcPr>
          <w:p w14:paraId="65F40E5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48,000.00</w:t>
            </w:r>
          </w:p>
        </w:tc>
        <w:tc>
          <w:tcPr>
            <w:tcW w:w="1134" w:type="dxa"/>
            <w:shd w:val="clear" w:color="000000" w:fill="FFFFFF"/>
            <w:vAlign w:val="center"/>
            <w:hideMark/>
          </w:tcPr>
          <w:p w14:paraId="5ED70A1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48,000.00</w:t>
            </w:r>
          </w:p>
        </w:tc>
        <w:tc>
          <w:tcPr>
            <w:tcW w:w="1134" w:type="dxa"/>
            <w:shd w:val="clear" w:color="000000" w:fill="FFFFFF"/>
            <w:vAlign w:val="center"/>
            <w:hideMark/>
          </w:tcPr>
          <w:p w14:paraId="7AAA7F5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48,000.00</w:t>
            </w:r>
          </w:p>
        </w:tc>
        <w:tc>
          <w:tcPr>
            <w:tcW w:w="1134" w:type="dxa"/>
            <w:shd w:val="clear" w:color="000000" w:fill="FFFFFF"/>
            <w:vAlign w:val="center"/>
            <w:hideMark/>
          </w:tcPr>
          <w:p w14:paraId="79E5651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48,000.00</w:t>
            </w:r>
          </w:p>
        </w:tc>
        <w:tc>
          <w:tcPr>
            <w:tcW w:w="1134" w:type="dxa"/>
            <w:shd w:val="clear" w:color="000000" w:fill="FFFFFF"/>
            <w:vAlign w:val="center"/>
            <w:hideMark/>
          </w:tcPr>
          <w:p w14:paraId="7064B7E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48,000.00</w:t>
            </w:r>
          </w:p>
        </w:tc>
        <w:tc>
          <w:tcPr>
            <w:tcW w:w="1134" w:type="dxa"/>
            <w:shd w:val="clear" w:color="000000" w:fill="FFFFFF"/>
            <w:vAlign w:val="center"/>
            <w:hideMark/>
          </w:tcPr>
          <w:p w14:paraId="62F076A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48,000.00</w:t>
            </w:r>
          </w:p>
        </w:tc>
        <w:tc>
          <w:tcPr>
            <w:tcW w:w="1134" w:type="dxa"/>
            <w:shd w:val="clear" w:color="000000" w:fill="FFFFFF"/>
            <w:vAlign w:val="center"/>
            <w:hideMark/>
          </w:tcPr>
          <w:p w14:paraId="3E03EA9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48,000.00</w:t>
            </w:r>
          </w:p>
        </w:tc>
      </w:tr>
      <w:tr w:rsidR="004865EF" w:rsidRPr="004865EF" w14:paraId="07A19BD7" w14:textId="77777777" w:rsidTr="00602898">
        <w:trPr>
          <w:trHeight w:val="397"/>
        </w:trPr>
        <w:tc>
          <w:tcPr>
            <w:tcW w:w="856" w:type="dxa"/>
            <w:shd w:val="clear" w:color="000000" w:fill="FFFFFF"/>
            <w:vAlign w:val="center"/>
            <w:hideMark/>
          </w:tcPr>
          <w:p w14:paraId="03585827"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w:t>
            </w:r>
          </w:p>
        </w:tc>
        <w:tc>
          <w:tcPr>
            <w:tcW w:w="1843" w:type="dxa"/>
            <w:shd w:val="clear" w:color="000000" w:fill="FFFFFF"/>
            <w:vAlign w:val="center"/>
            <w:hideMark/>
          </w:tcPr>
          <w:p w14:paraId="6F3A86B7"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营业成本</w:t>
            </w:r>
          </w:p>
        </w:tc>
        <w:tc>
          <w:tcPr>
            <w:tcW w:w="1134" w:type="dxa"/>
            <w:shd w:val="clear" w:color="000000" w:fill="FFFFFF"/>
            <w:vAlign w:val="center"/>
            <w:hideMark/>
          </w:tcPr>
          <w:p w14:paraId="334EFD5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8,947.41</w:t>
            </w:r>
          </w:p>
        </w:tc>
        <w:tc>
          <w:tcPr>
            <w:tcW w:w="1134" w:type="dxa"/>
            <w:shd w:val="clear" w:color="000000" w:fill="FFFFFF"/>
            <w:vAlign w:val="center"/>
            <w:hideMark/>
          </w:tcPr>
          <w:p w14:paraId="7858B00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22,949.76</w:t>
            </w:r>
          </w:p>
        </w:tc>
        <w:tc>
          <w:tcPr>
            <w:tcW w:w="1134" w:type="dxa"/>
            <w:shd w:val="clear" w:color="000000" w:fill="FFFFFF"/>
            <w:vAlign w:val="center"/>
            <w:hideMark/>
          </w:tcPr>
          <w:p w14:paraId="7D656E0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28,753.93</w:t>
            </w:r>
          </w:p>
        </w:tc>
        <w:tc>
          <w:tcPr>
            <w:tcW w:w="1134" w:type="dxa"/>
            <w:shd w:val="clear" w:color="000000" w:fill="FFFFFF"/>
            <w:vAlign w:val="center"/>
            <w:hideMark/>
          </w:tcPr>
          <w:p w14:paraId="373A136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28,753.93</w:t>
            </w:r>
          </w:p>
        </w:tc>
        <w:tc>
          <w:tcPr>
            <w:tcW w:w="1134" w:type="dxa"/>
            <w:shd w:val="clear" w:color="000000" w:fill="FFFFFF"/>
            <w:vAlign w:val="center"/>
            <w:hideMark/>
          </w:tcPr>
          <w:p w14:paraId="4A08083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28,753.93</w:t>
            </w:r>
          </w:p>
        </w:tc>
        <w:tc>
          <w:tcPr>
            <w:tcW w:w="1134" w:type="dxa"/>
            <w:shd w:val="clear" w:color="000000" w:fill="FFFFFF"/>
            <w:vAlign w:val="center"/>
            <w:hideMark/>
          </w:tcPr>
          <w:p w14:paraId="312F70E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28,753.93</w:t>
            </w:r>
          </w:p>
        </w:tc>
        <w:tc>
          <w:tcPr>
            <w:tcW w:w="1134" w:type="dxa"/>
            <w:shd w:val="clear" w:color="000000" w:fill="FFFFFF"/>
            <w:vAlign w:val="center"/>
            <w:hideMark/>
          </w:tcPr>
          <w:p w14:paraId="040C439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28,753.93</w:t>
            </w:r>
          </w:p>
        </w:tc>
        <w:tc>
          <w:tcPr>
            <w:tcW w:w="1134" w:type="dxa"/>
            <w:shd w:val="clear" w:color="000000" w:fill="FFFFFF"/>
            <w:vAlign w:val="center"/>
            <w:hideMark/>
          </w:tcPr>
          <w:p w14:paraId="6589A54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28,753.93</w:t>
            </w:r>
          </w:p>
        </w:tc>
        <w:tc>
          <w:tcPr>
            <w:tcW w:w="1134" w:type="dxa"/>
            <w:shd w:val="clear" w:color="000000" w:fill="FFFFFF"/>
            <w:vAlign w:val="center"/>
            <w:hideMark/>
          </w:tcPr>
          <w:p w14:paraId="6C95D80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28,753.93</w:t>
            </w:r>
          </w:p>
        </w:tc>
        <w:tc>
          <w:tcPr>
            <w:tcW w:w="1134" w:type="dxa"/>
            <w:shd w:val="clear" w:color="000000" w:fill="FFFFFF"/>
            <w:vAlign w:val="center"/>
            <w:hideMark/>
          </w:tcPr>
          <w:p w14:paraId="4B8D527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28,753.93</w:t>
            </w:r>
          </w:p>
        </w:tc>
      </w:tr>
      <w:tr w:rsidR="004865EF" w:rsidRPr="004865EF" w14:paraId="05CFC1DC" w14:textId="77777777" w:rsidTr="00602898">
        <w:trPr>
          <w:trHeight w:val="397"/>
        </w:trPr>
        <w:tc>
          <w:tcPr>
            <w:tcW w:w="856" w:type="dxa"/>
            <w:shd w:val="clear" w:color="000000" w:fill="FFFFFF"/>
            <w:vAlign w:val="center"/>
            <w:hideMark/>
          </w:tcPr>
          <w:p w14:paraId="5DE43D34"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lastRenderedPageBreak/>
              <w:t>2.1</w:t>
            </w:r>
          </w:p>
        </w:tc>
        <w:tc>
          <w:tcPr>
            <w:tcW w:w="1843" w:type="dxa"/>
            <w:shd w:val="clear" w:color="000000" w:fill="FFFFFF"/>
            <w:vAlign w:val="center"/>
            <w:hideMark/>
          </w:tcPr>
          <w:p w14:paraId="180CD347"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折旧摊销成本</w:t>
            </w:r>
          </w:p>
        </w:tc>
        <w:tc>
          <w:tcPr>
            <w:tcW w:w="1134" w:type="dxa"/>
            <w:shd w:val="clear" w:color="000000" w:fill="FFFFFF"/>
            <w:vAlign w:val="center"/>
            <w:hideMark/>
          </w:tcPr>
          <w:p w14:paraId="3F12070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3,143.24</w:t>
            </w:r>
          </w:p>
        </w:tc>
        <w:tc>
          <w:tcPr>
            <w:tcW w:w="1134" w:type="dxa"/>
            <w:shd w:val="clear" w:color="000000" w:fill="FFFFFF"/>
            <w:vAlign w:val="center"/>
            <w:hideMark/>
          </w:tcPr>
          <w:p w14:paraId="31A4BF9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9,406.69</w:t>
            </w:r>
          </w:p>
        </w:tc>
        <w:tc>
          <w:tcPr>
            <w:tcW w:w="1134" w:type="dxa"/>
            <w:shd w:val="clear" w:color="000000" w:fill="FFFFFF"/>
            <w:vAlign w:val="center"/>
            <w:hideMark/>
          </w:tcPr>
          <w:p w14:paraId="1857874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9,406.69</w:t>
            </w:r>
          </w:p>
        </w:tc>
        <w:tc>
          <w:tcPr>
            <w:tcW w:w="1134" w:type="dxa"/>
            <w:shd w:val="clear" w:color="000000" w:fill="FFFFFF"/>
            <w:vAlign w:val="center"/>
            <w:hideMark/>
          </w:tcPr>
          <w:p w14:paraId="70ECC2A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9,406.69</w:t>
            </w:r>
          </w:p>
        </w:tc>
        <w:tc>
          <w:tcPr>
            <w:tcW w:w="1134" w:type="dxa"/>
            <w:shd w:val="clear" w:color="000000" w:fill="FFFFFF"/>
            <w:vAlign w:val="center"/>
            <w:hideMark/>
          </w:tcPr>
          <w:p w14:paraId="45F5163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9,406.69</w:t>
            </w:r>
          </w:p>
        </w:tc>
        <w:tc>
          <w:tcPr>
            <w:tcW w:w="1134" w:type="dxa"/>
            <w:shd w:val="clear" w:color="000000" w:fill="FFFFFF"/>
            <w:vAlign w:val="center"/>
            <w:hideMark/>
          </w:tcPr>
          <w:p w14:paraId="66619AE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9,406.69</w:t>
            </w:r>
          </w:p>
        </w:tc>
        <w:tc>
          <w:tcPr>
            <w:tcW w:w="1134" w:type="dxa"/>
            <w:shd w:val="clear" w:color="000000" w:fill="FFFFFF"/>
            <w:vAlign w:val="center"/>
            <w:hideMark/>
          </w:tcPr>
          <w:p w14:paraId="4981BF0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9,406.69</w:t>
            </w:r>
          </w:p>
        </w:tc>
        <w:tc>
          <w:tcPr>
            <w:tcW w:w="1134" w:type="dxa"/>
            <w:shd w:val="clear" w:color="000000" w:fill="FFFFFF"/>
            <w:vAlign w:val="center"/>
            <w:hideMark/>
          </w:tcPr>
          <w:p w14:paraId="118B5C1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9,406.69</w:t>
            </w:r>
          </w:p>
        </w:tc>
        <w:tc>
          <w:tcPr>
            <w:tcW w:w="1134" w:type="dxa"/>
            <w:shd w:val="clear" w:color="000000" w:fill="FFFFFF"/>
            <w:vAlign w:val="center"/>
            <w:hideMark/>
          </w:tcPr>
          <w:p w14:paraId="2A57EC2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9,406.69</w:t>
            </w:r>
          </w:p>
        </w:tc>
        <w:tc>
          <w:tcPr>
            <w:tcW w:w="1134" w:type="dxa"/>
            <w:shd w:val="clear" w:color="000000" w:fill="FFFFFF"/>
            <w:vAlign w:val="center"/>
            <w:hideMark/>
          </w:tcPr>
          <w:p w14:paraId="0A0BE7F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9,406.69</w:t>
            </w:r>
          </w:p>
        </w:tc>
      </w:tr>
      <w:tr w:rsidR="004865EF" w:rsidRPr="004865EF" w14:paraId="6FA695F0" w14:textId="77777777" w:rsidTr="00602898">
        <w:trPr>
          <w:trHeight w:val="397"/>
        </w:trPr>
        <w:tc>
          <w:tcPr>
            <w:tcW w:w="856" w:type="dxa"/>
            <w:shd w:val="clear" w:color="000000" w:fill="FFFFFF"/>
            <w:vAlign w:val="center"/>
            <w:hideMark/>
          </w:tcPr>
          <w:p w14:paraId="0E4CCC72"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w:t>
            </w:r>
          </w:p>
        </w:tc>
        <w:tc>
          <w:tcPr>
            <w:tcW w:w="1843" w:type="dxa"/>
            <w:shd w:val="clear" w:color="000000" w:fill="FFFFFF"/>
            <w:vAlign w:val="center"/>
            <w:hideMark/>
          </w:tcPr>
          <w:p w14:paraId="334BFBBE"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水电及带宽成本</w:t>
            </w:r>
          </w:p>
        </w:tc>
        <w:tc>
          <w:tcPr>
            <w:tcW w:w="1134" w:type="dxa"/>
            <w:shd w:val="clear" w:color="000000" w:fill="FFFFFF"/>
            <w:vAlign w:val="center"/>
            <w:hideMark/>
          </w:tcPr>
          <w:p w14:paraId="0505890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4,765.97</w:t>
            </w:r>
          </w:p>
        </w:tc>
        <w:tc>
          <w:tcPr>
            <w:tcW w:w="1134" w:type="dxa"/>
            <w:shd w:val="clear" w:color="000000" w:fill="FFFFFF"/>
            <w:vAlign w:val="center"/>
            <w:hideMark/>
          </w:tcPr>
          <w:p w14:paraId="4067C08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11,120.60</w:t>
            </w:r>
          </w:p>
        </w:tc>
        <w:tc>
          <w:tcPr>
            <w:tcW w:w="1134" w:type="dxa"/>
            <w:shd w:val="clear" w:color="000000" w:fill="FFFFFF"/>
            <w:vAlign w:val="center"/>
            <w:hideMark/>
          </w:tcPr>
          <w:p w14:paraId="675261E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15,886.57</w:t>
            </w:r>
          </w:p>
        </w:tc>
        <w:tc>
          <w:tcPr>
            <w:tcW w:w="1134" w:type="dxa"/>
            <w:shd w:val="clear" w:color="000000" w:fill="FFFFFF"/>
            <w:vAlign w:val="center"/>
            <w:hideMark/>
          </w:tcPr>
          <w:p w14:paraId="5E82806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15,886.57</w:t>
            </w:r>
          </w:p>
        </w:tc>
        <w:tc>
          <w:tcPr>
            <w:tcW w:w="1134" w:type="dxa"/>
            <w:shd w:val="clear" w:color="000000" w:fill="FFFFFF"/>
            <w:vAlign w:val="center"/>
            <w:hideMark/>
          </w:tcPr>
          <w:p w14:paraId="4F84028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15,886.57</w:t>
            </w:r>
          </w:p>
        </w:tc>
        <w:tc>
          <w:tcPr>
            <w:tcW w:w="1134" w:type="dxa"/>
            <w:shd w:val="clear" w:color="000000" w:fill="FFFFFF"/>
            <w:vAlign w:val="center"/>
            <w:hideMark/>
          </w:tcPr>
          <w:p w14:paraId="166291A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15,886.57</w:t>
            </w:r>
          </w:p>
        </w:tc>
        <w:tc>
          <w:tcPr>
            <w:tcW w:w="1134" w:type="dxa"/>
            <w:shd w:val="clear" w:color="000000" w:fill="FFFFFF"/>
            <w:vAlign w:val="center"/>
            <w:hideMark/>
          </w:tcPr>
          <w:p w14:paraId="5E7955A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15,886.57</w:t>
            </w:r>
          </w:p>
        </w:tc>
        <w:tc>
          <w:tcPr>
            <w:tcW w:w="1134" w:type="dxa"/>
            <w:shd w:val="clear" w:color="000000" w:fill="FFFFFF"/>
            <w:vAlign w:val="center"/>
            <w:hideMark/>
          </w:tcPr>
          <w:p w14:paraId="6FD7E02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15,886.57</w:t>
            </w:r>
          </w:p>
        </w:tc>
        <w:tc>
          <w:tcPr>
            <w:tcW w:w="1134" w:type="dxa"/>
            <w:shd w:val="clear" w:color="000000" w:fill="FFFFFF"/>
            <w:vAlign w:val="center"/>
            <w:hideMark/>
          </w:tcPr>
          <w:p w14:paraId="47BF150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15,886.57</w:t>
            </w:r>
          </w:p>
        </w:tc>
        <w:tc>
          <w:tcPr>
            <w:tcW w:w="1134" w:type="dxa"/>
            <w:shd w:val="clear" w:color="000000" w:fill="FFFFFF"/>
            <w:vAlign w:val="center"/>
            <w:hideMark/>
          </w:tcPr>
          <w:p w14:paraId="0895A34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15,886.57</w:t>
            </w:r>
          </w:p>
        </w:tc>
      </w:tr>
      <w:tr w:rsidR="004865EF" w:rsidRPr="004865EF" w14:paraId="222F1960" w14:textId="77777777" w:rsidTr="00602898">
        <w:trPr>
          <w:trHeight w:val="397"/>
        </w:trPr>
        <w:tc>
          <w:tcPr>
            <w:tcW w:w="856" w:type="dxa"/>
            <w:shd w:val="clear" w:color="000000" w:fill="FFFFFF"/>
            <w:vAlign w:val="center"/>
            <w:hideMark/>
          </w:tcPr>
          <w:p w14:paraId="64D317A3"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2.3</w:t>
            </w:r>
          </w:p>
        </w:tc>
        <w:tc>
          <w:tcPr>
            <w:tcW w:w="1843" w:type="dxa"/>
            <w:shd w:val="clear" w:color="000000" w:fill="FFFFFF"/>
            <w:vAlign w:val="center"/>
            <w:hideMark/>
          </w:tcPr>
          <w:p w14:paraId="113EC75F"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运</w:t>
            </w:r>
            <w:proofErr w:type="gramStart"/>
            <w:r w:rsidRPr="004865EF">
              <w:rPr>
                <w:rFonts w:ascii="Times New Roman" w:eastAsia="宋体" w:hAnsi="Times New Roman" w:cs="Times New Roman" w:hint="eastAsia"/>
                <w:bCs/>
                <w:kern w:val="0"/>
                <w:sz w:val="18"/>
                <w:szCs w:val="18"/>
              </w:rPr>
              <w:t>维成本</w:t>
            </w:r>
            <w:proofErr w:type="gramEnd"/>
          </w:p>
        </w:tc>
        <w:tc>
          <w:tcPr>
            <w:tcW w:w="1134" w:type="dxa"/>
            <w:shd w:val="clear" w:color="000000" w:fill="FFFFFF"/>
            <w:vAlign w:val="center"/>
            <w:hideMark/>
          </w:tcPr>
          <w:p w14:paraId="3073445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282.20</w:t>
            </w:r>
          </w:p>
        </w:tc>
        <w:tc>
          <w:tcPr>
            <w:tcW w:w="1134" w:type="dxa"/>
            <w:shd w:val="clear" w:color="000000" w:fill="FFFFFF"/>
            <w:vAlign w:val="center"/>
            <w:hideMark/>
          </w:tcPr>
          <w:p w14:paraId="51121D6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658.47</w:t>
            </w:r>
          </w:p>
        </w:tc>
        <w:tc>
          <w:tcPr>
            <w:tcW w:w="1134" w:type="dxa"/>
            <w:shd w:val="clear" w:color="000000" w:fill="FFFFFF"/>
            <w:vAlign w:val="center"/>
            <w:hideMark/>
          </w:tcPr>
          <w:p w14:paraId="3EFF5AD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940.67</w:t>
            </w:r>
          </w:p>
        </w:tc>
        <w:tc>
          <w:tcPr>
            <w:tcW w:w="1134" w:type="dxa"/>
            <w:shd w:val="clear" w:color="000000" w:fill="FFFFFF"/>
            <w:vAlign w:val="center"/>
            <w:hideMark/>
          </w:tcPr>
          <w:p w14:paraId="654D33E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940.67</w:t>
            </w:r>
          </w:p>
        </w:tc>
        <w:tc>
          <w:tcPr>
            <w:tcW w:w="1134" w:type="dxa"/>
            <w:shd w:val="clear" w:color="000000" w:fill="FFFFFF"/>
            <w:vAlign w:val="center"/>
            <w:hideMark/>
          </w:tcPr>
          <w:p w14:paraId="5DCC6B5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940.67</w:t>
            </w:r>
          </w:p>
        </w:tc>
        <w:tc>
          <w:tcPr>
            <w:tcW w:w="1134" w:type="dxa"/>
            <w:shd w:val="clear" w:color="000000" w:fill="FFFFFF"/>
            <w:vAlign w:val="center"/>
            <w:hideMark/>
          </w:tcPr>
          <w:p w14:paraId="0640088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940.67</w:t>
            </w:r>
          </w:p>
        </w:tc>
        <w:tc>
          <w:tcPr>
            <w:tcW w:w="1134" w:type="dxa"/>
            <w:shd w:val="clear" w:color="000000" w:fill="FFFFFF"/>
            <w:vAlign w:val="center"/>
            <w:hideMark/>
          </w:tcPr>
          <w:p w14:paraId="61942E4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940.67</w:t>
            </w:r>
          </w:p>
        </w:tc>
        <w:tc>
          <w:tcPr>
            <w:tcW w:w="1134" w:type="dxa"/>
            <w:shd w:val="clear" w:color="000000" w:fill="FFFFFF"/>
            <w:vAlign w:val="center"/>
            <w:hideMark/>
          </w:tcPr>
          <w:p w14:paraId="0CBF868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940.67</w:t>
            </w:r>
          </w:p>
        </w:tc>
        <w:tc>
          <w:tcPr>
            <w:tcW w:w="1134" w:type="dxa"/>
            <w:shd w:val="clear" w:color="000000" w:fill="FFFFFF"/>
            <w:vAlign w:val="center"/>
            <w:hideMark/>
          </w:tcPr>
          <w:p w14:paraId="2A998A4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940.67</w:t>
            </w:r>
          </w:p>
        </w:tc>
        <w:tc>
          <w:tcPr>
            <w:tcW w:w="1134" w:type="dxa"/>
            <w:shd w:val="clear" w:color="000000" w:fill="FFFFFF"/>
            <w:vAlign w:val="center"/>
            <w:hideMark/>
          </w:tcPr>
          <w:p w14:paraId="5F5A31A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940.67</w:t>
            </w:r>
          </w:p>
        </w:tc>
      </w:tr>
      <w:tr w:rsidR="004865EF" w:rsidRPr="004865EF" w14:paraId="152ED6EA" w14:textId="77777777" w:rsidTr="00602898">
        <w:trPr>
          <w:trHeight w:val="397"/>
        </w:trPr>
        <w:tc>
          <w:tcPr>
            <w:tcW w:w="856" w:type="dxa"/>
            <w:shd w:val="clear" w:color="000000" w:fill="FFFFFF"/>
            <w:vAlign w:val="center"/>
            <w:hideMark/>
          </w:tcPr>
          <w:p w14:paraId="03ED4594"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w:t>
            </w:r>
          </w:p>
        </w:tc>
        <w:tc>
          <w:tcPr>
            <w:tcW w:w="1843" w:type="dxa"/>
            <w:shd w:val="clear" w:color="000000" w:fill="FFFFFF"/>
            <w:vAlign w:val="center"/>
            <w:hideMark/>
          </w:tcPr>
          <w:p w14:paraId="4093001A"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人工成本</w:t>
            </w:r>
          </w:p>
        </w:tc>
        <w:tc>
          <w:tcPr>
            <w:tcW w:w="1134" w:type="dxa"/>
            <w:shd w:val="clear" w:color="000000" w:fill="FFFFFF"/>
            <w:vAlign w:val="center"/>
            <w:hideMark/>
          </w:tcPr>
          <w:p w14:paraId="6277CE4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180.00</w:t>
            </w:r>
          </w:p>
        </w:tc>
        <w:tc>
          <w:tcPr>
            <w:tcW w:w="1134" w:type="dxa"/>
            <w:shd w:val="clear" w:color="000000" w:fill="FFFFFF"/>
            <w:vAlign w:val="center"/>
            <w:hideMark/>
          </w:tcPr>
          <w:p w14:paraId="29310B5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420.00</w:t>
            </w:r>
          </w:p>
        </w:tc>
        <w:tc>
          <w:tcPr>
            <w:tcW w:w="1134" w:type="dxa"/>
            <w:shd w:val="clear" w:color="000000" w:fill="FFFFFF"/>
            <w:vAlign w:val="center"/>
            <w:hideMark/>
          </w:tcPr>
          <w:p w14:paraId="598C5C5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w:t>
            </w:r>
          </w:p>
        </w:tc>
        <w:tc>
          <w:tcPr>
            <w:tcW w:w="1134" w:type="dxa"/>
            <w:shd w:val="clear" w:color="000000" w:fill="FFFFFF"/>
            <w:vAlign w:val="center"/>
            <w:hideMark/>
          </w:tcPr>
          <w:p w14:paraId="78BEA89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w:t>
            </w:r>
          </w:p>
        </w:tc>
        <w:tc>
          <w:tcPr>
            <w:tcW w:w="1134" w:type="dxa"/>
            <w:shd w:val="clear" w:color="000000" w:fill="FFFFFF"/>
            <w:vAlign w:val="center"/>
            <w:hideMark/>
          </w:tcPr>
          <w:p w14:paraId="45561A1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w:t>
            </w:r>
          </w:p>
        </w:tc>
        <w:tc>
          <w:tcPr>
            <w:tcW w:w="1134" w:type="dxa"/>
            <w:shd w:val="clear" w:color="000000" w:fill="FFFFFF"/>
            <w:vAlign w:val="center"/>
            <w:hideMark/>
          </w:tcPr>
          <w:p w14:paraId="1333ECF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w:t>
            </w:r>
          </w:p>
        </w:tc>
        <w:tc>
          <w:tcPr>
            <w:tcW w:w="1134" w:type="dxa"/>
            <w:shd w:val="clear" w:color="000000" w:fill="FFFFFF"/>
            <w:vAlign w:val="center"/>
            <w:hideMark/>
          </w:tcPr>
          <w:p w14:paraId="4A16052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w:t>
            </w:r>
          </w:p>
        </w:tc>
        <w:tc>
          <w:tcPr>
            <w:tcW w:w="1134" w:type="dxa"/>
            <w:shd w:val="clear" w:color="000000" w:fill="FFFFFF"/>
            <w:vAlign w:val="center"/>
            <w:hideMark/>
          </w:tcPr>
          <w:p w14:paraId="49CFE7E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w:t>
            </w:r>
          </w:p>
        </w:tc>
        <w:tc>
          <w:tcPr>
            <w:tcW w:w="1134" w:type="dxa"/>
            <w:shd w:val="clear" w:color="000000" w:fill="FFFFFF"/>
            <w:vAlign w:val="center"/>
            <w:hideMark/>
          </w:tcPr>
          <w:p w14:paraId="4800811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w:t>
            </w:r>
          </w:p>
        </w:tc>
        <w:tc>
          <w:tcPr>
            <w:tcW w:w="1134" w:type="dxa"/>
            <w:shd w:val="clear" w:color="000000" w:fill="FFFFFF"/>
            <w:vAlign w:val="center"/>
            <w:hideMark/>
          </w:tcPr>
          <w:p w14:paraId="5665A9C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w:t>
            </w:r>
          </w:p>
        </w:tc>
      </w:tr>
      <w:tr w:rsidR="004865EF" w:rsidRPr="004865EF" w14:paraId="54DECC35" w14:textId="77777777" w:rsidTr="00602898">
        <w:trPr>
          <w:trHeight w:val="397"/>
        </w:trPr>
        <w:tc>
          <w:tcPr>
            <w:tcW w:w="856" w:type="dxa"/>
            <w:shd w:val="clear" w:color="000000" w:fill="FFFFFF"/>
            <w:vAlign w:val="center"/>
            <w:hideMark/>
          </w:tcPr>
          <w:p w14:paraId="40F79B83"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w:t>
            </w:r>
          </w:p>
        </w:tc>
        <w:tc>
          <w:tcPr>
            <w:tcW w:w="1843" w:type="dxa"/>
            <w:shd w:val="clear" w:color="000000" w:fill="FFFFFF"/>
            <w:vAlign w:val="center"/>
            <w:hideMark/>
          </w:tcPr>
          <w:p w14:paraId="7615B585"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管理费用</w:t>
            </w:r>
          </w:p>
        </w:tc>
        <w:tc>
          <w:tcPr>
            <w:tcW w:w="1134" w:type="dxa"/>
            <w:shd w:val="clear" w:color="000000" w:fill="FFFFFF"/>
            <w:vAlign w:val="center"/>
            <w:hideMark/>
          </w:tcPr>
          <w:p w14:paraId="39E1B3B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288.00</w:t>
            </w:r>
          </w:p>
        </w:tc>
        <w:tc>
          <w:tcPr>
            <w:tcW w:w="1134" w:type="dxa"/>
            <w:shd w:val="clear" w:color="000000" w:fill="FFFFFF"/>
            <w:vAlign w:val="center"/>
            <w:hideMark/>
          </w:tcPr>
          <w:p w14:paraId="22B84BD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672.00</w:t>
            </w:r>
          </w:p>
        </w:tc>
        <w:tc>
          <w:tcPr>
            <w:tcW w:w="1134" w:type="dxa"/>
            <w:shd w:val="clear" w:color="000000" w:fill="FFFFFF"/>
            <w:vAlign w:val="center"/>
            <w:hideMark/>
          </w:tcPr>
          <w:p w14:paraId="1341970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564C867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50CE8A2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1E96994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128287C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34A0322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00B150A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2D70A10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r>
      <w:tr w:rsidR="004865EF" w:rsidRPr="004865EF" w14:paraId="7CC47D02" w14:textId="77777777" w:rsidTr="00602898">
        <w:trPr>
          <w:trHeight w:val="397"/>
        </w:trPr>
        <w:tc>
          <w:tcPr>
            <w:tcW w:w="856" w:type="dxa"/>
            <w:shd w:val="clear" w:color="000000" w:fill="FFFFFF"/>
            <w:vAlign w:val="center"/>
            <w:hideMark/>
          </w:tcPr>
          <w:p w14:paraId="024CEEDA"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w:t>
            </w:r>
          </w:p>
        </w:tc>
        <w:tc>
          <w:tcPr>
            <w:tcW w:w="1843" w:type="dxa"/>
            <w:shd w:val="clear" w:color="000000" w:fill="FFFFFF"/>
            <w:vAlign w:val="center"/>
            <w:hideMark/>
          </w:tcPr>
          <w:p w14:paraId="5C73D80B"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销售费用</w:t>
            </w:r>
          </w:p>
        </w:tc>
        <w:tc>
          <w:tcPr>
            <w:tcW w:w="1134" w:type="dxa"/>
            <w:shd w:val="clear" w:color="000000" w:fill="FFFFFF"/>
            <w:vAlign w:val="center"/>
            <w:hideMark/>
          </w:tcPr>
          <w:p w14:paraId="6333F65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288.00</w:t>
            </w:r>
          </w:p>
        </w:tc>
        <w:tc>
          <w:tcPr>
            <w:tcW w:w="1134" w:type="dxa"/>
            <w:shd w:val="clear" w:color="000000" w:fill="FFFFFF"/>
            <w:vAlign w:val="center"/>
            <w:hideMark/>
          </w:tcPr>
          <w:p w14:paraId="5B7E380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672.00</w:t>
            </w:r>
          </w:p>
        </w:tc>
        <w:tc>
          <w:tcPr>
            <w:tcW w:w="1134" w:type="dxa"/>
            <w:shd w:val="clear" w:color="000000" w:fill="FFFFFF"/>
            <w:vAlign w:val="center"/>
            <w:hideMark/>
          </w:tcPr>
          <w:p w14:paraId="1437546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29ACFB2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6C2C194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72D29A4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1475556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745A58D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490FE73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0225BCB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r>
      <w:tr w:rsidR="004865EF" w:rsidRPr="004865EF" w14:paraId="1FD1AD18" w14:textId="77777777" w:rsidTr="00602898">
        <w:trPr>
          <w:trHeight w:val="397"/>
        </w:trPr>
        <w:tc>
          <w:tcPr>
            <w:tcW w:w="856" w:type="dxa"/>
            <w:shd w:val="clear" w:color="000000" w:fill="FFFFFF"/>
            <w:vAlign w:val="center"/>
            <w:hideMark/>
          </w:tcPr>
          <w:p w14:paraId="18FCA41A"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w:t>
            </w:r>
          </w:p>
        </w:tc>
        <w:tc>
          <w:tcPr>
            <w:tcW w:w="1843" w:type="dxa"/>
            <w:shd w:val="clear" w:color="000000" w:fill="FFFFFF"/>
            <w:vAlign w:val="center"/>
            <w:hideMark/>
          </w:tcPr>
          <w:p w14:paraId="2F3032EB"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利润总额</w:t>
            </w:r>
          </w:p>
        </w:tc>
        <w:tc>
          <w:tcPr>
            <w:tcW w:w="1134" w:type="dxa"/>
            <w:shd w:val="clear" w:color="000000" w:fill="FFFFFF"/>
            <w:vAlign w:val="center"/>
            <w:hideMark/>
          </w:tcPr>
          <w:p w14:paraId="671E210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5,452.59</w:t>
            </w:r>
          </w:p>
        </w:tc>
        <w:tc>
          <w:tcPr>
            <w:tcW w:w="1134" w:type="dxa"/>
            <w:shd w:val="clear" w:color="000000" w:fill="FFFFFF"/>
            <w:vAlign w:val="center"/>
            <w:hideMark/>
          </w:tcPr>
          <w:p w14:paraId="09E7256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10,650.24</w:t>
            </w:r>
          </w:p>
        </w:tc>
        <w:tc>
          <w:tcPr>
            <w:tcW w:w="1134" w:type="dxa"/>
            <w:shd w:val="clear" w:color="000000" w:fill="FFFFFF"/>
            <w:vAlign w:val="center"/>
            <w:hideMark/>
          </w:tcPr>
          <w:p w14:paraId="03938C6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19,246.07</w:t>
            </w:r>
          </w:p>
        </w:tc>
        <w:tc>
          <w:tcPr>
            <w:tcW w:w="1134" w:type="dxa"/>
            <w:shd w:val="clear" w:color="000000" w:fill="FFFFFF"/>
            <w:vAlign w:val="center"/>
            <w:hideMark/>
          </w:tcPr>
          <w:p w14:paraId="4E7F3CE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19,246.07</w:t>
            </w:r>
          </w:p>
        </w:tc>
        <w:tc>
          <w:tcPr>
            <w:tcW w:w="1134" w:type="dxa"/>
            <w:shd w:val="clear" w:color="000000" w:fill="FFFFFF"/>
            <w:vAlign w:val="center"/>
            <w:hideMark/>
          </w:tcPr>
          <w:p w14:paraId="024FC40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19,246.07</w:t>
            </w:r>
          </w:p>
        </w:tc>
        <w:tc>
          <w:tcPr>
            <w:tcW w:w="1134" w:type="dxa"/>
            <w:shd w:val="clear" w:color="000000" w:fill="FFFFFF"/>
            <w:vAlign w:val="center"/>
            <w:hideMark/>
          </w:tcPr>
          <w:p w14:paraId="491F37A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19,246.07</w:t>
            </w:r>
          </w:p>
        </w:tc>
        <w:tc>
          <w:tcPr>
            <w:tcW w:w="1134" w:type="dxa"/>
            <w:shd w:val="clear" w:color="000000" w:fill="FFFFFF"/>
            <w:vAlign w:val="center"/>
            <w:hideMark/>
          </w:tcPr>
          <w:p w14:paraId="4DA6BA9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19,246.07</w:t>
            </w:r>
          </w:p>
        </w:tc>
        <w:tc>
          <w:tcPr>
            <w:tcW w:w="1134" w:type="dxa"/>
            <w:shd w:val="clear" w:color="000000" w:fill="FFFFFF"/>
            <w:vAlign w:val="center"/>
            <w:hideMark/>
          </w:tcPr>
          <w:p w14:paraId="10520BA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19,246.07</w:t>
            </w:r>
          </w:p>
        </w:tc>
        <w:tc>
          <w:tcPr>
            <w:tcW w:w="1134" w:type="dxa"/>
            <w:shd w:val="clear" w:color="000000" w:fill="FFFFFF"/>
            <w:vAlign w:val="center"/>
            <w:hideMark/>
          </w:tcPr>
          <w:p w14:paraId="3696C23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19,246.07</w:t>
            </w:r>
          </w:p>
        </w:tc>
        <w:tc>
          <w:tcPr>
            <w:tcW w:w="1134" w:type="dxa"/>
            <w:shd w:val="clear" w:color="000000" w:fill="FFFFFF"/>
            <w:vAlign w:val="center"/>
            <w:hideMark/>
          </w:tcPr>
          <w:p w14:paraId="50A6888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19,246.07</w:t>
            </w:r>
          </w:p>
        </w:tc>
      </w:tr>
      <w:tr w:rsidR="004865EF" w:rsidRPr="004865EF" w14:paraId="506F9D48" w14:textId="77777777" w:rsidTr="00602898">
        <w:trPr>
          <w:trHeight w:val="397"/>
        </w:trPr>
        <w:tc>
          <w:tcPr>
            <w:tcW w:w="856" w:type="dxa"/>
            <w:shd w:val="clear" w:color="000000" w:fill="FFFFFF"/>
            <w:vAlign w:val="center"/>
            <w:hideMark/>
          </w:tcPr>
          <w:p w14:paraId="49EA2EB6"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w:t>
            </w:r>
          </w:p>
        </w:tc>
        <w:tc>
          <w:tcPr>
            <w:tcW w:w="1843" w:type="dxa"/>
            <w:shd w:val="clear" w:color="000000" w:fill="FFFFFF"/>
            <w:vAlign w:val="center"/>
            <w:hideMark/>
          </w:tcPr>
          <w:p w14:paraId="380ED06A"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所得税</w:t>
            </w:r>
          </w:p>
        </w:tc>
        <w:tc>
          <w:tcPr>
            <w:tcW w:w="1134" w:type="dxa"/>
            <w:shd w:val="clear" w:color="000000" w:fill="FFFFFF"/>
            <w:vAlign w:val="center"/>
            <w:hideMark/>
          </w:tcPr>
          <w:p w14:paraId="2B5E333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1,363.15</w:t>
            </w:r>
          </w:p>
        </w:tc>
        <w:tc>
          <w:tcPr>
            <w:tcW w:w="1134" w:type="dxa"/>
            <w:shd w:val="clear" w:color="000000" w:fill="FFFFFF"/>
            <w:vAlign w:val="center"/>
            <w:hideMark/>
          </w:tcPr>
          <w:p w14:paraId="57E0CF5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1,597.54</w:t>
            </w:r>
          </w:p>
        </w:tc>
        <w:tc>
          <w:tcPr>
            <w:tcW w:w="1134" w:type="dxa"/>
            <w:shd w:val="clear" w:color="000000" w:fill="FFFFFF"/>
            <w:vAlign w:val="center"/>
            <w:hideMark/>
          </w:tcPr>
          <w:p w14:paraId="667EA26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2,886.91</w:t>
            </w:r>
          </w:p>
        </w:tc>
        <w:tc>
          <w:tcPr>
            <w:tcW w:w="1134" w:type="dxa"/>
            <w:shd w:val="clear" w:color="000000" w:fill="FFFFFF"/>
            <w:vAlign w:val="center"/>
            <w:hideMark/>
          </w:tcPr>
          <w:p w14:paraId="23284D6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2,886.91</w:t>
            </w:r>
          </w:p>
        </w:tc>
        <w:tc>
          <w:tcPr>
            <w:tcW w:w="1134" w:type="dxa"/>
            <w:shd w:val="clear" w:color="000000" w:fill="FFFFFF"/>
            <w:vAlign w:val="center"/>
            <w:hideMark/>
          </w:tcPr>
          <w:p w14:paraId="5C2E9DB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2,886.91</w:t>
            </w:r>
          </w:p>
        </w:tc>
        <w:tc>
          <w:tcPr>
            <w:tcW w:w="1134" w:type="dxa"/>
            <w:shd w:val="clear" w:color="000000" w:fill="FFFFFF"/>
            <w:vAlign w:val="center"/>
            <w:hideMark/>
          </w:tcPr>
          <w:p w14:paraId="036671B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2,886.91</w:t>
            </w:r>
          </w:p>
        </w:tc>
        <w:tc>
          <w:tcPr>
            <w:tcW w:w="1134" w:type="dxa"/>
            <w:shd w:val="clear" w:color="000000" w:fill="FFFFFF"/>
            <w:vAlign w:val="center"/>
            <w:hideMark/>
          </w:tcPr>
          <w:p w14:paraId="0C26593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2,886.91</w:t>
            </w:r>
          </w:p>
        </w:tc>
        <w:tc>
          <w:tcPr>
            <w:tcW w:w="1134" w:type="dxa"/>
            <w:shd w:val="clear" w:color="000000" w:fill="FFFFFF"/>
            <w:vAlign w:val="center"/>
            <w:hideMark/>
          </w:tcPr>
          <w:p w14:paraId="36389E7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2,886.91</w:t>
            </w:r>
          </w:p>
        </w:tc>
        <w:tc>
          <w:tcPr>
            <w:tcW w:w="1134" w:type="dxa"/>
            <w:shd w:val="clear" w:color="000000" w:fill="FFFFFF"/>
            <w:vAlign w:val="center"/>
            <w:hideMark/>
          </w:tcPr>
          <w:p w14:paraId="35242A2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2,886.91</w:t>
            </w:r>
          </w:p>
        </w:tc>
        <w:tc>
          <w:tcPr>
            <w:tcW w:w="1134" w:type="dxa"/>
            <w:shd w:val="clear" w:color="000000" w:fill="FFFFFF"/>
            <w:vAlign w:val="center"/>
            <w:hideMark/>
          </w:tcPr>
          <w:p w14:paraId="4770E0D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2,886.91</w:t>
            </w:r>
          </w:p>
        </w:tc>
      </w:tr>
      <w:tr w:rsidR="004865EF" w:rsidRPr="004865EF" w14:paraId="310D2926" w14:textId="77777777" w:rsidTr="00602898">
        <w:trPr>
          <w:trHeight w:val="397"/>
        </w:trPr>
        <w:tc>
          <w:tcPr>
            <w:tcW w:w="856" w:type="dxa"/>
            <w:shd w:val="clear" w:color="000000" w:fill="FFFFFF"/>
            <w:vAlign w:val="center"/>
            <w:hideMark/>
          </w:tcPr>
          <w:p w14:paraId="64F1BDED"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w:t>
            </w:r>
          </w:p>
        </w:tc>
        <w:tc>
          <w:tcPr>
            <w:tcW w:w="1843" w:type="dxa"/>
            <w:shd w:val="clear" w:color="000000" w:fill="FFFFFF"/>
            <w:vAlign w:val="center"/>
            <w:hideMark/>
          </w:tcPr>
          <w:p w14:paraId="29102715"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净利润</w:t>
            </w:r>
          </w:p>
        </w:tc>
        <w:tc>
          <w:tcPr>
            <w:tcW w:w="1134" w:type="dxa"/>
            <w:shd w:val="clear" w:color="000000" w:fill="FFFFFF"/>
            <w:vAlign w:val="center"/>
            <w:hideMark/>
          </w:tcPr>
          <w:p w14:paraId="6BB81F6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4,089.44</w:t>
            </w:r>
          </w:p>
        </w:tc>
        <w:tc>
          <w:tcPr>
            <w:tcW w:w="1134" w:type="dxa"/>
            <w:shd w:val="clear" w:color="000000" w:fill="FFFFFF"/>
            <w:vAlign w:val="center"/>
            <w:hideMark/>
          </w:tcPr>
          <w:p w14:paraId="1198A26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9,052.70</w:t>
            </w:r>
          </w:p>
        </w:tc>
        <w:tc>
          <w:tcPr>
            <w:tcW w:w="1134" w:type="dxa"/>
            <w:shd w:val="clear" w:color="000000" w:fill="FFFFFF"/>
            <w:vAlign w:val="center"/>
            <w:hideMark/>
          </w:tcPr>
          <w:p w14:paraId="279B454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16,359.16</w:t>
            </w:r>
          </w:p>
        </w:tc>
        <w:tc>
          <w:tcPr>
            <w:tcW w:w="1134" w:type="dxa"/>
            <w:shd w:val="clear" w:color="000000" w:fill="FFFFFF"/>
            <w:vAlign w:val="center"/>
            <w:hideMark/>
          </w:tcPr>
          <w:p w14:paraId="0ABD71F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16,359.16</w:t>
            </w:r>
          </w:p>
        </w:tc>
        <w:tc>
          <w:tcPr>
            <w:tcW w:w="1134" w:type="dxa"/>
            <w:shd w:val="clear" w:color="000000" w:fill="FFFFFF"/>
            <w:vAlign w:val="center"/>
            <w:hideMark/>
          </w:tcPr>
          <w:p w14:paraId="20C8C00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16,359.16</w:t>
            </w:r>
          </w:p>
        </w:tc>
        <w:tc>
          <w:tcPr>
            <w:tcW w:w="1134" w:type="dxa"/>
            <w:shd w:val="clear" w:color="000000" w:fill="FFFFFF"/>
            <w:vAlign w:val="center"/>
            <w:hideMark/>
          </w:tcPr>
          <w:p w14:paraId="507CB7F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16,359.16</w:t>
            </w:r>
          </w:p>
        </w:tc>
        <w:tc>
          <w:tcPr>
            <w:tcW w:w="1134" w:type="dxa"/>
            <w:shd w:val="clear" w:color="000000" w:fill="FFFFFF"/>
            <w:vAlign w:val="center"/>
            <w:hideMark/>
          </w:tcPr>
          <w:p w14:paraId="5BA9971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16,359.16</w:t>
            </w:r>
          </w:p>
        </w:tc>
        <w:tc>
          <w:tcPr>
            <w:tcW w:w="1134" w:type="dxa"/>
            <w:shd w:val="clear" w:color="000000" w:fill="FFFFFF"/>
            <w:vAlign w:val="center"/>
            <w:hideMark/>
          </w:tcPr>
          <w:p w14:paraId="1416B8A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16,359.16</w:t>
            </w:r>
          </w:p>
        </w:tc>
        <w:tc>
          <w:tcPr>
            <w:tcW w:w="1134" w:type="dxa"/>
            <w:shd w:val="clear" w:color="000000" w:fill="FFFFFF"/>
            <w:vAlign w:val="center"/>
            <w:hideMark/>
          </w:tcPr>
          <w:p w14:paraId="46B5DFD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16,359.16</w:t>
            </w:r>
          </w:p>
        </w:tc>
        <w:tc>
          <w:tcPr>
            <w:tcW w:w="1134" w:type="dxa"/>
            <w:shd w:val="clear" w:color="000000" w:fill="FFFFFF"/>
            <w:vAlign w:val="center"/>
            <w:hideMark/>
          </w:tcPr>
          <w:p w14:paraId="4A581AE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16,359.16</w:t>
            </w:r>
          </w:p>
        </w:tc>
      </w:tr>
      <w:tr w:rsidR="004865EF" w:rsidRPr="004865EF" w14:paraId="2319B6B2" w14:textId="77777777" w:rsidTr="00602898">
        <w:trPr>
          <w:trHeight w:val="397"/>
        </w:trPr>
        <w:tc>
          <w:tcPr>
            <w:tcW w:w="856" w:type="dxa"/>
            <w:shd w:val="clear" w:color="000000" w:fill="FFFFFF"/>
            <w:vAlign w:val="center"/>
            <w:hideMark/>
          </w:tcPr>
          <w:p w14:paraId="60F05BBD"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w:t>
            </w:r>
          </w:p>
        </w:tc>
        <w:tc>
          <w:tcPr>
            <w:tcW w:w="1843" w:type="dxa"/>
            <w:shd w:val="clear" w:color="000000" w:fill="FFFFFF"/>
            <w:vAlign w:val="center"/>
            <w:hideMark/>
          </w:tcPr>
          <w:p w14:paraId="7FFC3FB1"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现金净流入</w:t>
            </w:r>
          </w:p>
        </w:tc>
        <w:tc>
          <w:tcPr>
            <w:tcW w:w="1134" w:type="dxa"/>
            <w:shd w:val="clear" w:color="000000" w:fill="FFFFFF"/>
            <w:vAlign w:val="center"/>
            <w:hideMark/>
          </w:tcPr>
          <w:p w14:paraId="0B2467E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-72,858.62</w:t>
            </w:r>
          </w:p>
        </w:tc>
        <w:tc>
          <w:tcPr>
            <w:tcW w:w="1134" w:type="dxa"/>
            <w:shd w:val="clear" w:color="000000" w:fill="FFFFFF"/>
            <w:vAlign w:val="center"/>
            <w:hideMark/>
          </w:tcPr>
          <w:p w14:paraId="0EB3EE4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18,459.40</w:t>
            </w:r>
          </w:p>
        </w:tc>
        <w:tc>
          <w:tcPr>
            <w:tcW w:w="1134" w:type="dxa"/>
            <w:shd w:val="clear" w:color="000000" w:fill="FFFFFF"/>
            <w:vAlign w:val="center"/>
            <w:hideMark/>
          </w:tcPr>
          <w:p w14:paraId="27C7F07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25,765.85</w:t>
            </w:r>
          </w:p>
        </w:tc>
        <w:tc>
          <w:tcPr>
            <w:tcW w:w="1134" w:type="dxa"/>
            <w:shd w:val="clear" w:color="000000" w:fill="FFFFFF"/>
            <w:vAlign w:val="center"/>
            <w:hideMark/>
          </w:tcPr>
          <w:p w14:paraId="3C607ED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25,765.85</w:t>
            </w:r>
          </w:p>
        </w:tc>
        <w:tc>
          <w:tcPr>
            <w:tcW w:w="1134" w:type="dxa"/>
            <w:shd w:val="clear" w:color="000000" w:fill="FFFFFF"/>
            <w:vAlign w:val="center"/>
            <w:hideMark/>
          </w:tcPr>
          <w:p w14:paraId="5CEFAD4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25,765.85</w:t>
            </w:r>
          </w:p>
        </w:tc>
        <w:tc>
          <w:tcPr>
            <w:tcW w:w="1134" w:type="dxa"/>
            <w:shd w:val="clear" w:color="000000" w:fill="FFFFFF"/>
            <w:vAlign w:val="center"/>
            <w:hideMark/>
          </w:tcPr>
          <w:p w14:paraId="71D6E06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25,765.85</w:t>
            </w:r>
          </w:p>
        </w:tc>
        <w:tc>
          <w:tcPr>
            <w:tcW w:w="1134" w:type="dxa"/>
            <w:shd w:val="clear" w:color="000000" w:fill="FFFFFF"/>
            <w:vAlign w:val="center"/>
            <w:hideMark/>
          </w:tcPr>
          <w:p w14:paraId="5B6B629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25,765.85</w:t>
            </w:r>
          </w:p>
        </w:tc>
        <w:tc>
          <w:tcPr>
            <w:tcW w:w="1134" w:type="dxa"/>
            <w:shd w:val="clear" w:color="000000" w:fill="FFFFFF"/>
            <w:vAlign w:val="center"/>
            <w:hideMark/>
          </w:tcPr>
          <w:p w14:paraId="41B2749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25,765.85</w:t>
            </w:r>
          </w:p>
        </w:tc>
        <w:tc>
          <w:tcPr>
            <w:tcW w:w="1134" w:type="dxa"/>
            <w:shd w:val="clear" w:color="000000" w:fill="FFFFFF"/>
            <w:vAlign w:val="center"/>
            <w:hideMark/>
          </w:tcPr>
          <w:p w14:paraId="76301CC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25,765.85</w:t>
            </w:r>
          </w:p>
        </w:tc>
        <w:tc>
          <w:tcPr>
            <w:tcW w:w="1134" w:type="dxa"/>
            <w:shd w:val="clear" w:color="000000" w:fill="FFFFFF"/>
            <w:vAlign w:val="center"/>
            <w:hideMark/>
          </w:tcPr>
          <w:p w14:paraId="2ECDAAA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25,765.85</w:t>
            </w:r>
          </w:p>
        </w:tc>
      </w:tr>
    </w:tbl>
    <w:p w14:paraId="26FCC7EE" w14:textId="0B56899B" w:rsidR="00602898" w:rsidRPr="004865EF" w:rsidRDefault="00602898"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项目测算第</w:t>
      </w:r>
      <w:r w:rsidRPr="004865EF">
        <w:rPr>
          <w:rFonts w:ascii="Times New Roman" w:eastAsia="宋体" w:hAnsi="Times New Roman" w:cs="Times New Roman"/>
          <w:bCs/>
          <w:sz w:val="24"/>
        </w:rPr>
        <w:t>1</w:t>
      </w:r>
      <w:r w:rsidRPr="004865EF">
        <w:rPr>
          <w:rFonts w:ascii="Times New Roman" w:eastAsia="宋体" w:hAnsi="Times New Roman" w:cs="Times New Roman" w:hint="eastAsia"/>
          <w:bCs/>
          <w:sz w:val="24"/>
        </w:rPr>
        <w:t>年产能利用率为</w:t>
      </w:r>
      <w:r w:rsidRPr="004865EF">
        <w:rPr>
          <w:rFonts w:ascii="Times New Roman" w:eastAsia="宋体" w:hAnsi="Times New Roman" w:cs="Times New Roman"/>
          <w:bCs/>
          <w:sz w:val="24"/>
        </w:rPr>
        <w:t>30.00%</w:t>
      </w:r>
      <w:r w:rsidRPr="004865EF">
        <w:rPr>
          <w:rFonts w:ascii="Times New Roman" w:eastAsia="宋体" w:hAnsi="Times New Roman" w:cs="Times New Roman" w:hint="eastAsia"/>
          <w:bCs/>
          <w:sz w:val="24"/>
        </w:rPr>
        <w:t>，第</w:t>
      </w:r>
      <w:r w:rsidRPr="004865EF">
        <w:rPr>
          <w:rFonts w:ascii="Times New Roman" w:eastAsia="宋体" w:hAnsi="Times New Roman" w:cs="Times New Roman"/>
          <w:bCs/>
          <w:sz w:val="24"/>
        </w:rPr>
        <w:t>2</w:t>
      </w:r>
      <w:r w:rsidRPr="004865EF">
        <w:rPr>
          <w:rFonts w:ascii="Times New Roman" w:eastAsia="宋体" w:hAnsi="Times New Roman" w:cs="Times New Roman" w:hint="eastAsia"/>
          <w:bCs/>
          <w:sz w:val="24"/>
        </w:rPr>
        <w:t>年产能利用率为</w:t>
      </w:r>
      <w:r w:rsidRPr="004865EF">
        <w:rPr>
          <w:rFonts w:ascii="Times New Roman" w:eastAsia="宋体" w:hAnsi="Times New Roman" w:cs="Times New Roman"/>
          <w:bCs/>
          <w:sz w:val="24"/>
        </w:rPr>
        <w:t>70.00%</w:t>
      </w:r>
      <w:r w:rsidRPr="004865EF">
        <w:rPr>
          <w:rFonts w:ascii="Times New Roman" w:eastAsia="宋体" w:hAnsi="Times New Roman" w:cs="Times New Roman" w:hint="eastAsia"/>
          <w:bCs/>
          <w:sz w:val="24"/>
        </w:rPr>
        <w:t>，从第</w:t>
      </w:r>
      <w:r w:rsidRPr="004865EF">
        <w:rPr>
          <w:rFonts w:ascii="Times New Roman" w:eastAsia="宋体" w:hAnsi="Times New Roman" w:cs="Times New Roman"/>
          <w:bCs/>
          <w:sz w:val="24"/>
        </w:rPr>
        <w:t>3</w:t>
      </w:r>
      <w:r w:rsidRPr="004865EF">
        <w:rPr>
          <w:rFonts w:ascii="Times New Roman" w:eastAsia="宋体" w:hAnsi="Times New Roman" w:cs="Times New Roman" w:hint="eastAsia"/>
          <w:bCs/>
          <w:sz w:val="24"/>
        </w:rPr>
        <w:t>年至第</w:t>
      </w:r>
      <w:r w:rsidRPr="004865EF">
        <w:rPr>
          <w:rFonts w:ascii="Times New Roman" w:eastAsia="宋体" w:hAnsi="Times New Roman" w:cs="Times New Roman"/>
          <w:bCs/>
          <w:sz w:val="24"/>
        </w:rPr>
        <w:t>10</w:t>
      </w:r>
      <w:r w:rsidRPr="004865EF">
        <w:rPr>
          <w:rFonts w:ascii="Times New Roman" w:eastAsia="宋体" w:hAnsi="Times New Roman" w:cs="Times New Roman" w:hint="eastAsia"/>
          <w:bCs/>
          <w:sz w:val="24"/>
        </w:rPr>
        <w:t>年为稳定运营期，产能利用率为</w:t>
      </w:r>
      <w:r w:rsidRPr="004865EF">
        <w:rPr>
          <w:rFonts w:ascii="Times New Roman" w:eastAsia="宋体" w:hAnsi="Times New Roman" w:cs="Times New Roman"/>
          <w:bCs/>
          <w:sz w:val="24"/>
        </w:rPr>
        <w:t>100.00%</w:t>
      </w:r>
      <w:r w:rsidRPr="004865EF">
        <w:rPr>
          <w:rFonts w:ascii="Times New Roman" w:eastAsia="宋体" w:hAnsi="Times New Roman" w:cs="Times New Roman" w:hint="eastAsia"/>
          <w:bCs/>
          <w:sz w:val="24"/>
        </w:rPr>
        <w:t>，单机柜年度收入预测参考公司目前同功率机柜租金水平确定，运营期内保持稳定。</w:t>
      </w:r>
      <w:r w:rsidR="00CC3602" w:rsidRPr="004865EF">
        <w:rPr>
          <w:rFonts w:ascii="Times New Roman" w:eastAsia="宋体" w:hAnsi="Times New Roman" w:cs="Times New Roman" w:hint="eastAsia"/>
          <w:bCs/>
          <w:sz w:val="24"/>
        </w:rPr>
        <w:t>嘉定二期项目</w:t>
      </w:r>
      <w:r w:rsidR="00C444B0" w:rsidRPr="004865EF">
        <w:rPr>
          <w:rFonts w:ascii="Times New Roman" w:eastAsia="宋体" w:hAnsi="Times New Roman" w:cs="Times New Roman" w:hint="eastAsia"/>
          <w:bCs/>
          <w:sz w:val="24"/>
        </w:rPr>
        <w:t>预计于</w:t>
      </w:r>
      <w:r w:rsidR="00C444B0" w:rsidRPr="004865EF">
        <w:rPr>
          <w:rFonts w:ascii="Times New Roman" w:eastAsia="宋体" w:hAnsi="Times New Roman" w:cs="Times New Roman"/>
          <w:bCs/>
          <w:sz w:val="24"/>
        </w:rPr>
        <w:t>2021</w:t>
      </w:r>
      <w:r w:rsidR="00C444B0" w:rsidRPr="004865EF">
        <w:rPr>
          <w:rFonts w:ascii="Times New Roman" w:eastAsia="宋体" w:hAnsi="Times New Roman" w:cs="Times New Roman"/>
          <w:bCs/>
          <w:sz w:val="24"/>
        </w:rPr>
        <w:t>年（</w:t>
      </w:r>
      <w:r w:rsidR="00C444B0" w:rsidRPr="004865EF">
        <w:rPr>
          <w:rFonts w:ascii="Times New Roman" w:eastAsia="宋体" w:hAnsi="Times New Roman" w:cs="Times New Roman"/>
          <w:bCs/>
          <w:sz w:val="24"/>
        </w:rPr>
        <w:t>T+1</w:t>
      </w:r>
      <w:r w:rsidR="00C444B0" w:rsidRPr="004865EF">
        <w:rPr>
          <w:rFonts w:ascii="Times New Roman" w:eastAsia="宋体" w:hAnsi="Times New Roman" w:cs="Times New Roman"/>
          <w:bCs/>
          <w:sz w:val="24"/>
        </w:rPr>
        <w:t>年）开始投入运营，</w:t>
      </w:r>
      <w:r w:rsidR="00CC3602" w:rsidRPr="004865EF">
        <w:rPr>
          <w:rFonts w:ascii="Times New Roman" w:eastAsia="宋体" w:hAnsi="Times New Roman" w:cs="Times New Roman" w:hint="eastAsia"/>
          <w:bCs/>
          <w:sz w:val="24"/>
        </w:rPr>
        <w:t>目前已取得</w:t>
      </w:r>
      <w:r w:rsidR="00702D60" w:rsidRPr="004865EF">
        <w:rPr>
          <w:rFonts w:ascii="Times New Roman" w:eastAsia="宋体" w:hAnsi="Times New Roman" w:cs="Times New Roman"/>
          <w:bCs/>
          <w:sz w:val="24"/>
        </w:rPr>
        <w:t>3,000</w:t>
      </w:r>
      <w:r w:rsidR="00702D60" w:rsidRPr="004865EF">
        <w:rPr>
          <w:rFonts w:ascii="Times New Roman" w:eastAsia="宋体" w:hAnsi="Times New Roman" w:cs="Times New Roman"/>
          <w:bCs/>
          <w:sz w:val="24"/>
        </w:rPr>
        <w:t>个机柜的</w:t>
      </w:r>
      <w:r w:rsidR="00CC3602" w:rsidRPr="004865EF">
        <w:rPr>
          <w:rFonts w:ascii="Times New Roman" w:eastAsia="宋体" w:hAnsi="Times New Roman" w:cs="Times New Roman" w:hint="eastAsia"/>
          <w:bCs/>
          <w:sz w:val="24"/>
        </w:rPr>
        <w:t>用能指标，</w:t>
      </w:r>
      <w:r w:rsidR="001E40E8" w:rsidRPr="004865EF">
        <w:rPr>
          <w:rFonts w:ascii="Times New Roman" w:eastAsia="宋体" w:hAnsi="Times New Roman" w:cs="Times New Roman" w:hint="eastAsia"/>
          <w:bCs/>
          <w:sz w:val="24"/>
        </w:rPr>
        <w:t>根据</w:t>
      </w:r>
      <w:proofErr w:type="gramStart"/>
      <w:r w:rsidR="00702D60" w:rsidRPr="004865EF">
        <w:rPr>
          <w:rFonts w:ascii="Times New Roman" w:eastAsia="宋体" w:hAnsi="Times New Roman" w:cs="Times New Roman" w:hint="eastAsia"/>
          <w:bCs/>
          <w:sz w:val="24"/>
        </w:rPr>
        <w:t>募投项目</w:t>
      </w:r>
      <w:proofErr w:type="gramEnd"/>
      <w:r w:rsidR="00702D60" w:rsidRPr="004865EF">
        <w:rPr>
          <w:rFonts w:ascii="Times New Roman" w:eastAsia="宋体" w:hAnsi="Times New Roman" w:cs="Times New Roman" w:hint="eastAsia"/>
          <w:bCs/>
          <w:sz w:val="24"/>
        </w:rPr>
        <w:t>效益测算</w:t>
      </w:r>
      <w:r w:rsidR="001E40E8" w:rsidRPr="004865EF">
        <w:rPr>
          <w:rFonts w:ascii="Times New Roman" w:eastAsia="宋体" w:hAnsi="Times New Roman" w:cs="Times New Roman" w:hint="eastAsia"/>
          <w:bCs/>
          <w:sz w:val="24"/>
        </w:rPr>
        <w:t>，</w:t>
      </w:r>
      <w:r w:rsidR="001E40E8" w:rsidRPr="004865EF">
        <w:rPr>
          <w:rFonts w:ascii="Times New Roman" w:eastAsia="宋体" w:hAnsi="Times New Roman" w:cs="Times New Roman"/>
          <w:bCs/>
          <w:sz w:val="24"/>
        </w:rPr>
        <w:t>3,000</w:t>
      </w:r>
      <w:r w:rsidR="001E40E8" w:rsidRPr="004865EF">
        <w:rPr>
          <w:rFonts w:ascii="Times New Roman" w:eastAsia="宋体" w:hAnsi="Times New Roman" w:cs="Times New Roman" w:hint="eastAsia"/>
          <w:bCs/>
          <w:sz w:val="24"/>
        </w:rPr>
        <w:t>个机柜</w:t>
      </w:r>
      <w:r w:rsidR="00702D60" w:rsidRPr="004865EF">
        <w:rPr>
          <w:rFonts w:ascii="Times New Roman" w:eastAsia="宋体" w:hAnsi="Times New Roman" w:cs="Times New Roman" w:hint="eastAsia"/>
          <w:bCs/>
          <w:sz w:val="24"/>
        </w:rPr>
        <w:t>预计在</w:t>
      </w:r>
      <w:r w:rsidR="00C444B0" w:rsidRPr="004865EF">
        <w:rPr>
          <w:rFonts w:ascii="Times New Roman" w:eastAsia="宋体" w:hAnsi="Times New Roman" w:cs="Times New Roman"/>
          <w:bCs/>
          <w:sz w:val="24"/>
        </w:rPr>
        <w:t>2022</w:t>
      </w:r>
      <w:r w:rsidR="00702D60" w:rsidRPr="004865EF">
        <w:rPr>
          <w:rFonts w:ascii="Times New Roman" w:eastAsia="宋体" w:hAnsi="Times New Roman" w:cs="Times New Roman" w:hint="eastAsia"/>
          <w:bCs/>
          <w:sz w:val="24"/>
        </w:rPr>
        <w:t>年的第四季度</w:t>
      </w:r>
      <w:r w:rsidR="001E40E8" w:rsidRPr="004865EF">
        <w:rPr>
          <w:rFonts w:ascii="Times New Roman" w:eastAsia="宋体" w:hAnsi="Times New Roman" w:cs="Times New Roman" w:hint="eastAsia"/>
          <w:bCs/>
          <w:sz w:val="24"/>
        </w:rPr>
        <w:t>全部上架，剩余</w:t>
      </w:r>
      <w:r w:rsidR="001E40E8" w:rsidRPr="004865EF">
        <w:rPr>
          <w:rFonts w:ascii="Times New Roman" w:eastAsia="宋体" w:hAnsi="Times New Roman" w:cs="Times New Roman"/>
          <w:bCs/>
          <w:sz w:val="24"/>
        </w:rPr>
        <w:t>2,000</w:t>
      </w:r>
      <w:r w:rsidR="001E40E8" w:rsidRPr="004865EF">
        <w:rPr>
          <w:rFonts w:ascii="Times New Roman" w:eastAsia="宋体" w:hAnsi="Times New Roman" w:cs="Times New Roman"/>
          <w:bCs/>
          <w:sz w:val="24"/>
        </w:rPr>
        <w:t>个机柜的用</w:t>
      </w:r>
      <w:proofErr w:type="gramStart"/>
      <w:r w:rsidR="001E40E8" w:rsidRPr="004865EF">
        <w:rPr>
          <w:rFonts w:ascii="Times New Roman" w:eastAsia="宋体" w:hAnsi="Times New Roman" w:cs="Times New Roman" w:hint="eastAsia"/>
          <w:bCs/>
          <w:sz w:val="24"/>
        </w:rPr>
        <w:t>能指标</w:t>
      </w:r>
      <w:proofErr w:type="gramEnd"/>
      <w:r w:rsidR="001E40E8" w:rsidRPr="004865EF">
        <w:rPr>
          <w:rFonts w:ascii="Times New Roman" w:eastAsia="宋体" w:hAnsi="Times New Roman" w:cs="Times New Roman" w:hint="eastAsia"/>
          <w:bCs/>
          <w:sz w:val="24"/>
        </w:rPr>
        <w:t>如在</w:t>
      </w:r>
      <w:r w:rsidR="001E40E8" w:rsidRPr="004865EF">
        <w:rPr>
          <w:rFonts w:ascii="Times New Roman" w:eastAsia="宋体" w:hAnsi="Times New Roman" w:cs="Times New Roman"/>
          <w:bCs/>
          <w:sz w:val="24"/>
        </w:rPr>
        <w:t>2022</w:t>
      </w:r>
      <w:r w:rsidR="001E40E8" w:rsidRPr="004865EF">
        <w:rPr>
          <w:rFonts w:ascii="Times New Roman" w:eastAsia="宋体" w:hAnsi="Times New Roman" w:cs="Times New Roman"/>
          <w:bCs/>
          <w:sz w:val="24"/>
        </w:rPr>
        <w:t>年四季度前取得，</w:t>
      </w:r>
      <w:r w:rsidR="001E40E8" w:rsidRPr="004865EF">
        <w:rPr>
          <w:rFonts w:ascii="Times New Roman" w:eastAsia="宋体" w:hAnsi="Times New Roman" w:cs="Times New Roman" w:hint="eastAsia"/>
          <w:bCs/>
          <w:sz w:val="24"/>
        </w:rPr>
        <w:t>将对本次</w:t>
      </w:r>
      <w:proofErr w:type="gramStart"/>
      <w:r w:rsidR="001E40E8" w:rsidRPr="004865EF">
        <w:rPr>
          <w:rFonts w:ascii="Times New Roman" w:eastAsia="宋体" w:hAnsi="Times New Roman" w:cs="Times New Roman" w:hint="eastAsia"/>
          <w:bCs/>
          <w:sz w:val="24"/>
        </w:rPr>
        <w:t>募投项目</w:t>
      </w:r>
      <w:proofErr w:type="gramEnd"/>
      <w:r w:rsidR="001E40E8" w:rsidRPr="004865EF">
        <w:rPr>
          <w:rFonts w:ascii="Times New Roman" w:eastAsia="宋体" w:hAnsi="Times New Roman" w:cs="Times New Roman" w:hint="eastAsia"/>
          <w:bCs/>
          <w:sz w:val="24"/>
        </w:rPr>
        <w:t>效益测算不存在影响。</w:t>
      </w:r>
    </w:p>
    <w:p w14:paraId="4F954045" w14:textId="349C9687"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（三）</w:t>
      </w:r>
      <w:proofErr w:type="gramStart"/>
      <w:r w:rsidRPr="004865EF">
        <w:rPr>
          <w:rFonts w:ascii="Times New Roman" w:eastAsia="宋体" w:hAnsi="Times New Roman" w:cs="Times New Roman" w:hint="eastAsia"/>
          <w:sz w:val="24"/>
        </w:rPr>
        <w:t>向</w:t>
      </w:r>
      <w:r w:rsidR="00602898" w:rsidRPr="004865EF">
        <w:rPr>
          <w:rFonts w:ascii="Times New Roman" w:eastAsia="宋体" w:hAnsi="Times New Roman" w:cs="Times New Roman" w:hint="eastAsia"/>
          <w:sz w:val="24"/>
        </w:rPr>
        <w:t>智达云创增资</w:t>
      </w:r>
      <w:proofErr w:type="gramEnd"/>
      <w:r w:rsidR="00602898" w:rsidRPr="004865EF">
        <w:rPr>
          <w:rFonts w:ascii="Times New Roman" w:eastAsia="宋体" w:hAnsi="Times New Roman" w:cs="Times New Roman" w:hint="eastAsia"/>
          <w:sz w:val="24"/>
        </w:rPr>
        <w:t>取得</w:t>
      </w:r>
      <w:r w:rsidR="00602898" w:rsidRPr="004865EF">
        <w:rPr>
          <w:rFonts w:ascii="Times New Roman" w:eastAsia="宋体" w:hAnsi="Times New Roman" w:cs="Times New Roman" w:hint="eastAsia"/>
          <w:sz w:val="24"/>
        </w:rPr>
        <w:t>65%</w:t>
      </w:r>
      <w:r w:rsidR="00602898" w:rsidRPr="004865EF">
        <w:rPr>
          <w:rFonts w:ascii="Times New Roman" w:eastAsia="宋体" w:hAnsi="Times New Roman" w:cs="Times New Roman" w:hint="eastAsia"/>
          <w:sz w:val="24"/>
        </w:rPr>
        <w:t>股权并投资建设燕郊绿色</w:t>
      </w:r>
      <w:proofErr w:type="gramStart"/>
      <w:r w:rsidR="00602898" w:rsidRPr="004865EF">
        <w:rPr>
          <w:rFonts w:ascii="Times New Roman" w:eastAsia="宋体" w:hAnsi="Times New Roman" w:cs="Times New Roman" w:hint="eastAsia"/>
          <w:sz w:val="24"/>
        </w:rPr>
        <w:t>云计算</w:t>
      </w:r>
      <w:proofErr w:type="gramEnd"/>
      <w:r w:rsidR="00602898" w:rsidRPr="004865EF">
        <w:rPr>
          <w:rFonts w:ascii="Times New Roman" w:eastAsia="宋体" w:hAnsi="Times New Roman" w:cs="Times New Roman" w:hint="eastAsia"/>
          <w:sz w:val="24"/>
        </w:rPr>
        <w:t>基地三四期</w:t>
      </w:r>
    </w:p>
    <w:p w14:paraId="2BCF72A1" w14:textId="78754038"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1</w:t>
      </w:r>
      <w:r w:rsidRPr="004865EF">
        <w:rPr>
          <w:rFonts w:ascii="Times New Roman" w:eastAsia="宋体" w:hAnsi="Times New Roman" w:cs="Times New Roman" w:hint="eastAsia"/>
          <w:sz w:val="24"/>
        </w:rPr>
        <w:t>、</w:t>
      </w:r>
      <w:r w:rsidR="00602898" w:rsidRPr="004865EF">
        <w:rPr>
          <w:rFonts w:ascii="Times New Roman" w:eastAsia="宋体" w:hAnsi="Times New Roman" w:cs="Times New Roman" w:hint="eastAsia"/>
          <w:sz w:val="24"/>
        </w:rPr>
        <w:t>预计效益情况</w:t>
      </w:r>
    </w:p>
    <w:p w14:paraId="506D62FA"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lastRenderedPageBreak/>
        <w:t>燕郊三四期项目全部建成投产后，预计产生</w:t>
      </w:r>
      <w:r w:rsidRPr="004865EF">
        <w:rPr>
          <w:rFonts w:ascii="Times New Roman" w:eastAsia="宋体" w:hAnsi="Times New Roman" w:cs="Times New Roman" w:hint="eastAsia"/>
          <w:sz w:val="24"/>
        </w:rPr>
        <w:t>IDC</w:t>
      </w:r>
      <w:r w:rsidRPr="004865EF">
        <w:rPr>
          <w:rFonts w:ascii="Times New Roman" w:eastAsia="宋体" w:hAnsi="Times New Roman" w:cs="Times New Roman" w:hint="eastAsia"/>
          <w:sz w:val="24"/>
        </w:rPr>
        <w:t>及其增值服务年度收入</w:t>
      </w:r>
      <w:r w:rsidRPr="004865EF">
        <w:rPr>
          <w:rFonts w:ascii="Times New Roman" w:eastAsia="宋体" w:hAnsi="Times New Roman" w:cs="Times New Roman"/>
          <w:sz w:val="24"/>
        </w:rPr>
        <w:t>131,700.00</w:t>
      </w:r>
      <w:r w:rsidRPr="004865EF">
        <w:rPr>
          <w:rFonts w:ascii="Times New Roman" w:eastAsia="宋体" w:hAnsi="Times New Roman" w:cs="Times New Roman" w:hint="eastAsia"/>
          <w:sz w:val="24"/>
        </w:rPr>
        <w:t>万元，年度净利润</w:t>
      </w:r>
      <w:r w:rsidRPr="004865EF">
        <w:rPr>
          <w:rFonts w:ascii="Times New Roman" w:eastAsia="宋体" w:hAnsi="Times New Roman" w:cs="Times New Roman"/>
          <w:sz w:val="24"/>
        </w:rPr>
        <w:t>40,804.61</w:t>
      </w:r>
      <w:r w:rsidRPr="004865EF">
        <w:rPr>
          <w:rFonts w:ascii="Times New Roman" w:eastAsia="宋体" w:hAnsi="Times New Roman" w:cs="Times New Roman" w:hint="eastAsia"/>
          <w:sz w:val="24"/>
        </w:rPr>
        <w:t>万元，根据财务模型及公司历史管理经验，按照项目</w:t>
      </w:r>
      <w:r w:rsidRPr="004865EF">
        <w:rPr>
          <w:rFonts w:ascii="Times New Roman" w:eastAsia="宋体" w:hAnsi="Times New Roman" w:cs="Times New Roman" w:hint="eastAsia"/>
          <w:sz w:val="24"/>
        </w:rPr>
        <w:t>10</w:t>
      </w:r>
      <w:r w:rsidRPr="004865EF">
        <w:rPr>
          <w:rFonts w:ascii="Times New Roman" w:eastAsia="宋体" w:hAnsi="Times New Roman" w:cs="Times New Roman" w:hint="eastAsia"/>
          <w:sz w:val="24"/>
        </w:rPr>
        <w:t>年运营服务期测算，燕郊三四期项目内部收益率</w:t>
      </w:r>
      <w:r w:rsidRPr="004865EF">
        <w:rPr>
          <w:rFonts w:ascii="Times New Roman" w:eastAsia="宋体" w:hAnsi="Times New Roman" w:cs="Times New Roman" w:hint="eastAsia"/>
          <w:sz w:val="24"/>
        </w:rPr>
        <w:t>13.74%</w:t>
      </w:r>
      <w:r w:rsidRPr="004865EF">
        <w:rPr>
          <w:rFonts w:ascii="Times New Roman" w:eastAsia="宋体" w:hAnsi="Times New Roman" w:cs="Times New Roman" w:hint="eastAsia"/>
          <w:sz w:val="24"/>
        </w:rPr>
        <w:t>（税后），投资回收期为</w:t>
      </w:r>
      <w:r w:rsidRPr="004865EF">
        <w:rPr>
          <w:rFonts w:ascii="Times New Roman" w:eastAsia="宋体" w:hAnsi="Times New Roman" w:cs="Times New Roman" w:hint="eastAsia"/>
          <w:sz w:val="24"/>
        </w:rPr>
        <w:t>8.76</w:t>
      </w:r>
      <w:r w:rsidRPr="004865EF">
        <w:rPr>
          <w:rFonts w:ascii="Times New Roman" w:eastAsia="宋体" w:hAnsi="Times New Roman" w:cs="Times New Roman" w:hint="eastAsia"/>
          <w:sz w:val="24"/>
        </w:rPr>
        <w:t>年（税后）。</w:t>
      </w:r>
    </w:p>
    <w:p w14:paraId="0F7AFE85" w14:textId="7A5C9247"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2</w:t>
      </w:r>
      <w:r w:rsidRPr="004865EF">
        <w:rPr>
          <w:rFonts w:ascii="Times New Roman" w:eastAsia="宋体" w:hAnsi="Times New Roman" w:cs="Times New Roman" w:hint="eastAsia"/>
          <w:sz w:val="24"/>
        </w:rPr>
        <w:t>、</w:t>
      </w:r>
      <w:r w:rsidR="00602898" w:rsidRPr="004865EF">
        <w:rPr>
          <w:rFonts w:ascii="Times New Roman" w:eastAsia="宋体" w:hAnsi="Times New Roman" w:cs="Times New Roman" w:hint="eastAsia"/>
          <w:sz w:val="24"/>
        </w:rPr>
        <w:t>预计效益测算过程</w:t>
      </w:r>
    </w:p>
    <w:p w14:paraId="7C82E4CB" w14:textId="77777777" w:rsidR="00602898" w:rsidRPr="004865EF" w:rsidRDefault="00602898"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燕郊三四期项目按照</w:t>
      </w:r>
      <w:r w:rsidRPr="004865EF">
        <w:rPr>
          <w:rFonts w:ascii="Times New Roman" w:eastAsia="宋体" w:hAnsi="Times New Roman" w:cs="Times New Roman"/>
          <w:bCs/>
          <w:sz w:val="24"/>
        </w:rPr>
        <w:t>10</w:t>
      </w:r>
      <w:r w:rsidRPr="004865EF">
        <w:rPr>
          <w:rFonts w:ascii="Times New Roman" w:eastAsia="宋体" w:hAnsi="Times New Roman" w:cs="Times New Roman" w:hint="eastAsia"/>
          <w:bCs/>
          <w:sz w:val="24"/>
        </w:rPr>
        <w:t>年运营服务期预计的效益测算过程如下：</w:t>
      </w:r>
    </w:p>
    <w:p w14:paraId="0759F0B0" w14:textId="00868FD7" w:rsidR="006C4603" w:rsidRPr="004865EF" w:rsidRDefault="006C4603" w:rsidP="00E87AF9">
      <w:pPr>
        <w:spacing w:beforeLines="50" w:before="156"/>
        <w:ind w:firstLineChars="200" w:firstLine="440"/>
        <w:jc w:val="right"/>
        <w:rPr>
          <w:rFonts w:ascii="Times New Roman" w:eastAsia="宋体" w:hAnsi="Times New Roman" w:cs="Times New Roman"/>
          <w:bCs/>
          <w:sz w:val="22"/>
        </w:rPr>
      </w:pPr>
      <w:r w:rsidRPr="004865EF">
        <w:rPr>
          <w:rFonts w:ascii="Times New Roman" w:eastAsia="宋体" w:hAnsi="Times New Roman" w:cs="Times New Roman" w:hint="eastAsia"/>
          <w:sz w:val="22"/>
        </w:rPr>
        <w:t>单位：万元</w:t>
      </w:r>
    </w:p>
    <w:tbl>
      <w:tblPr>
        <w:tblW w:w="140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43"/>
        <w:gridCol w:w="1134"/>
        <w:gridCol w:w="1134"/>
        <w:gridCol w:w="1134"/>
        <w:gridCol w:w="1134"/>
        <w:gridCol w:w="1134"/>
        <w:gridCol w:w="1134"/>
        <w:gridCol w:w="1134"/>
        <w:gridCol w:w="1134"/>
        <w:gridCol w:w="1134"/>
        <w:gridCol w:w="1134"/>
      </w:tblGrid>
      <w:tr w:rsidR="004865EF" w:rsidRPr="004865EF" w14:paraId="024A6267" w14:textId="77777777" w:rsidTr="00602898">
        <w:trPr>
          <w:trHeight w:val="397"/>
          <w:tblHeader/>
        </w:trPr>
        <w:tc>
          <w:tcPr>
            <w:tcW w:w="856" w:type="dxa"/>
            <w:shd w:val="clear" w:color="000000" w:fill="FFFFFF"/>
            <w:vAlign w:val="center"/>
            <w:hideMark/>
          </w:tcPr>
          <w:p w14:paraId="44902D97"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hint="eastAsia"/>
                <w:b/>
                <w:bCs/>
                <w:kern w:val="0"/>
                <w:sz w:val="18"/>
                <w:szCs w:val="18"/>
              </w:rPr>
              <w:t>序号</w:t>
            </w:r>
          </w:p>
        </w:tc>
        <w:tc>
          <w:tcPr>
            <w:tcW w:w="1843" w:type="dxa"/>
            <w:shd w:val="clear" w:color="000000" w:fill="FFFFFF"/>
            <w:vAlign w:val="center"/>
            <w:hideMark/>
          </w:tcPr>
          <w:p w14:paraId="6A31DEA2"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hint="eastAsia"/>
                <w:b/>
                <w:bCs/>
                <w:kern w:val="0"/>
                <w:sz w:val="18"/>
                <w:szCs w:val="18"/>
              </w:rPr>
              <w:t>项目</w:t>
            </w:r>
          </w:p>
        </w:tc>
        <w:tc>
          <w:tcPr>
            <w:tcW w:w="1134" w:type="dxa"/>
            <w:shd w:val="clear" w:color="000000" w:fill="FFFFFF"/>
            <w:vAlign w:val="center"/>
            <w:hideMark/>
          </w:tcPr>
          <w:p w14:paraId="1636D275"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T+1</w:t>
            </w:r>
          </w:p>
        </w:tc>
        <w:tc>
          <w:tcPr>
            <w:tcW w:w="1134" w:type="dxa"/>
            <w:shd w:val="clear" w:color="000000" w:fill="FFFFFF"/>
            <w:vAlign w:val="center"/>
            <w:hideMark/>
          </w:tcPr>
          <w:p w14:paraId="503491AB"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T+2</w:t>
            </w:r>
          </w:p>
        </w:tc>
        <w:tc>
          <w:tcPr>
            <w:tcW w:w="1134" w:type="dxa"/>
            <w:shd w:val="clear" w:color="000000" w:fill="FFFFFF"/>
            <w:vAlign w:val="center"/>
            <w:hideMark/>
          </w:tcPr>
          <w:p w14:paraId="0BC52BAF"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T+3</w:t>
            </w:r>
          </w:p>
        </w:tc>
        <w:tc>
          <w:tcPr>
            <w:tcW w:w="1134" w:type="dxa"/>
            <w:shd w:val="clear" w:color="000000" w:fill="FFFFFF"/>
            <w:vAlign w:val="center"/>
            <w:hideMark/>
          </w:tcPr>
          <w:p w14:paraId="262994E5"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T+4</w:t>
            </w:r>
          </w:p>
        </w:tc>
        <w:tc>
          <w:tcPr>
            <w:tcW w:w="1134" w:type="dxa"/>
            <w:shd w:val="clear" w:color="000000" w:fill="FFFFFF"/>
            <w:vAlign w:val="center"/>
            <w:hideMark/>
          </w:tcPr>
          <w:p w14:paraId="2441D123"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T+5</w:t>
            </w:r>
          </w:p>
        </w:tc>
        <w:tc>
          <w:tcPr>
            <w:tcW w:w="1134" w:type="dxa"/>
            <w:shd w:val="clear" w:color="000000" w:fill="FFFFFF"/>
            <w:vAlign w:val="center"/>
            <w:hideMark/>
          </w:tcPr>
          <w:p w14:paraId="0C00EB2F"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T+6</w:t>
            </w:r>
          </w:p>
        </w:tc>
        <w:tc>
          <w:tcPr>
            <w:tcW w:w="1134" w:type="dxa"/>
            <w:shd w:val="clear" w:color="000000" w:fill="FFFFFF"/>
            <w:vAlign w:val="center"/>
            <w:hideMark/>
          </w:tcPr>
          <w:p w14:paraId="1A4B17C8"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T+7</w:t>
            </w:r>
          </w:p>
        </w:tc>
        <w:tc>
          <w:tcPr>
            <w:tcW w:w="1134" w:type="dxa"/>
            <w:shd w:val="clear" w:color="000000" w:fill="FFFFFF"/>
            <w:vAlign w:val="center"/>
            <w:hideMark/>
          </w:tcPr>
          <w:p w14:paraId="4DDC25DA"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T+8</w:t>
            </w:r>
          </w:p>
        </w:tc>
        <w:tc>
          <w:tcPr>
            <w:tcW w:w="1134" w:type="dxa"/>
            <w:shd w:val="clear" w:color="000000" w:fill="FFFFFF"/>
            <w:vAlign w:val="center"/>
            <w:hideMark/>
          </w:tcPr>
          <w:p w14:paraId="11A5000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T+9</w:t>
            </w:r>
          </w:p>
        </w:tc>
        <w:tc>
          <w:tcPr>
            <w:tcW w:w="1134" w:type="dxa"/>
            <w:shd w:val="clear" w:color="000000" w:fill="FFFFFF"/>
            <w:vAlign w:val="center"/>
            <w:hideMark/>
          </w:tcPr>
          <w:p w14:paraId="01FDD7BF" w14:textId="77777777" w:rsidR="00602898" w:rsidRPr="004865EF" w:rsidRDefault="00602898" w:rsidP="00602898">
            <w:pPr>
              <w:widowControl/>
              <w:jc w:val="center"/>
              <w:rPr>
                <w:rFonts w:ascii="Times New Roman" w:eastAsia="宋体" w:hAnsi="Times New Roman" w:cs="Times New Roman"/>
                <w:b/>
                <w:bCs/>
                <w:kern w:val="0"/>
                <w:sz w:val="18"/>
                <w:szCs w:val="18"/>
              </w:rPr>
            </w:pPr>
            <w:r w:rsidRPr="004865EF">
              <w:rPr>
                <w:rFonts w:ascii="Times New Roman" w:eastAsia="宋体" w:hAnsi="Times New Roman" w:cs="Times New Roman"/>
                <w:b/>
                <w:bCs/>
                <w:kern w:val="0"/>
                <w:sz w:val="18"/>
                <w:szCs w:val="18"/>
              </w:rPr>
              <w:t>T+10</w:t>
            </w:r>
          </w:p>
        </w:tc>
      </w:tr>
      <w:tr w:rsidR="004865EF" w:rsidRPr="004865EF" w14:paraId="4E3510D8" w14:textId="77777777" w:rsidTr="00602898">
        <w:trPr>
          <w:trHeight w:val="397"/>
        </w:trPr>
        <w:tc>
          <w:tcPr>
            <w:tcW w:w="856" w:type="dxa"/>
            <w:shd w:val="clear" w:color="000000" w:fill="FFFFFF"/>
            <w:vAlign w:val="center"/>
            <w:hideMark/>
          </w:tcPr>
          <w:p w14:paraId="7AADBCBE"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w:t>
            </w:r>
          </w:p>
        </w:tc>
        <w:tc>
          <w:tcPr>
            <w:tcW w:w="1843" w:type="dxa"/>
            <w:shd w:val="clear" w:color="000000" w:fill="FFFFFF"/>
            <w:vAlign w:val="center"/>
            <w:hideMark/>
          </w:tcPr>
          <w:p w14:paraId="762EC61E"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营业收入</w:t>
            </w:r>
          </w:p>
        </w:tc>
        <w:tc>
          <w:tcPr>
            <w:tcW w:w="1134" w:type="dxa"/>
            <w:shd w:val="clear" w:color="000000" w:fill="FFFFFF"/>
            <w:vAlign w:val="center"/>
            <w:hideMark/>
          </w:tcPr>
          <w:p w14:paraId="7B73644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16,462.50</w:t>
            </w:r>
          </w:p>
        </w:tc>
        <w:tc>
          <w:tcPr>
            <w:tcW w:w="1134" w:type="dxa"/>
            <w:shd w:val="clear" w:color="000000" w:fill="FFFFFF"/>
            <w:vAlign w:val="center"/>
            <w:hideMark/>
          </w:tcPr>
          <w:p w14:paraId="14DA1F7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65,850.00</w:t>
            </w:r>
          </w:p>
        </w:tc>
        <w:tc>
          <w:tcPr>
            <w:tcW w:w="1134" w:type="dxa"/>
            <w:shd w:val="clear" w:color="000000" w:fill="FFFFFF"/>
            <w:vAlign w:val="center"/>
            <w:hideMark/>
          </w:tcPr>
          <w:p w14:paraId="0EF5792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115,237.50</w:t>
            </w:r>
          </w:p>
        </w:tc>
        <w:tc>
          <w:tcPr>
            <w:tcW w:w="1134" w:type="dxa"/>
            <w:shd w:val="clear" w:color="000000" w:fill="FFFFFF"/>
            <w:vAlign w:val="center"/>
            <w:hideMark/>
          </w:tcPr>
          <w:p w14:paraId="7A34FEF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131,700.00</w:t>
            </w:r>
          </w:p>
        </w:tc>
        <w:tc>
          <w:tcPr>
            <w:tcW w:w="1134" w:type="dxa"/>
            <w:shd w:val="clear" w:color="000000" w:fill="FFFFFF"/>
            <w:vAlign w:val="center"/>
            <w:hideMark/>
          </w:tcPr>
          <w:p w14:paraId="5E254B7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131,700.00</w:t>
            </w:r>
          </w:p>
        </w:tc>
        <w:tc>
          <w:tcPr>
            <w:tcW w:w="1134" w:type="dxa"/>
            <w:shd w:val="clear" w:color="000000" w:fill="FFFFFF"/>
            <w:vAlign w:val="center"/>
            <w:hideMark/>
          </w:tcPr>
          <w:p w14:paraId="57CD5EC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131,700.00</w:t>
            </w:r>
          </w:p>
        </w:tc>
        <w:tc>
          <w:tcPr>
            <w:tcW w:w="1134" w:type="dxa"/>
            <w:shd w:val="clear" w:color="000000" w:fill="FFFFFF"/>
            <w:vAlign w:val="center"/>
            <w:hideMark/>
          </w:tcPr>
          <w:p w14:paraId="7CB937B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131,700.00</w:t>
            </w:r>
          </w:p>
        </w:tc>
        <w:tc>
          <w:tcPr>
            <w:tcW w:w="1134" w:type="dxa"/>
            <w:shd w:val="clear" w:color="000000" w:fill="FFFFFF"/>
            <w:vAlign w:val="center"/>
            <w:hideMark/>
          </w:tcPr>
          <w:p w14:paraId="689ADE9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131,700.00</w:t>
            </w:r>
          </w:p>
        </w:tc>
        <w:tc>
          <w:tcPr>
            <w:tcW w:w="1134" w:type="dxa"/>
            <w:shd w:val="clear" w:color="000000" w:fill="FFFFFF"/>
            <w:vAlign w:val="center"/>
            <w:hideMark/>
          </w:tcPr>
          <w:p w14:paraId="185922F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131,700.00</w:t>
            </w:r>
          </w:p>
        </w:tc>
        <w:tc>
          <w:tcPr>
            <w:tcW w:w="1134" w:type="dxa"/>
            <w:shd w:val="clear" w:color="000000" w:fill="FFFFFF"/>
            <w:vAlign w:val="center"/>
            <w:hideMark/>
          </w:tcPr>
          <w:p w14:paraId="2EA0143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131,700.00</w:t>
            </w:r>
          </w:p>
        </w:tc>
      </w:tr>
      <w:tr w:rsidR="004865EF" w:rsidRPr="004865EF" w14:paraId="676DB883" w14:textId="77777777" w:rsidTr="00602898">
        <w:trPr>
          <w:trHeight w:val="397"/>
        </w:trPr>
        <w:tc>
          <w:tcPr>
            <w:tcW w:w="856" w:type="dxa"/>
            <w:shd w:val="clear" w:color="000000" w:fill="FFFFFF"/>
            <w:vAlign w:val="center"/>
            <w:hideMark/>
          </w:tcPr>
          <w:p w14:paraId="64D42082"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w:t>
            </w:r>
          </w:p>
        </w:tc>
        <w:tc>
          <w:tcPr>
            <w:tcW w:w="1843" w:type="dxa"/>
            <w:shd w:val="clear" w:color="000000" w:fill="FFFFFF"/>
            <w:vAlign w:val="center"/>
            <w:hideMark/>
          </w:tcPr>
          <w:p w14:paraId="38F00699"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营业成本</w:t>
            </w:r>
          </w:p>
        </w:tc>
        <w:tc>
          <w:tcPr>
            <w:tcW w:w="1134" w:type="dxa"/>
            <w:shd w:val="clear" w:color="000000" w:fill="FFFFFF"/>
            <w:vAlign w:val="center"/>
            <w:hideMark/>
          </w:tcPr>
          <w:p w14:paraId="6B3A009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16,083.35</w:t>
            </w:r>
          </w:p>
        </w:tc>
        <w:tc>
          <w:tcPr>
            <w:tcW w:w="1134" w:type="dxa"/>
            <w:shd w:val="clear" w:color="000000" w:fill="FFFFFF"/>
            <w:vAlign w:val="center"/>
            <w:hideMark/>
          </w:tcPr>
          <w:p w14:paraId="2B354EA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51,003.17</w:t>
            </w:r>
          </w:p>
        </w:tc>
        <w:tc>
          <w:tcPr>
            <w:tcW w:w="1134" w:type="dxa"/>
            <w:shd w:val="clear" w:color="000000" w:fill="FFFFFF"/>
            <w:vAlign w:val="center"/>
            <w:hideMark/>
          </w:tcPr>
          <w:p w14:paraId="37169C7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76,821.98</w:t>
            </w:r>
          </w:p>
        </w:tc>
        <w:tc>
          <w:tcPr>
            <w:tcW w:w="1134" w:type="dxa"/>
            <w:shd w:val="clear" w:color="000000" w:fill="FFFFFF"/>
            <w:vAlign w:val="center"/>
            <w:hideMark/>
          </w:tcPr>
          <w:p w14:paraId="797CF4C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83,694.58</w:t>
            </w:r>
          </w:p>
        </w:tc>
        <w:tc>
          <w:tcPr>
            <w:tcW w:w="1134" w:type="dxa"/>
            <w:shd w:val="clear" w:color="000000" w:fill="FFFFFF"/>
            <w:vAlign w:val="center"/>
            <w:hideMark/>
          </w:tcPr>
          <w:p w14:paraId="49C7E3B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83,694.58</w:t>
            </w:r>
          </w:p>
        </w:tc>
        <w:tc>
          <w:tcPr>
            <w:tcW w:w="1134" w:type="dxa"/>
            <w:shd w:val="clear" w:color="000000" w:fill="FFFFFF"/>
            <w:vAlign w:val="center"/>
            <w:hideMark/>
          </w:tcPr>
          <w:p w14:paraId="1478BB5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83,694.58</w:t>
            </w:r>
          </w:p>
        </w:tc>
        <w:tc>
          <w:tcPr>
            <w:tcW w:w="1134" w:type="dxa"/>
            <w:shd w:val="clear" w:color="000000" w:fill="FFFFFF"/>
            <w:vAlign w:val="center"/>
            <w:hideMark/>
          </w:tcPr>
          <w:p w14:paraId="76B74E0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83,694.58</w:t>
            </w:r>
          </w:p>
        </w:tc>
        <w:tc>
          <w:tcPr>
            <w:tcW w:w="1134" w:type="dxa"/>
            <w:shd w:val="clear" w:color="000000" w:fill="FFFFFF"/>
            <w:vAlign w:val="center"/>
            <w:hideMark/>
          </w:tcPr>
          <w:p w14:paraId="7139F59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83,694.58</w:t>
            </w:r>
          </w:p>
        </w:tc>
        <w:tc>
          <w:tcPr>
            <w:tcW w:w="1134" w:type="dxa"/>
            <w:shd w:val="clear" w:color="000000" w:fill="FFFFFF"/>
            <w:vAlign w:val="center"/>
            <w:hideMark/>
          </w:tcPr>
          <w:p w14:paraId="57900DA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83,694.58</w:t>
            </w:r>
          </w:p>
        </w:tc>
        <w:tc>
          <w:tcPr>
            <w:tcW w:w="1134" w:type="dxa"/>
            <w:shd w:val="clear" w:color="000000" w:fill="FFFFFF"/>
            <w:vAlign w:val="center"/>
            <w:hideMark/>
          </w:tcPr>
          <w:p w14:paraId="4C68B17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83,694.58</w:t>
            </w:r>
          </w:p>
        </w:tc>
      </w:tr>
      <w:tr w:rsidR="004865EF" w:rsidRPr="004865EF" w14:paraId="615FCC17" w14:textId="77777777" w:rsidTr="00602898">
        <w:trPr>
          <w:trHeight w:val="397"/>
        </w:trPr>
        <w:tc>
          <w:tcPr>
            <w:tcW w:w="856" w:type="dxa"/>
            <w:shd w:val="clear" w:color="000000" w:fill="FFFFFF"/>
            <w:vAlign w:val="center"/>
            <w:hideMark/>
          </w:tcPr>
          <w:p w14:paraId="774C6AF4"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2.1</w:t>
            </w:r>
          </w:p>
        </w:tc>
        <w:tc>
          <w:tcPr>
            <w:tcW w:w="1843" w:type="dxa"/>
            <w:shd w:val="clear" w:color="000000" w:fill="FFFFFF"/>
            <w:vAlign w:val="center"/>
            <w:hideMark/>
          </w:tcPr>
          <w:p w14:paraId="49B00C06"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折旧摊销成本</w:t>
            </w:r>
          </w:p>
        </w:tc>
        <w:tc>
          <w:tcPr>
            <w:tcW w:w="1134" w:type="dxa"/>
            <w:shd w:val="clear" w:color="000000" w:fill="FFFFFF"/>
            <w:vAlign w:val="center"/>
            <w:hideMark/>
          </w:tcPr>
          <w:p w14:paraId="01CA25E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7,110.75</w:t>
            </w:r>
          </w:p>
        </w:tc>
        <w:tc>
          <w:tcPr>
            <w:tcW w:w="1134" w:type="dxa"/>
            <w:shd w:val="clear" w:color="000000" w:fill="FFFFFF"/>
            <w:vAlign w:val="center"/>
            <w:hideMark/>
          </w:tcPr>
          <w:p w14:paraId="431D2C6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17,512.78</w:t>
            </w:r>
          </w:p>
        </w:tc>
        <w:tc>
          <w:tcPr>
            <w:tcW w:w="1134" w:type="dxa"/>
            <w:shd w:val="clear" w:color="000000" w:fill="FFFFFF"/>
            <w:vAlign w:val="center"/>
            <w:hideMark/>
          </w:tcPr>
          <w:p w14:paraId="513DD75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22,713.79</w:t>
            </w:r>
          </w:p>
        </w:tc>
        <w:tc>
          <w:tcPr>
            <w:tcW w:w="1134" w:type="dxa"/>
            <w:shd w:val="clear" w:color="000000" w:fill="FFFFFF"/>
            <w:vAlign w:val="center"/>
            <w:hideMark/>
          </w:tcPr>
          <w:p w14:paraId="4C7C217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22,713.79</w:t>
            </w:r>
          </w:p>
        </w:tc>
        <w:tc>
          <w:tcPr>
            <w:tcW w:w="1134" w:type="dxa"/>
            <w:shd w:val="clear" w:color="000000" w:fill="FFFFFF"/>
            <w:vAlign w:val="center"/>
            <w:hideMark/>
          </w:tcPr>
          <w:p w14:paraId="511CB6C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22,713.79</w:t>
            </w:r>
          </w:p>
        </w:tc>
        <w:tc>
          <w:tcPr>
            <w:tcW w:w="1134" w:type="dxa"/>
            <w:shd w:val="clear" w:color="000000" w:fill="FFFFFF"/>
            <w:vAlign w:val="center"/>
            <w:hideMark/>
          </w:tcPr>
          <w:p w14:paraId="559D0DB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22,713.79</w:t>
            </w:r>
          </w:p>
        </w:tc>
        <w:tc>
          <w:tcPr>
            <w:tcW w:w="1134" w:type="dxa"/>
            <w:shd w:val="clear" w:color="000000" w:fill="FFFFFF"/>
            <w:vAlign w:val="center"/>
            <w:hideMark/>
          </w:tcPr>
          <w:p w14:paraId="0524176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22,713.79</w:t>
            </w:r>
          </w:p>
        </w:tc>
        <w:tc>
          <w:tcPr>
            <w:tcW w:w="1134" w:type="dxa"/>
            <w:shd w:val="clear" w:color="000000" w:fill="FFFFFF"/>
            <w:vAlign w:val="center"/>
            <w:hideMark/>
          </w:tcPr>
          <w:p w14:paraId="54A174F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22,713.79</w:t>
            </w:r>
          </w:p>
        </w:tc>
        <w:tc>
          <w:tcPr>
            <w:tcW w:w="1134" w:type="dxa"/>
            <w:shd w:val="clear" w:color="000000" w:fill="FFFFFF"/>
            <w:vAlign w:val="center"/>
            <w:hideMark/>
          </w:tcPr>
          <w:p w14:paraId="5110552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22,713.79</w:t>
            </w:r>
          </w:p>
        </w:tc>
        <w:tc>
          <w:tcPr>
            <w:tcW w:w="1134" w:type="dxa"/>
            <w:shd w:val="clear" w:color="000000" w:fill="FFFFFF"/>
            <w:vAlign w:val="center"/>
            <w:hideMark/>
          </w:tcPr>
          <w:p w14:paraId="7A9FD94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22,713.79</w:t>
            </w:r>
          </w:p>
        </w:tc>
      </w:tr>
      <w:tr w:rsidR="004865EF" w:rsidRPr="004865EF" w14:paraId="2A788EA3" w14:textId="77777777" w:rsidTr="00602898">
        <w:trPr>
          <w:trHeight w:val="397"/>
        </w:trPr>
        <w:tc>
          <w:tcPr>
            <w:tcW w:w="856" w:type="dxa"/>
            <w:shd w:val="clear" w:color="000000" w:fill="FFFFFF"/>
            <w:vAlign w:val="center"/>
            <w:hideMark/>
          </w:tcPr>
          <w:p w14:paraId="332570E3"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w:t>
            </w:r>
          </w:p>
        </w:tc>
        <w:tc>
          <w:tcPr>
            <w:tcW w:w="1843" w:type="dxa"/>
            <w:shd w:val="clear" w:color="000000" w:fill="FFFFFF"/>
            <w:vAlign w:val="center"/>
            <w:hideMark/>
          </w:tcPr>
          <w:p w14:paraId="3E6888D6"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水电及带宽成本</w:t>
            </w:r>
          </w:p>
        </w:tc>
        <w:tc>
          <w:tcPr>
            <w:tcW w:w="1134" w:type="dxa"/>
            <w:shd w:val="clear" w:color="000000" w:fill="FFFFFF"/>
            <w:vAlign w:val="center"/>
            <w:hideMark/>
          </w:tcPr>
          <w:p w14:paraId="4B56417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5,748.68</w:t>
            </w:r>
          </w:p>
        </w:tc>
        <w:tc>
          <w:tcPr>
            <w:tcW w:w="1134" w:type="dxa"/>
            <w:shd w:val="clear" w:color="000000" w:fill="FFFFFF"/>
            <w:vAlign w:val="center"/>
            <w:hideMark/>
          </w:tcPr>
          <w:p w14:paraId="4719AC1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22,994.71</w:t>
            </w:r>
          </w:p>
        </w:tc>
        <w:tc>
          <w:tcPr>
            <w:tcW w:w="1134" w:type="dxa"/>
            <w:shd w:val="clear" w:color="000000" w:fill="FFFFFF"/>
            <w:vAlign w:val="center"/>
            <w:hideMark/>
          </w:tcPr>
          <w:p w14:paraId="3EEC145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40,240.73</w:t>
            </w:r>
          </w:p>
        </w:tc>
        <w:tc>
          <w:tcPr>
            <w:tcW w:w="1134" w:type="dxa"/>
            <w:shd w:val="clear" w:color="000000" w:fill="FFFFFF"/>
            <w:vAlign w:val="center"/>
            <w:hideMark/>
          </w:tcPr>
          <w:p w14:paraId="01D4747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45,989.41</w:t>
            </w:r>
          </w:p>
        </w:tc>
        <w:tc>
          <w:tcPr>
            <w:tcW w:w="1134" w:type="dxa"/>
            <w:shd w:val="clear" w:color="000000" w:fill="FFFFFF"/>
            <w:vAlign w:val="center"/>
            <w:hideMark/>
          </w:tcPr>
          <w:p w14:paraId="4E83E70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45,989.41</w:t>
            </w:r>
          </w:p>
        </w:tc>
        <w:tc>
          <w:tcPr>
            <w:tcW w:w="1134" w:type="dxa"/>
            <w:shd w:val="clear" w:color="000000" w:fill="FFFFFF"/>
            <w:vAlign w:val="center"/>
            <w:hideMark/>
          </w:tcPr>
          <w:p w14:paraId="3543829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45,989.41</w:t>
            </w:r>
          </w:p>
        </w:tc>
        <w:tc>
          <w:tcPr>
            <w:tcW w:w="1134" w:type="dxa"/>
            <w:shd w:val="clear" w:color="000000" w:fill="FFFFFF"/>
            <w:vAlign w:val="center"/>
            <w:hideMark/>
          </w:tcPr>
          <w:p w14:paraId="79F5B36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45,989.41</w:t>
            </w:r>
          </w:p>
        </w:tc>
        <w:tc>
          <w:tcPr>
            <w:tcW w:w="1134" w:type="dxa"/>
            <w:shd w:val="clear" w:color="000000" w:fill="FFFFFF"/>
            <w:vAlign w:val="center"/>
            <w:hideMark/>
          </w:tcPr>
          <w:p w14:paraId="61F1048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45,989.41</w:t>
            </w:r>
          </w:p>
        </w:tc>
        <w:tc>
          <w:tcPr>
            <w:tcW w:w="1134" w:type="dxa"/>
            <w:shd w:val="clear" w:color="000000" w:fill="FFFFFF"/>
            <w:vAlign w:val="center"/>
            <w:hideMark/>
          </w:tcPr>
          <w:p w14:paraId="7647CE9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45,989.41</w:t>
            </w:r>
          </w:p>
        </w:tc>
        <w:tc>
          <w:tcPr>
            <w:tcW w:w="1134" w:type="dxa"/>
            <w:shd w:val="clear" w:color="000000" w:fill="FFFFFF"/>
            <w:vAlign w:val="center"/>
            <w:hideMark/>
          </w:tcPr>
          <w:p w14:paraId="3BCC5F8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45,989.41</w:t>
            </w:r>
          </w:p>
        </w:tc>
      </w:tr>
      <w:tr w:rsidR="004865EF" w:rsidRPr="004865EF" w14:paraId="60240028" w14:textId="77777777" w:rsidTr="00602898">
        <w:trPr>
          <w:trHeight w:val="397"/>
        </w:trPr>
        <w:tc>
          <w:tcPr>
            <w:tcW w:w="856" w:type="dxa"/>
            <w:shd w:val="clear" w:color="000000" w:fill="FFFFFF"/>
            <w:vAlign w:val="center"/>
            <w:hideMark/>
          </w:tcPr>
          <w:p w14:paraId="6E04D496"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2.3</w:t>
            </w:r>
          </w:p>
        </w:tc>
        <w:tc>
          <w:tcPr>
            <w:tcW w:w="1843" w:type="dxa"/>
            <w:shd w:val="clear" w:color="000000" w:fill="FFFFFF"/>
            <w:vAlign w:val="center"/>
            <w:hideMark/>
          </w:tcPr>
          <w:p w14:paraId="4A5C625F"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运</w:t>
            </w:r>
            <w:proofErr w:type="gramStart"/>
            <w:r w:rsidRPr="004865EF">
              <w:rPr>
                <w:rFonts w:ascii="Times New Roman" w:eastAsia="宋体" w:hAnsi="Times New Roman" w:cs="Times New Roman" w:hint="eastAsia"/>
                <w:bCs/>
                <w:kern w:val="0"/>
                <w:sz w:val="18"/>
                <w:szCs w:val="18"/>
              </w:rPr>
              <w:t>维成本</w:t>
            </w:r>
            <w:proofErr w:type="gramEnd"/>
          </w:p>
        </w:tc>
        <w:tc>
          <w:tcPr>
            <w:tcW w:w="1134" w:type="dxa"/>
            <w:shd w:val="clear" w:color="000000" w:fill="FFFFFF"/>
            <w:vAlign w:val="center"/>
            <w:hideMark/>
          </w:tcPr>
          <w:p w14:paraId="5536B54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283.92</w:t>
            </w:r>
          </w:p>
        </w:tc>
        <w:tc>
          <w:tcPr>
            <w:tcW w:w="1134" w:type="dxa"/>
            <w:shd w:val="clear" w:color="000000" w:fill="FFFFFF"/>
            <w:vAlign w:val="center"/>
            <w:hideMark/>
          </w:tcPr>
          <w:p w14:paraId="2ED5F5D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1,135.69</w:t>
            </w:r>
          </w:p>
        </w:tc>
        <w:tc>
          <w:tcPr>
            <w:tcW w:w="1134" w:type="dxa"/>
            <w:shd w:val="clear" w:color="000000" w:fill="FFFFFF"/>
            <w:vAlign w:val="center"/>
            <w:hideMark/>
          </w:tcPr>
          <w:p w14:paraId="6144C25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1,987.46</w:t>
            </w:r>
          </w:p>
        </w:tc>
        <w:tc>
          <w:tcPr>
            <w:tcW w:w="1134" w:type="dxa"/>
            <w:shd w:val="clear" w:color="000000" w:fill="FFFFFF"/>
            <w:vAlign w:val="center"/>
            <w:hideMark/>
          </w:tcPr>
          <w:p w14:paraId="25DFAAB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2,271.38</w:t>
            </w:r>
          </w:p>
        </w:tc>
        <w:tc>
          <w:tcPr>
            <w:tcW w:w="1134" w:type="dxa"/>
            <w:shd w:val="clear" w:color="000000" w:fill="FFFFFF"/>
            <w:vAlign w:val="center"/>
            <w:hideMark/>
          </w:tcPr>
          <w:p w14:paraId="10A6048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2,271.38</w:t>
            </w:r>
          </w:p>
        </w:tc>
        <w:tc>
          <w:tcPr>
            <w:tcW w:w="1134" w:type="dxa"/>
            <w:shd w:val="clear" w:color="000000" w:fill="FFFFFF"/>
            <w:vAlign w:val="center"/>
            <w:hideMark/>
          </w:tcPr>
          <w:p w14:paraId="4C08902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2,271.38</w:t>
            </w:r>
          </w:p>
        </w:tc>
        <w:tc>
          <w:tcPr>
            <w:tcW w:w="1134" w:type="dxa"/>
            <w:shd w:val="clear" w:color="000000" w:fill="FFFFFF"/>
            <w:vAlign w:val="center"/>
            <w:hideMark/>
          </w:tcPr>
          <w:p w14:paraId="7F8EEB3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2,271.38</w:t>
            </w:r>
          </w:p>
        </w:tc>
        <w:tc>
          <w:tcPr>
            <w:tcW w:w="1134" w:type="dxa"/>
            <w:shd w:val="clear" w:color="000000" w:fill="FFFFFF"/>
            <w:vAlign w:val="center"/>
            <w:hideMark/>
          </w:tcPr>
          <w:p w14:paraId="28E2FFB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2,271.38</w:t>
            </w:r>
          </w:p>
        </w:tc>
        <w:tc>
          <w:tcPr>
            <w:tcW w:w="1134" w:type="dxa"/>
            <w:shd w:val="clear" w:color="000000" w:fill="FFFFFF"/>
            <w:vAlign w:val="center"/>
            <w:hideMark/>
          </w:tcPr>
          <w:p w14:paraId="2778DBA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2,271.38</w:t>
            </w:r>
          </w:p>
        </w:tc>
        <w:tc>
          <w:tcPr>
            <w:tcW w:w="1134" w:type="dxa"/>
            <w:shd w:val="clear" w:color="000000" w:fill="FFFFFF"/>
            <w:vAlign w:val="center"/>
            <w:hideMark/>
          </w:tcPr>
          <w:p w14:paraId="629097F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2,271.38</w:t>
            </w:r>
          </w:p>
        </w:tc>
      </w:tr>
      <w:tr w:rsidR="004865EF" w:rsidRPr="004865EF" w14:paraId="2D58BF59" w14:textId="77777777" w:rsidTr="00602898">
        <w:trPr>
          <w:trHeight w:val="397"/>
        </w:trPr>
        <w:tc>
          <w:tcPr>
            <w:tcW w:w="856" w:type="dxa"/>
            <w:shd w:val="clear" w:color="000000" w:fill="FFFFFF"/>
            <w:vAlign w:val="center"/>
            <w:hideMark/>
          </w:tcPr>
          <w:p w14:paraId="6026D54C"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w:t>
            </w:r>
          </w:p>
        </w:tc>
        <w:tc>
          <w:tcPr>
            <w:tcW w:w="1843" w:type="dxa"/>
            <w:shd w:val="clear" w:color="000000" w:fill="FFFFFF"/>
            <w:vAlign w:val="center"/>
            <w:hideMark/>
          </w:tcPr>
          <w:p w14:paraId="4CD1AB7C"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人工成本</w:t>
            </w:r>
          </w:p>
        </w:tc>
        <w:tc>
          <w:tcPr>
            <w:tcW w:w="1134" w:type="dxa"/>
            <w:shd w:val="clear" w:color="000000" w:fill="FFFFFF"/>
            <w:vAlign w:val="center"/>
            <w:hideMark/>
          </w:tcPr>
          <w:p w14:paraId="22AC9CF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w:t>
            </w:r>
          </w:p>
        </w:tc>
        <w:tc>
          <w:tcPr>
            <w:tcW w:w="1134" w:type="dxa"/>
            <w:shd w:val="clear" w:color="000000" w:fill="FFFFFF"/>
            <w:vAlign w:val="center"/>
            <w:hideMark/>
          </w:tcPr>
          <w:p w14:paraId="530DD52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54B6AF2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1,680.00</w:t>
            </w:r>
          </w:p>
        </w:tc>
        <w:tc>
          <w:tcPr>
            <w:tcW w:w="1134" w:type="dxa"/>
            <w:shd w:val="clear" w:color="000000" w:fill="FFFFFF"/>
            <w:vAlign w:val="center"/>
            <w:hideMark/>
          </w:tcPr>
          <w:p w14:paraId="7F6951C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1,920.00</w:t>
            </w:r>
          </w:p>
        </w:tc>
        <w:tc>
          <w:tcPr>
            <w:tcW w:w="1134" w:type="dxa"/>
            <w:shd w:val="clear" w:color="000000" w:fill="FFFFFF"/>
            <w:vAlign w:val="center"/>
            <w:hideMark/>
          </w:tcPr>
          <w:p w14:paraId="0673933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1,920.00</w:t>
            </w:r>
          </w:p>
        </w:tc>
        <w:tc>
          <w:tcPr>
            <w:tcW w:w="1134" w:type="dxa"/>
            <w:shd w:val="clear" w:color="000000" w:fill="FFFFFF"/>
            <w:vAlign w:val="center"/>
            <w:hideMark/>
          </w:tcPr>
          <w:p w14:paraId="1AE28C5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1,920.00</w:t>
            </w:r>
          </w:p>
        </w:tc>
        <w:tc>
          <w:tcPr>
            <w:tcW w:w="1134" w:type="dxa"/>
            <w:shd w:val="clear" w:color="000000" w:fill="FFFFFF"/>
            <w:vAlign w:val="center"/>
            <w:hideMark/>
          </w:tcPr>
          <w:p w14:paraId="002F327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1,920.00</w:t>
            </w:r>
          </w:p>
        </w:tc>
        <w:tc>
          <w:tcPr>
            <w:tcW w:w="1134" w:type="dxa"/>
            <w:shd w:val="clear" w:color="000000" w:fill="FFFFFF"/>
            <w:vAlign w:val="center"/>
            <w:hideMark/>
          </w:tcPr>
          <w:p w14:paraId="2DAFA39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1,920.00</w:t>
            </w:r>
          </w:p>
        </w:tc>
        <w:tc>
          <w:tcPr>
            <w:tcW w:w="1134" w:type="dxa"/>
            <w:shd w:val="clear" w:color="000000" w:fill="FFFFFF"/>
            <w:vAlign w:val="center"/>
            <w:hideMark/>
          </w:tcPr>
          <w:p w14:paraId="4622F58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1,920.00</w:t>
            </w:r>
          </w:p>
        </w:tc>
        <w:tc>
          <w:tcPr>
            <w:tcW w:w="1134" w:type="dxa"/>
            <w:shd w:val="clear" w:color="000000" w:fill="FFFFFF"/>
            <w:vAlign w:val="center"/>
            <w:hideMark/>
          </w:tcPr>
          <w:p w14:paraId="4632FE7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1,920.00</w:t>
            </w:r>
          </w:p>
        </w:tc>
      </w:tr>
      <w:tr w:rsidR="004865EF" w:rsidRPr="004865EF" w14:paraId="1905B26D" w14:textId="77777777" w:rsidTr="00602898">
        <w:trPr>
          <w:trHeight w:val="397"/>
        </w:trPr>
        <w:tc>
          <w:tcPr>
            <w:tcW w:w="856" w:type="dxa"/>
            <w:shd w:val="clear" w:color="000000" w:fill="FFFFFF"/>
            <w:vAlign w:val="center"/>
            <w:hideMark/>
          </w:tcPr>
          <w:p w14:paraId="40B181F0"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w:t>
            </w:r>
          </w:p>
        </w:tc>
        <w:tc>
          <w:tcPr>
            <w:tcW w:w="1843" w:type="dxa"/>
            <w:shd w:val="clear" w:color="000000" w:fill="FFFFFF"/>
            <w:vAlign w:val="center"/>
            <w:hideMark/>
          </w:tcPr>
          <w:p w14:paraId="74D2AE66"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管理费用</w:t>
            </w:r>
          </w:p>
        </w:tc>
        <w:tc>
          <w:tcPr>
            <w:tcW w:w="1134" w:type="dxa"/>
            <w:shd w:val="clear" w:color="000000" w:fill="FFFFFF"/>
            <w:vAlign w:val="center"/>
            <w:hideMark/>
          </w:tcPr>
          <w:p w14:paraId="5179739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300.00</w:t>
            </w:r>
          </w:p>
        </w:tc>
        <w:tc>
          <w:tcPr>
            <w:tcW w:w="1134" w:type="dxa"/>
            <w:shd w:val="clear" w:color="000000" w:fill="FFFFFF"/>
            <w:vAlign w:val="center"/>
            <w:hideMark/>
          </w:tcPr>
          <w:p w14:paraId="3B536CE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1,200.00</w:t>
            </w:r>
          </w:p>
        </w:tc>
        <w:tc>
          <w:tcPr>
            <w:tcW w:w="1134" w:type="dxa"/>
            <w:shd w:val="clear" w:color="000000" w:fill="FFFFFF"/>
            <w:vAlign w:val="center"/>
            <w:hideMark/>
          </w:tcPr>
          <w:p w14:paraId="0A858AA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2,100.00</w:t>
            </w:r>
          </w:p>
        </w:tc>
        <w:tc>
          <w:tcPr>
            <w:tcW w:w="1134" w:type="dxa"/>
            <w:shd w:val="clear" w:color="000000" w:fill="FFFFFF"/>
            <w:vAlign w:val="center"/>
            <w:hideMark/>
          </w:tcPr>
          <w:p w14:paraId="4023D22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3941D43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2D774F1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5521408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77B45BF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5D39216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73C2F38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r>
      <w:tr w:rsidR="004865EF" w:rsidRPr="004865EF" w14:paraId="57DB5D14" w14:textId="77777777" w:rsidTr="00602898">
        <w:trPr>
          <w:trHeight w:val="397"/>
        </w:trPr>
        <w:tc>
          <w:tcPr>
            <w:tcW w:w="856" w:type="dxa"/>
            <w:shd w:val="clear" w:color="000000" w:fill="FFFFFF"/>
            <w:vAlign w:val="center"/>
            <w:hideMark/>
          </w:tcPr>
          <w:p w14:paraId="0A9AC968"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w:t>
            </w:r>
          </w:p>
        </w:tc>
        <w:tc>
          <w:tcPr>
            <w:tcW w:w="1843" w:type="dxa"/>
            <w:shd w:val="clear" w:color="000000" w:fill="FFFFFF"/>
            <w:vAlign w:val="center"/>
            <w:hideMark/>
          </w:tcPr>
          <w:p w14:paraId="6F2D4B08"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销售费用</w:t>
            </w:r>
          </w:p>
        </w:tc>
        <w:tc>
          <w:tcPr>
            <w:tcW w:w="1134" w:type="dxa"/>
            <w:shd w:val="clear" w:color="000000" w:fill="FFFFFF"/>
            <w:vAlign w:val="center"/>
            <w:hideMark/>
          </w:tcPr>
          <w:p w14:paraId="37A4713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300.00</w:t>
            </w:r>
          </w:p>
        </w:tc>
        <w:tc>
          <w:tcPr>
            <w:tcW w:w="1134" w:type="dxa"/>
            <w:shd w:val="clear" w:color="000000" w:fill="FFFFFF"/>
            <w:vAlign w:val="center"/>
            <w:hideMark/>
          </w:tcPr>
          <w:p w14:paraId="3A97EF7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1,200.00</w:t>
            </w:r>
          </w:p>
        </w:tc>
        <w:tc>
          <w:tcPr>
            <w:tcW w:w="1134" w:type="dxa"/>
            <w:shd w:val="clear" w:color="000000" w:fill="FFFFFF"/>
            <w:vAlign w:val="center"/>
            <w:hideMark/>
          </w:tcPr>
          <w:p w14:paraId="71CABA0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2,100.00</w:t>
            </w:r>
          </w:p>
        </w:tc>
        <w:tc>
          <w:tcPr>
            <w:tcW w:w="1134" w:type="dxa"/>
            <w:shd w:val="clear" w:color="000000" w:fill="FFFFFF"/>
            <w:vAlign w:val="center"/>
            <w:hideMark/>
          </w:tcPr>
          <w:p w14:paraId="094FFD9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5CC0F36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7146BD4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41D897E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2D49230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69D2C69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561AA93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r>
      <w:tr w:rsidR="004865EF" w:rsidRPr="004865EF" w14:paraId="06190DA6" w14:textId="77777777" w:rsidTr="00602898">
        <w:trPr>
          <w:trHeight w:val="397"/>
        </w:trPr>
        <w:tc>
          <w:tcPr>
            <w:tcW w:w="856" w:type="dxa"/>
            <w:shd w:val="clear" w:color="000000" w:fill="FFFFFF"/>
            <w:vAlign w:val="center"/>
          </w:tcPr>
          <w:p w14:paraId="158EB2E4"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2.7</w:t>
            </w:r>
          </w:p>
        </w:tc>
        <w:tc>
          <w:tcPr>
            <w:tcW w:w="1843" w:type="dxa"/>
            <w:shd w:val="clear" w:color="000000" w:fill="FFFFFF"/>
            <w:vAlign w:val="center"/>
          </w:tcPr>
          <w:p w14:paraId="1E719A84"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财务费用</w:t>
            </w:r>
          </w:p>
        </w:tc>
        <w:tc>
          <w:tcPr>
            <w:tcW w:w="1134" w:type="dxa"/>
            <w:shd w:val="clear" w:color="000000" w:fill="FFFFFF"/>
            <w:vAlign w:val="center"/>
          </w:tcPr>
          <w:p w14:paraId="07416A9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2,100.00</w:t>
            </w:r>
          </w:p>
        </w:tc>
        <w:tc>
          <w:tcPr>
            <w:tcW w:w="1134" w:type="dxa"/>
            <w:shd w:val="clear" w:color="000000" w:fill="FFFFFF"/>
            <w:vAlign w:val="center"/>
          </w:tcPr>
          <w:p w14:paraId="73A2AB8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6,000.00</w:t>
            </w:r>
          </w:p>
        </w:tc>
        <w:tc>
          <w:tcPr>
            <w:tcW w:w="1134" w:type="dxa"/>
            <w:shd w:val="clear" w:color="000000" w:fill="FFFFFF"/>
            <w:vAlign w:val="center"/>
          </w:tcPr>
          <w:p w14:paraId="429BF66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6,000.00</w:t>
            </w:r>
          </w:p>
        </w:tc>
        <w:tc>
          <w:tcPr>
            <w:tcW w:w="1134" w:type="dxa"/>
            <w:shd w:val="clear" w:color="000000" w:fill="FFFFFF"/>
            <w:vAlign w:val="center"/>
          </w:tcPr>
          <w:p w14:paraId="7448671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6,000.00</w:t>
            </w:r>
          </w:p>
        </w:tc>
        <w:tc>
          <w:tcPr>
            <w:tcW w:w="1134" w:type="dxa"/>
            <w:shd w:val="clear" w:color="000000" w:fill="FFFFFF"/>
            <w:vAlign w:val="center"/>
          </w:tcPr>
          <w:p w14:paraId="18A8CF5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6,000.00</w:t>
            </w:r>
          </w:p>
        </w:tc>
        <w:tc>
          <w:tcPr>
            <w:tcW w:w="1134" w:type="dxa"/>
            <w:shd w:val="clear" w:color="000000" w:fill="FFFFFF"/>
            <w:vAlign w:val="center"/>
          </w:tcPr>
          <w:p w14:paraId="1F27874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6,000.00</w:t>
            </w:r>
          </w:p>
        </w:tc>
        <w:tc>
          <w:tcPr>
            <w:tcW w:w="1134" w:type="dxa"/>
            <w:shd w:val="clear" w:color="000000" w:fill="FFFFFF"/>
            <w:vAlign w:val="center"/>
          </w:tcPr>
          <w:p w14:paraId="4A7DE25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6,000.00</w:t>
            </w:r>
          </w:p>
        </w:tc>
        <w:tc>
          <w:tcPr>
            <w:tcW w:w="1134" w:type="dxa"/>
            <w:shd w:val="clear" w:color="000000" w:fill="FFFFFF"/>
            <w:vAlign w:val="center"/>
          </w:tcPr>
          <w:p w14:paraId="5A6045B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6,000.00</w:t>
            </w:r>
          </w:p>
        </w:tc>
        <w:tc>
          <w:tcPr>
            <w:tcW w:w="1134" w:type="dxa"/>
            <w:shd w:val="clear" w:color="000000" w:fill="FFFFFF"/>
            <w:vAlign w:val="center"/>
          </w:tcPr>
          <w:p w14:paraId="3A5F8D3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6,000.00</w:t>
            </w:r>
          </w:p>
        </w:tc>
        <w:tc>
          <w:tcPr>
            <w:tcW w:w="1134" w:type="dxa"/>
            <w:shd w:val="clear" w:color="000000" w:fill="FFFFFF"/>
            <w:vAlign w:val="center"/>
          </w:tcPr>
          <w:p w14:paraId="7EB8797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6,000.00</w:t>
            </w:r>
          </w:p>
        </w:tc>
      </w:tr>
      <w:tr w:rsidR="004865EF" w:rsidRPr="004865EF" w14:paraId="08E2579B" w14:textId="77777777" w:rsidTr="00602898">
        <w:trPr>
          <w:trHeight w:val="397"/>
        </w:trPr>
        <w:tc>
          <w:tcPr>
            <w:tcW w:w="856" w:type="dxa"/>
            <w:shd w:val="clear" w:color="000000" w:fill="FFFFFF"/>
            <w:vAlign w:val="center"/>
            <w:hideMark/>
          </w:tcPr>
          <w:p w14:paraId="0A2D41FF"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w:t>
            </w:r>
          </w:p>
        </w:tc>
        <w:tc>
          <w:tcPr>
            <w:tcW w:w="1843" w:type="dxa"/>
            <w:shd w:val="clear" w:color="000000" w:fill="FFFFFF"/>
            <w:vAlign w:val="center"/>
            <w:hideMark/>
          </w:tcPr>
          <w:p w14:paraId="054978F4"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利润总额</w:t>
            </w:r>
          </w:p>
        </w:tc>
        <w:tc>
          <w:tcPr>
            <w:tcW w:w="1134" w:type="dxa"/>
            <w:shd w:val="clear" w:color="000000" w:fill="FFFFFF"/>
            <w:vAlign w:val="center"/>
            <w:hideMark/>
          </w:tcPr>
          <w:p w14:paraId="6EB1EDA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379.15</w:t>
            </w:r>
          </w:p>
        </w:tc>
        <w:tc>
          <w:tcPr>
            <w:tcW w:w="1134" w:type="dxa"/>
            <w:shd w:val="clear" w:color="000000" w:fill="FFFFFF"/>
            <w:vAlign w:val="center"/>
            <w:hideMark/>
          </w:tcPr>
          <w:p w14:paraId="3AF6DE4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14,846.83</w:t>
            </w:r>
          </w:p>
        </w:tc>
        <w:tc>
          <w:tcPr>
            <w:tcW w:w="1134" w:type="dxa"/>
            <w:shd w:val="clear" w:color="000000" w:fill="FFFFFF"/>
            <w:vAlign w:val="center"/>
            <w:hideMark/>
          </w:tcPr>
          <w:p w14:paraId="2BBB50D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38,415.52</w:t>
            </w:r>
          </w:p>
        </w:tc>
        <w:tc>
          <w:tcPr>
            <w:tcW w:w="1134" w:type="dxa"/>
            <w:shd w:val="clear" w:color="000000" w:fill="FFFFFF"/>
            <w:vAlign w:val="center"/>
            <w:hideMark/>
          </w:tcPr>
          <w:p w14:paraId="4C1947A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48,005.42</w:t>
            </w:r>
          </w:p>
        </w:tc>
        <w:tc>
          <w:tcPr>
            <w:tcW w:w="1134" w:type="dxa"/>
            <w:shd w:val="clear" w:color="000000" w:fill="FFFFFF"/>
            <w:vAlign w:val="center"/>
            <w:hideMark/>
          </w:tcPr>
          <w:p w14:paraId="00DDF18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48,005.42</w:t>
            </w:r>
          </w:p>
        </w:tc>
        <w:tc>
          <w:tcPr>
            <w:tcW w:w="1134" w:type="dxa"/>
            <w:shd w:val="clear" w:color="000000" w:fill="FFFFFF"/>
            <w:vAlign w:val="center"/>
            <w:hideMark/>
          </w:tcPr>
          <w:p w14:paraId="5D87ECE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48,005.42</w:t>
            </w:r>
          </w:p>
        </w:tc>
        <w:tc>
          <w:tcPr>
            <w:tcW w:w="1134" w:type="dxa"/>
            <w:shd w:val="clear" w:color="000000" w:fill="FFFFFF"/>
            <w:vAlign w:val="center"/>
            <w:hideMark/>
          </w:tcPr>
          <w:p w14:paraId="42978B5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48,005.42</w:t>
            </w:r>
          </w:p>
        </w:tc>
        <w:tc>
          <w:tcPr>
            <w:tcW w:w="1134" w:type="dxa"/>
            <w:shd w:val="clear" w:color="000000" w:fill="FFFFFF"/>
            <w:vAlign w:val="center"/>
            <w:hideMark/>
          </w:tcPr>
          <w:p w14:paraId="4AC8995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48,005.42</w:t>
            </w:r>
          </w:p>
        </w:tc>
        <w:tc>
          <w:tcPr>
            <w:tcW w:w="1134" w:type="dxa"/>
            <w:shd w:val="clear" w:color="000000" w:fill="FFFFFF"/>
            <w:vAlign w:val="center"/>
            <w:hideMark/>
          </w:tcPr>
          <w:p w14:paraId="0CAF5C3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48,005.42</w:t>
            </w:r>
          </w:p>
        </w:tc>
        <w:tc>
          <w:tcPr>
            <w:tcW w:w="1134" w:type="dxa"/>
            <w:shd w:val="clear" w:color="000000" w:fill="FFFFFF"/>
            <w:vAlign w:val="center"/>
            <w:hideMark/>
          </w:tcPr>
          <w:p w14:paraId="3E70CFD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48,005.42</w:t>
            </w:r>
          </w:p>
        </w:tc>
      </w:tr>
      <w:tr w:rsidR="004865EF" w:rsidRPr="004865EF" w14:paraId="165E4EB6" w14:textId="77777777" w:rsidTr="00602898">
        <w:trPr>
          <w:trHeight w:val="397"/>
        </w:trPr>
        <w:tc>
          <w:tcPr>
            <w:tcW w:w="856" w:type="dxa"/>
            <w:shd w:val="clear" w:color="000000" w:fill="FFFFFF"/>
            <w:vAlign w:val="center"/>
            <w:hideMark/>
          </w:tcPr>
          <w:p w14:paraId="6E478962"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w:t>
            </w:r>
          </w:p>
        </w:tc>
        <w:tc>
          <w:tcPr>
            <w:tcW w:w="1843" w:type="dxa"/>
            <w:shd w:val="clear" w:color="000000" w:fill="FFFFFF"/>
            <w:vAlign w:val="center"/>
            <w:hideMark/>
          </w:tcPr>
          <w:p w14:paraId="496E57A8"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所得税</w:t>
            </w:r>
          </w:p>
        </w:tc>
        <w:tc>
          <w:tcPr>
            <w:tcW w:w="1134" w:type="dxa"/>
            <w:shd w:val="clear" w:color="000000" w:fill="FFFFFF"/>
            <w:vAlign w:val="center"/>
            <w:hideMark/>
          </w:tcPr>
          <w:p w14:paraId="2925A6D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94.79</w:t>
            </w:r>
          </w:p>
        </w:tc>
        <w:tc>
          <w:tcPr>
            <w:tcW w:w="1134" w:type="dxa"/>
            <w:shd w:val="clear" w:color="000000" w:fill="FFFFFF"/>
            <w:vAlign w:val="center"/>
            <w:hideMark/>
          </w:tcPr>
          <w:p w14:paraId="247D712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2,227.02</w:t>
            </w:r>
          </w:p>
        </w:tc>
        <w:tc>
          <w:tcPr>
            <w:tcW w:w="1134" w:type="dxa"/>
            <w:shd w:val="clear" w:color="000000" w:fill="FFFFFF"/>
            <w:vAlign w:val="center"/>
            <w:hideMark/>
          </w:tcPr>
          <w:p w14:paraId="7B6A94B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5,762.33</w:t>
            </w:r>
          </w:p>
        </w:tc>
        <w:tc>
          <w:tcPr>
            <w:tcW w:w="1134" w:type="dxa"/>
            <w:shd w:val="clear" w:color="000000" w:fill="FFFFFF"/>
            <w:vAlign w:val="center"/>
            <w:hideMark/>
          </w:tcPr>
          <w:p w14:paraId="42D94A5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7,200.81</w:t>
            </w:r>
          </w:p>
        </w:tc>
        <w:tc>
          <w:tcPr>
            <w:tcW w:w="1134" w:type="dxa"/>
            <w:shd w:val="clear" w:color="000000" w:fill="FFFFFF"/>
            <w:vAlign w:val="center"/>
            <w:hideMark/>
          </w:tcPr>
          <w:p w14:paraId="2505B51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7,200.81</w:t>
            </w:r>
          </w:p>
        </w:tc>
        <w:tc>
          <w:tcPr>
            <w:tcW w:w="1134" w:type="dxa"/>
            <w:shd w:val="clear" w:color="000000" w:fill="FFFFFF"/>
            <w:vAlign w:val="center"/>
            <w:hideMark/>
          </w:tcPr>
          <w:p w14:paraId="6701D44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7,200.81</w:t>
            </w:r>
          </w:p>
        </w:tc>
        <w:tc>
          <w:tcPr>
            <w:tcW w:w="1134" w:type="dxa"/>
            <w:shd w:val="clear" w:color="000000" w:fill="FFFFFF"/>
            <w:vAlign w:val="center"/>
            <w:hideMark/>
          </w:tcPr>
          <w:p w14:paraId="4C39913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7,200.81</w:t>
            </w:r>
          </w:p>
        </w:tc>
        <w:tc>
          <w:tcPr>
            <w:tcW w:w="1134" w:type="dxa"/>
            <w:shd w:val="clear" w:color="000000" w:fill="FFFFFF"/>
            <w:vAlign w:val="center"/>
            <w:hideMark/>
          </w:tcPr>
          <w:p w14:paraId="5784DA9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7,200.81</w:t>
            </w:r>
          </w:p>
        </w:tc>
        <w:tc>
          <w:tcPr>
            <w:tcW w:w="1134" w:type="dxa"/>
            <w:shd w:val="clear" w:color="000000" w:fill="FFFFFF"/>
            <w:vAlign w:val="center"/>
            <w:hideMark/>
          </w:tcPr>
          <w:p w14:paraId="1EC3F85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7,200.81</w:t>
            </w:r>
          </w:p>
        </w:tc>
        <w:tc>
          <w:tcPr>
            <w:tcW w:w="1134" w:type="dxa"/>
            <w:shd w:val="clear" w:color="000000" w:fill="FFFFFF"/>
            <w:vAlign w:val="center"/>
            <w:hideMark/>
          </w:tcPr>
          <w:p w14:paraId="5F1A7DF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7,200.81</w:t>
            </w:r>
          </w:p>
        </w:tc>
      </w:tr>
      <w:tr w:rsidR="004865EF" w:rsidRPr="004865EF" w14:paraId="16508A57" w14:textId="77777777" w:rsidTr="00602898">
        <w:trPr>
          <w:trHeight w:val="397"/>
        </w:trPr>
        <w:tc>
          <w:tcPr>
            <w:tcW w:w="856" w:type="dxa"/>
            <w:shd w:val="clear" w:color="000000" w:fill="FFFFFF"/>
            <w:vAlign w:val="center"/>
            <w:hideMark/>
          </w:tcPr>
          <w:p w14:paraId="3AFE4C86"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w:t>
            </w:r>
          </w:p>
        </w:tc>
        <w:tc>
          <w:tcPr>
            <w:tcW w:w="1843" w:type="dxa"/>
            <w:shd w:val="clear" w:color="000000" w:fill="FFFFFF"/>
            <w:vAlign w:val="center"/>
            <w:hideMark/>
          </w:tcPr>
          <w:p w14:paraId="48CA7131"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净利润</w:t>
            </w:r>
          </w:p>
        </w:tc>
        <w:tc>
          <w:tcPr>
            <w:tcW w:w="1134" w:type="dxa"/>
            <w:shd w:val="clear" w:color="000000" w:fill="FFFFFF"/>
            <w:vAlign w:val="center"/>
            <w:hideMark/>
          </w:tcPr>
          <w:p w14:paraId="19654DB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284.36</w:t>
            </w:r>
          </w:p>
        </w:tc>
        <w:tc>
          <w:tcPr>
            <w:tcW w:w="1134" w:type="dxa"/>
            <w:shd w:val="clear" w:color="000000" w:fill="FFFFFF"/>
            <w:vAlign w:val="center"/>
            <w:hideMark/>
          </w:tcPr>
          <w:p w14:paraId="5E62B14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12,619.81</w:t>
            </w:r>
          </w:p>
        </w:tc>
        <w:tc>
          <w:tcPr>
            <w:tcW w:w="1134" w:type="dxa"/>
            <w:shd w:val="clear" w:color="000000" w:fill="FFFFFF"/>
            <w:vAlign w:val="center"/>
            <w:hideMark/>
          </w:tcPr>
          <w:p w14:paraId="0B36F3A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32,653.19</w:t>
            </w:r>
          </w:p>
        </w:tc>
        <w:tc>
          <w:tcPr>
            <w:tcW w:w="1134" w:type="dxa"/>
            <w:shd w:val="clear" w:color="000000" w:fill="FFFFFF"/>
            <w:vAlign w:val="center"/>
            <w:hideMark/>
          </w:tcPr>
          <w:p w14:paraId="562E8D8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40,804.61</w:t>
            </w:r>
          </w:p>
        </w:tc>
        <w:tc>
          <w:tcPr>
            <w:tcW w:w="1134" w:type="dxa"/>
            <w:shd w:val="clear" w:color="000000" w:fill="FFFFFF"/>
            <w:vAlign w:val="center"/>
            <w:hideMark/>
          </w:tcPr>
          <w:p w14:paraId="52F987C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40,804.61</w:t>
            </w:r>
          </w:p>
        </w:tc>
        <w:tc>
          <w:tcPr>
            <w:tcW w:w="1134" w:type="dxa"/>
            <w:shd w:val="clear" w:color="000000" w:fill="FFFFFF"/>
            <w:vAlign w:val="center"/>
            <w:hideMark/>
          </w:tcPr>
          <w:p w14:paraId="49D9EB0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40,804.61</w:t>
            </w:r>
          </w:p>
        </w:tc>
        <w:tc>
          <w:tcPr>
            <w:tcW w:w="1134" w:type="dxa"/>
            <w:shd w:val="clear" w:color="000000" w:fill="FFFFFF"/>
            <w:vAlign w:val="center"/>
            <w:hideMark/>
          </w:tcPr>
          <w:p w14:paraId="481A454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40,804.61</w:t>
            </w:r>
          </w:p>
        </w:tc>
        <w:tc>
          <w:tcPr>
            <w:tcW w:w="1134" w:type="dxa"/>
            <w:shd w:val="clear" w:color="000000" w:fill="FFFFFF"/>
            <w:vAlign w:val="center"/>
            <w:hideMark/>
          </w:tcPr>
          <w:p w14:paraId="32E1B26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40,804.61</w:t>
            </w:r>
          </w:p>
        </w:tc>
        <w:tc>
          <w:tcPr>
            <w:tcW w:w="1134" w:type="dxa"/>
            <w:shd w:val="clear" w:color="000000" w:fill="FFFFFF"/>
            <w:vAlign w:val="center"/>
            <w:hideMark/>
          </w:tcPr>
          <w:p w14:paraId="1785F6E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40,804.61</w:t>
            </w:r>
          </w:p>
        </w:tc>
        <w:tc>
          <w:tcPr>
            <w:tcW w:w="1134" w:type="dxa"/>
            <w:shd w:val="clear" w:color="000000" w:fill="FFFFFF"/>
            <w:vAlign w:val="center"/>
            <w:hideMark/>
          </w:tcPr>
          <w:p w14:paraId="095ED65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40,804.61</w:t>
            </w:r>
          </w:p>
        </w:tc>
      </w:tr>
      <w:tr w:rsidR="004865EF" w:rsidRPr="004865EF" w14:paraId="30423A5C" w14:textId="77777777" w:rsidTr="00602898">
        <w:trPr>
          <w:trHeight w:val="397"/>
        </w:trPr>
        <w:tc>
          <w:tcPr>
            <w:tcW w:w="856" w:type="dxa"/>
            <w:shd w:val="clear" w:color="000000" w:fill="FFFFFF"/>
            <w:vAlign w:val="center"/>
            <w:hideMark/>
          </w:tcPr>
          <w:p w14:paraId="2AD7E5D4"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lastRenderedPageBreak/>
              <w:t>6</w:t>
            </w:r>
          </w:p>
        </w:tc>
        <w:tc>
          <w:tcPr>
            <w:tcW w:w="1843" w:type="dxa"/>
            <w:shd w:val="clear" w:color="000000" w:fill="FFFFFF"/>
            <w:vAlign w:val="center"/>
            <w:hideMark/>
          </w:tcPr>
          <w:p w14:paraId="3798AEAA"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现金净流入</w:t>
            </w:r>
          </w:p>
        </w:tc>
        <w:tc>
          <w:tcPr>
            <w:tcW w:w="1134" w:type="dxa"/>
            <w:shd w:val="clear" w:color="000000" w:fill="FFFFFF"/>
            <w:vAlign w:val="center"/>
            <w:hideMark/>
          </w:tcPr>
          <w:p w14:paraId="77716F8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-100,407.43</w:t>
            </w:r>
          </w:p>
        </w:tc>
        <w:tc>
          <w:tcPr>
            <w:tcW w:w="1134" w:type="dxa"/>
            <w:shd w:val="clear" w:color="000000" w:fill="FFFFFF"/>
            <w:vAlign w:val="center"/>
            <w:hideMark/>
          </w:tcPr>
          <w:p w14:paraId="55D0314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-18,568.69</w:t>
            </w:r>
          </w:p>
        </w:tc>
        <w:tc>
          <w:tcPr>
            <w:tcW w:w="1134" w:type="dxa"/>
            <w:shd w:val="clear" w:color="000000" w:fill="FFFFFF"/>
            <w:vAlign w:val="center"/>
            <w:hideMark/>
          </w:tcPr>
          <w:p w14:paraId="2EFE990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61,366.98</w:t>
            </w:r>
          </w:p>
        </w:tc>
        <w:tc>
          <w:tcPr>
            <w:tcW w:w="1134" w:type="dxa"/>
            <w:shd w:val="clear" w:color="000000" w:fill="FFFFFF"/>
            <w:vAlign w:val="center"/>
            <w:hideMark/>
          </w:tcPr>
          <w:p w14:paraId="78426D0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69,518.40</w:t>
            </w:r>
          </w:p>
        </w:tc>
        <w:tc>
          <w:tcPr>
            <w:tcW w:w="1134" w:type="dxa"/>
            <w:shd w:val="clear" w:color="000000" w:fill="FFFFFF"/>
            <w:vAlign w:val="center"/>
            <w:hideMark/>
          </w:tcPr>
          <w:p w14:paraId="275D6F3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69,518.40</w:t>
            </w:r>
          </w:p>
        </w:tc>
        <w:tc>
          <w:tcPr>
            <w:tcW w:w="1134" w:type="dxa"/>
            <w:shd w:val="clear" w:color="000000" w:fill="FFFFFF"/>
            <w:vAlign w:val="center"/>
            <w:hideMark/>
          </w:tcPr>
          <w:p w14:paraId="467FC04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69,518.40</w:t>
            </w:r>
          </w:p>
        </w:tc>
        <w:tc>
          <w:tcPr>
            <w:tcW w:w="1134" w:type="dxa"/>
            <w:shd w:val="clear" w:color="000000" w:fill="FFFFFF"/>
            <w:vAlign w:val="center"/>
            <w:hideMark/>
          </w:tcPr>
          <w:p w14:paraId="2E00724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69,518.40</w:t>
            </w:r>
          </w:p>
        </w:tc>
        <w:tc>
          <w:tcPr>
            <w:tcW w:w="1134" w:type="dxa"/>
            <w:shd w:val="clear" w:color="000000" w:fill="FFFFFF"/>
            <w:vAlign w:val="center"/>
            <w:hideMark/>
          </w:tcPr>
          <w:p w14:paraId="622E069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69,518.40</w:t>
            </w:r>
          </w:p>
        </w:tc>
        <w:tc>
          <w:tcPr>
            <w:tcW w:w="1134" w:type="dxa"/>
            <w:shd w:val="clear" w:color="000000" w:fill="FFFFFF"/>
            <w:vAlign w:val="center"/>
            <w:hideMark/>
          </w:tcPr>
          <w:p w14:paraId="1AC0543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69,518.40</w:t>
            </w:r>
          </w:p>
        </w:tc>
        <w:tc>
          <w:tcPr>
            <w:tcW w:w="1134" w:type="dxa"/>
            <w:shd w:val="clear" w:color="000000" w:fill="FFFFFF"/>
            <w:vAlign w:val="center"/>
            <w:hideMark/>
          </w:tcPr>
          <w:p w14:paraId="5F6B3E4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69,518.40</w:t>
            </w:r>
          </w:p>
        </w:tc>
      </w:tr>
    </w:tbl>
    <w:p w14:paraId="771259A5" w14:textId="75EB7F6E" w:rsidR="00602898" w:rsidRPr="004865EF" w:rsidRDefault="00602898"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项目测算第</w:t>
      </w:r>
      <w:r w:rsidRPr="004865EF">
        <w:rPr>
          <w:rFonts w:ascii="Times New Roman" w:eastAsia="宋体" w:hAnsi="Times New Roman" w:cs="Times New Roman"/>
          <w:bCs/>
          <w:sz w:val="24"/>
        </w:rPr>
        <w:t>1</w:t>
      </w:r>
      <w:r w:rsidRPr="004865EF">
        <w:rPr>
          <w:rFonts w:ascii="Times New Roman" w:eastAsia="宋体" w:hAnsi="Times New Roman" w:cs="Times New Roman" w:hint="eastAsia"/>
          <w:bCs/>
          <w:sz w:val="24"/>
        </w:rPr>
        <w:t>年产能利用率为</w:t>
      </w:r>
      <w:r w:rsidR="00BF465C" w:rsidRPr="004865EF">
        <w:rPr>
          <w:rFonts w:ascii="Times New Roman" w:eastAsia="宋体" w:hAnsi="Times New Roman" w:cs="Times New Roman"/>
          <w:bCs/>
          <w:sz w:val="24"/>
        </w:rPr>
        <w:t>12.50</w:t>
      </w:r>
      <w:r w:rsidRPr="004865EF">
        <w:rPr>
          <w:rFonts w:ascii="Times New Roman" w:eastAsia="宋体" w:hAnsi="Times New Roman" w:cs="Times New Roman"/>
          <w:bCs/>
          <w:sz w:val="24"/>
        </w:rPr>
        <w:t>%</w:t>
      </w:r>
      <w:r w:rsidRPr="004865EF">
        <w:rPr>
          <w:rFonts w:ascii="Times New Roman" w:eastAsia="宋体" w:hAnsi="Times New Roman" w:cs="Times New Roman" w:hint="eastAsia"/>
          <w:bCs/>
          <w:sz w:val="24"/>
        </w:rPr>
        <w:t>，第</w:t>
      </w:r>
      <w:r w:rsidRPr="004865EF">
        <w:rPr>
          <w:rFonts w:ascii="Times New Roman" w:eastAsia="宋体" w:hAnsi="Times New Roman" w:cs="Times New Roman"/>
          <w:bCs/>
          <w:sz w:val="24"/>
        </w:rPr>
        <w:t>2</w:t>
      </w:r>
      <w:r w:rsidRPr="004865EF">
        <w:rPr>
          <w:rFonts w:ascii="Times New Roman" w:eastAsia="宋体" w:hAnsi="Times New Roman" w:cs="Times New Roman" w:hint="eastAsia"/>
          <w:bCs/>
          <w:sz w:val="24"/>
        </w:rPr>
        <w:t>年产能利用率为</w:t>
      </w:r>
      <w:r w:rsidR="00BF465C" w:rsidRPr="004865EF">
        <w:rPr>
          <w:rFonts w:ascii="Times New Roman" w:eastAsia="宋体" w:hAnsi="Times New Roman" w:cs="Times New Roman"/>
          <w:bCs/>
          <w:sz w:val="24"/>
        </w:rPr>
        <w:t>5</w:t>
      </w:r>
      <w:r w:rsidRPr="004865EF">
        <w:rPr>
          <w:rFonts w:ascii="Times New Roman" w:eastAsia="宋体" w:hAnsi="Times New Roman" w:cs="Times New Roman"/>
          <w:bCs/>
          <w:sz w:val="24"/>
        </w:rPr>
        <w:t>0.00%</w:t>
      </w:r>
      <w:r w:rsidRPr="004865EF">
        <w:rPr>
          <w:rFonts w:ascii="Times New Roman" w:eastAsia="宋体" w:hAnsi="Times New Roman" w:cs="Times New Roman" w:hint="eastAsia"/>
          <w:bCs/>
          <w:sz w:val="24"/>
        </w:rPr>
        <w:t>，</w:t>
      </w:r>
      <w:r w:rsidR="00BF465C" w:rsidRPr="004865EF">
        <w:rPr>
          <w:rFonts w:ascii="Times New Roman" w:eastAsia="宋体" w:hAnsi="Times New Roman" w:cs="Times New Roman" w:hint="eastAsia"/>
          <w:bCs/>
          <w:sz w:val="24"/>
        </w:rPr>
        <w:t>第</w:t>
      </w:r>
      <w:r w:rsidR="00BF465C" w:rsidRPr="004865EF">
        <w:rPr>
          <w:rFonts w:ascii="Times New Roman" w:eastAsia="宋体" w:hAnsi="Times New Roman" w:cs="Times New Roman"/>
          <w:bCs/>
          <w:sz w:val="24"/>
        </w:rPr>
        <w:t>3</w:t>
      </w:r>
      <w:r w:rsidR="00BF465C" w:rsidRPr="004865EF">
        <w:rPr>
          <w:rFonts w:ascii="Times New Roman" w:eastAsia="宋体" w:hAnsi="Times New Roman" w:cs="Times New Roman" w:hint="eastAsia"/>
          <w:bCs/>
          <w:sz w:val="24"/>
        </w:rPr>
        <w:t>年产能利用率为</w:t>
      </w:r>
      <w:r w:rsidR="00BF465C" w:rsidRPr="004865EF">
        <w:rPr>
          <w:rFonts w:ascii="Times New Roman" w:eastAsia="宋体" w:hAnsi="Times New Roman" w:cs="Times New Roman"/>
          <w:bCs/>
          <w:sz w:val="24"/>
        </w:rPr>
        <w:t>87.50%</w:t>
      </w:r>
      <w:r w:rsidR="00BF465C" w:rsidRPr="004865EF">
        <w:rPr>
          <w:rFonts w:ascii="Times New Roman" w:eastAsia="宋体" w:hAnsi="Times New Roman" w:cs="Times New Roman"/>
          <w:bCs/>
          <w:sz w:val="24"/>
        </w:rPr>
        <w:t>，</w:t>
      </w:r>
      <w:r w:rsidRPr="004865EF">
        <w:rPr>
          <w:rFonts w:ascii="Times New Roman" w:eastAsia="宋体" w:hAnsi="Times New Roman" w:cs="Times New Roman" w:hint="eastAsia"/>
          <w:bCs/>
          <w:sz w:val="24"/>
        </w:rPr>
        <w:t>从第</w:t>
      </w:r>
      <w:r w:rsidR="00BF465C" w:rsidRPr="004865EF">
        <w:rPr>
          <w:rFonts w:ascii="Times New Roman" w:eastAsia="宋体" w:hAnsi="Times New Roman" w:cs="Times New Roman"/>
          <w:bCs/>
          <w:sz w:val="24"/>
        </w:rPr>
        <w:t>4</w:t>
      </w:r>
      <w:r w:rsidRPr="004865EF">
        <w:rPr>
          <w:rFonts w:ascii="Times New Roman" w:eastAsia="宋体" w:hAnsi="Times New Roman" w:cs="Times New Roman" w:hint="eastAsia"/>
          <w:bCs/>
          <w:sz w:val="24"/>
        </w:rPr>
        <w:t>年至第</w:t>
      </w:r>
      <w:r w:rsidRPr="004865EF">
        <w:rPr>
          <w:rFonts w:ascii="Times New Roman" w:eastAsia="宋体" w:hAnsi="Times New Roman" w:cs="Times New Roman"/>
          <w:bCs/>
          <w:sz w:val="24"/>
        </w:rPr>
        <w:t>10</w:t>
      </w:r>
      <w:r w:rsidRPr="004865EF">
        <w:rPr>
          <w:rFonts w:ascii="Times New Roman" w:eastAsia="宋体" w:hAnsi="Times New Roman" w:cs="Times New Roman" w:hint="eastAsia"/>
          <w:bCs/>
          <w:sz w:val="24"/>
        </w:rPr>
        <w:t>年为稳定运营期，产能利用率为</w:t>
      </w:r>
      <w:r w:rsidRPr="004865EF">
        <w:rPr>
          <w:rFonts w:ascii="Times New Roman" w:eastAsia="宋体" w:hAnsi="Times New Roman" w:cs="Times New Roman"/>
          <w:bCs/>
          <w:sz w:val="24"/>
        </w:rPr>
        <w:t>100.00%</w:t>
      </w:r>
      <w:r w:rsidRPr="004865EF">
        <w:rPr>
          <w:rFonts w:ascii="Times New Roman" w:eastAsia="宋体" w:hAnsi="Times New Roman" w:cs="Times New Roman" w:hint="eastAsia"/>
          <w:bCs/>
          <w:sz w:val="24"/>
        </w:rPr>
        <w:t>，单机柜年度收入预测参考公司目前同功率机柜租金水平确定，运营期内保持稳定。</w:t>
      </w:r>
    </w:p>
    <w:p w14:paraId="6FB52D7D" w14:textId="52336966"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（四）</w:t>
      </w:r>
      <w:r w:rsidR="00602898" w:rsidRPr="004865EF">
        <w:rPr>
          <w:rFonts w:ascii="Times New Roman" w:eastAsia="宋体" w:hAnsi="Times New Roman" w:cs="Times New Roman" w:hint="eastAsia"/>
          <w:sz w:val="24"/>
        </w:rPr>
        <w:t>长沙绿色</w:t>
      </w:r>
      <w:proofErr w:type="gramStart"/>
      <w:r w:rsidR="00602898" w:rsidRPr="004865EF">
        <w:rPr>
          <w:rFonts w:ascii="Times New Roman" w:eastAsia="宋体" w:hAnsi="Times New Roman" w:cs="Times New Roman" w:hint="eastAsia"/>
          <w:sz w:val="24"/>
        </w:rPr>
        <w:t>云计算</w:t>
      </w:r>
      <w:proofErr w:type="gramEnd"/>
      <w:r w:rsidR="00602898" w:rsidRPr="004865EF">
        <w:rPr>
          <w:rFonts w:ascii="Times New Roman" w:eastAsia="宋体" w:hAnsi="Times New Roman" w:cs="Times New Roman" w:hint="eastAsia"/>
          <w:sz w:val="24"/>
        </w:rPr>
        <w:t>基地一期</w:t>
      </w:r>
    </w:p>
    <w:p w14:paraId="149F1703" w14:textId="51CF1B1A"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1</w:t>
      </w:r>
      <w:r w:rsidRPr="004865EF">
        <w:rPr>
          <w:rFonts w:ascii="Times New Roman" w:eastAsia="宋体" w:hAnsi="Times New Roman" w:cs="Times New Roman" w:hint="eastAsia"/>
          <w:sz w:val="24"/>
        </w:rPr>
        <w:t>、</w:t>
      </w:r>
      <w:r w:rsidR="00602898" w:rsidRPr="004865EF">
        <w:rPr>
          <w:rFonts w:ascii="Times New Roman" w:eastAsia="宋体" w:hAnsi="Times New Roman" w:cs="Times New Roman" w:hint="eastAsia"/>
          <w:sz w:val="24"/>
        </w:rPr>
        <w:t>预计效益情况</w:t>
      </w:r>
    </w:p>
    <w:p w14:paraId="364298A5" w14:textId="77777777" w:rsidR="00602898" w:rsidRPr="004865EF" w:rsidRDefault="00602898"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长沙一期项目全部建成投产后，预计产生</w:t>
      </w:r>
      <w:r w:rsidRPr="004865EF">
        <w:rPr>
          <w:rFonts w:ascii="Times New Roman" w:eastAsia="宋体" w:hAnsi="Times New Roman" w:cs="Times New Roman" w:hint="eastAsia"/>
          <w:sz w:val="24"/>
        </w:rPr>
        <w:t>IDC</w:t>
      </w:r>
      <w:r w:rsidRPr="004865EF">
        <w:rPr>
          <w:rFonts w:ascii="Times New Roman" w:eastAsia="宋体" w:hAnsi="Times New Roman" w:cs="Times New Roman" w:hint="eastAsia"/>
          <w:sz w:val="24"/>
        </w:rPr>
        <w:t>及其增值服务年度收入</w:t>
      </w:r>
      <w:r w:rsidRPr="004865EF">
        <w:rPr>
          <w:rFonts w:ascii="Times New Roman" w:eastAsia="宋体" w:hAnsi="Times New Roman" w:cs="Times New Roman"/>
          <w:sz w:val="24"/>
        </w:rPr>
        <w:t>140,480.00</w:t>
      </w:r>
      <w:r w:rsidRPr="004865EF">
        <w:rPr>
          <w:rFonts w:ascii="Times New Roman" w:eastAsia="宋体" w:hAnsi="Times New Roman" w:cs="Times New Roman" w:hint="eastAsia"/>
          <w:sz w:val="24"/>
        </w:rPr>
        <w:t>万元，年度净利润</w:t>
      </w:r>
      <w:r w:rsidRPr="004865EF">
        <w:rPr>
          <w:rFonts w:ascii="Times New Roman" w:eastAsia="宋体" w:hAnsi="Times New Roman" w:cs="Times New Roman"/>
          <w:sz w:val="24"/>
        </w:rPr>
        <w:t>41,418.16</w:t>
      </w:r>
      <w:r w:rsidRPr="004865EF">
        <w:rPr>
          <w:rFonts w:ascii="Times New Roman" w:eastAsia="宋体" w:hAnsi="Times New Roman" w:cs="Times New Roman" w:hint="eastAsia"/>
          <w:sz w:val="24"/>
        </w:rPr>
        <w:t>万元，根据财务模型及公司历史管理经验，按照项目</w:t>
      </w:r>
      <w:r w:rsidRPr="004865EF">
        <w:rPr>
          <w:rFonts w:ascii="Times New Roman" w:eastAsia="宋体" w:hAnsi="Times New Roman" w:cs="Times New Roman" w:hint="eastAsia"/>
          <w:sz w:val="24"/>
        </w:rPr>
        <w:t>10</w:t>
      </w:r>
      <w:r w:rsidRPr="004865EF">
        <w:rPr>
          <w:rFonts w:ascii="Times New Roman" w:eastAsia="宋体" w:hAnsi="Times New Roman" w:cs="Times New Roman" w:hint="eastAsia"/>
          <w:sz w:val="24"/>
        </w:rPr>
        <w:t>年运营服务期测算，长沙一期项目内部收益率</w:t>
      </w:r>
      <w:r w:rsidRPr="004865EF">
        <w:rPr>
          <w:rFonts w:ascii="Times New Roman" w:eastAsia="宋体" w:hAnsi="Times New Roman" w:cs="Times New Roman" w:hint="eastAsia"/>
          <w:sz w:val="24"/>
        </w:rPr>
        <w:t>13.80%</w:t>
      </w:r>
      <w:r w:rsidRPr="004865EF">
        <w:rPr>
          <w:rFonts w:ascii="Times New Roman" w:eastAsia="宋体" w:hAnsi="Times New Roman" w:cs="Times New Roman" w:hint="eastAsia"/>
          <w:sz w:val="24"/>
        </w:rPr>
        <w:t>（税后），投资回收期为</w:t>
      </w:r>
      <w:r w:rsidRPr="004865EF">
        <w:rPr>
          <w:rFonts w:ascii="Times New Roman" w:eastAsia="宋体" w:hAnsi="Times New Roman" w:cs="Times New Roman" w:hint="eastAsia"/>
          <w:sz w:val="24"/>
        </w:rPr>
        <w:t>7.92</w:t>
      </w:r>
      <w:r w:rsidRPr="004865EF">
        <w:rPr>
          <w:rFonts w:ascii="Times New Roman" w:eastAsia="宋体" w:hAnsi="Times New Roman" w:cs="Times New Roman" w:hint="eastAsia"/>
          <w:sz w:val="24"/>
        </w:rPr>
        <w:t>年（税后）。</w:t>
      </w:r>
    </w:p>
    <w:p w14:paraId="33E6C184" w14:textId="76067941" w:rsidR="00602898" w:rsidRPr="004865EF" w:rsidRDefault="00482795" w:rsidP="00602898">
      <w:pPr>
        <w:spacing w:beforeLines="50" w:before="156"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2</w:t>
      </w:r>
      <w:r w:rsidRPr="004865EF">
        <w:rPr>
          <w:rFonts w:ascii="Times New Roman" w:eastAsia="宋体" w:hAnsi="Times New Roman" w:cs="Times New Roman" w:hint="eastAsia"/>
          <w:sz w:val="24"/>
        </w:rPr>
        <w:t>、</w:t>
      </w:r>
      <w:r w:rsidR="00602898" w:rsidRPr="004865EF">
        <w:rPr>
          <w:rFonts w:ascii="Times New Roman" w:eastAsia="宋体" w:hAnsi="Times New Roman" w:cs="Times New Roman" w:hint="eastAsia"/>
          <w:sz w:val="24"/>
        </w:rPr>
        <w:t>预计效益测算过程</w:t>
      </w:r>
    </w:p>
    <w:p w14:paraId="369ABB0C" w14:textId="77777777" w:rsidR="00602898" w:rsidRPr="004865EF" w:rsidRDefault="00602898"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长沙一期项目按照</w:t>
      </w:r>
      <w:r w:rsidRPr="004865EF">
        <w:rPr>
          <w:rFonts w:ascii="Times New Roman" w:eastAsia="宋体" w:hAnsi="Times New Roman" w:cs="Times New Roman"/>
          <w:bCs/>
          <w:sz w:val="24"/>
        </w:rPr>
        <w:t>10</w:t>
      </w:r>
      <w:r w:rsidRPr="004865EF">
        <w:rPr>
          <w:rFonts w:ascii="Times New Roman" w:eastAsia="宋体" w:hAnsi="Times New Roman" w:cs="Times New Roman" w:hint="eastAsia"/>
          <w:bCs/>
          <w:sz w:val="24"/>
        </w:rPr>
        <w:t>年运营服务期预计的效益测算过程如下：</w:t>
      </w:r>
    </w:p>
    <w:p w14:paraId="4548D909" w14:textId="222FC06B" w:rsidR="006C4603" w:rsidRPr="004865EF" w:rsidRDefault="006C4603" w:rsidP="00E87AF9">
      <w:pPr>
        <w:spacing w:beforeLines="50" w:before="156"/>
        <w:ind w:firstLineChars="200" w:firstLine="440"/>
        <w:jc w:val="right"/>
        <w:rPr>
          <w:rFonts w:ascii="Times New Roman" w:eastAsia="宋体" w:hAnsi="Times New Roman" w:cs="Times New Roman"/>
          <w:bCs/>
          <w:sz w:val="22"/>
        </w:rPr>
      </w:pPr>
      <w:r w:rsidRPr="004865EF">
        <w:rPr>
          <w:rFonts w:ascii="Times New Roman" w:eastAsia="宋体" w:hAnsi="Times New Roman" w:cs="Times New Roman" w:hint="eastAsia"/>
          <w:sz w:val="22"/>
        </w:rPr>
        <w:t>单位：万元</w:t>
      </w:r>
    </w:p>
    <w:tbl>
      <w:tblPr>
        <w:tblW w:w="140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43"/>
        <w:gridCol w:w="1134"/>
        <w:gridCol w:w="1134"/>
        <w:gridCol w:w="1134"/>
        <w:gridCol w:w="1134"/>
        <w:gridCol w:w="1134"/>
        <w:gridCol w:w="1134"/>
        <w:gridCol w:w="1134"/>
        <w:gridCol w:w="1134"/>
        <w:gridCol w:w="1134"/>
        <w:gridCol w:w="1134"/>
      </w:tblGrid>
      <w:tr w:rsidR="004865EF" w:rsidRPr="004865EF" w14:paraId="3836BA48" w14:textId="77777777" w:rsidTr="00602898">
        <w:trPr>
          <w:trHeight w:val="397"/>
          <w:tblHeader/>
        </w:trPr>
        <w:tc>
          <w:tcPr>
            <w:tcW w:w="856" w:type="dxa"/>
            <w:shd w:val="clear" w:color="000000" w:fill="FFFFFF"/>
            <w:vAlign w:val="center"/>
            <w:hideMark/>
          </w:tcPr>
          <w:p w14:paraId="690689E2"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hint="eastAsia"/>
                <w:b/>
                <w:bCs/>
                <w:kern w:val="0"/>
                <w:sz w:val="18"/>
                <w:szCs w:val="18"/>
              </w:rPr>
              <w:t>序号</w:t>
            </w:r>
          </w:p>
        </w:tc>
        <w:tc>
          <w:tcPr>
            <w:tcW w:w="1843" w:type="dxa"/>
            <w:shd w:val="clear" w:color="000000" w:fill="FFFFFF"/>
            <w:vAlign w:val="center"/>
            <w:hideMark/>
          </w:tcPr>
          <w:p w14:paraId="3AE48ABA"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hint="eastAsia"/>
                <w:b/>
                <w:bCs/>
                <w:kern w:val="0"/>
                <w:sz w:val="18"/>
                <w:szCs w:val="18"/>
              </w:rPr>
              <w:t>项目</w:t>
            </w:r>
          </w:p>
        </w:tc>
        <w:tc>
          <w:tcPr>
            <w:tcW w:w="1134" w:type="dxa"/>
            <w:shd w:val="clear" w:color="000000" w:fill="FFFFFF"/>
            <w:vAlign w:val="center"/>
            <w:hideMark/>
          </w:tcPr>
          <w:p w14:paraId="6CAAE36D"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T+1</w:t>
            </w:r>
          </w:p>
        </w:tc>
        <w:tc>
          <w:tcPr>
            <w:tcW w:w="1134" w:type="dxa"/>
            <w:shd w:val="clear" w:color="000000" w:fill="FFFFFF"/>
            <w:vAlign w:val="center"/>
            <w:hideMark/>
          </w:tcPr>
          <w:p w14:paraId="72E3AEFA"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T+2</w:t>
            </w:r>
          </w:p>
        </w:tc>
        <w:tc>
          <w:tcPr>
            <w:tcW w:w="1134" w:type="dxa"/>
            <w:shd w:val="clear" w:color="000000" w:fill="FFFFFF"/>
            <w:vAlign w:val="center"/>
            <w:hideMark/>
          </w:tcPr>
          <w:p w14:paraId="23BC99B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T+3</w:t>
            </w:r>
          </w:p>
        </w:tc>
        <w:tc>
          <w:tcPr>
            <w:tcW w:w="1134" w:type="dxa"/>
            <w:shd w:val="clear" w:color="000000" w:fill="FFFFFF"/>
            <w:vAlign w:val="center"/>
            <w:hideMark/>
          </w:tcPr>
          <w:p w14:paraId="1560F24C"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T+4</w:t>
            </w:r>
          </w:p>
        </w:tc>
        <w:tc>
          <w:tcPr>
            <w:tcW w:w="1134" w:type="dxa"/>
            <w:shd w:val="clear" w:color="000000" w:fill="FFFFFF"/>
            <w:vAlign w:val="center"/>
            <w:hideMark/>
          </w:tcPr>
          <w:p w14:paraId="433BFCAA"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T+5</w:t>
            </w:r>
          </w:p>
        </w:tc>
        <w:tc>
          <w:tcPr>
            <w:tcW w:w="1134" w:type="dxa"/>
            <w:shd w:val="clear" w:color="000000" w:fill="FFFFFF"/>
            <w:vAlign w:val="center"/>
            <w:hideMark/>
          </w:tcPr>
          <w:p w14:paraId="6F58E24B"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T+6</w:t>
            </w:r>
          </w:p>
        </w:tc>
        <w:tc>
          <w:tcPr>
            <w:tcW w:w="1134" w:type="dxa"/>
            <w:shd w:val="clear" w:color="000000" w:fill="FFFFFF"/>
            <w:vAlign w:val="center"/>
            <w:hideMark/>
          </w:tcPr>
          <w:p w14:paraId="3FEE3D99"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T+7</w:t>
            </w:r>
          </w:p>
        </w:tc>
        <w:tc>
          <w:tcPr>
            <w:tcW w:w="1134" w:type="dxa"/>
            <w:shd w:val="clear" w:color="000000" w:fill="FFFFFF"/>
            <w:vAlign w:val="center"/>
            <w:hideMark/>
          </w:tcPr>
          <w:p w14:paraId="31BDF511"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T+8</w:t>
            </w:r>
          </w:p>
        </w:tc>
        <w:tc>
          <w:tcPr>
            <w:tcW w:w="1134" w:type="dxa"/>
            <w:shd w:val="clear" w:color="000000" w:fill="FFFFFF"/>
            <w:vAlign w:val="center"/>
            <w:hideMark/>
          </w:tcPr>
          <w:p w14:paraId="5F6F68E3"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
                <w:bCs/>
                <w:kern w:val="0"/>
                <w:sz w:val="18"/>
                <w:szCs w:val="18"/>
              </w:rPr>
              <w:t>T+9</w:t>
            </w:r>
          </w:p>
        </w:tc>
        <w:tc>
          <w:tcPr>
            <w:tcW w:w="1134" w:type="dxa"/>
            <w:shd w:val="clear" w:color="000000" w:fill="FFFFFF"/>
            <w:vAlign w:val="center"/>
            <w:hideMark/>
          </w:tcPr>
          <w:p w14:paraId="5017B2E4" w14:textId="77777777" w:rsidR="00602898" w:rsidRPr="004865EF" w:rsidRDefault="00602898" w:rsidP="00602898">
            <w:pPr>
              <w:widowControl/>
              <w:jc w:val="center"/>
              <w:rPr>
                <w:rFonts w:ascii="Times New Roman" w:eastAsia="宋体" w:hAnsi="Times New Roman" w:cs="Times New Roman"/>
                <w:b/>
                <w:bCs/>
                <w:kern w:val="0"/>
                <w:sz w:val="18"/>
                <w:szCs w:val="18"/>
              </w:rPr>
            </w:pPr>
            <w:r w:rsidRPr="004865EF">
              <w:rPr>
                <w:rFonts w:ascii="Times New Roman" w:eastAsia="宋体" w:hAnsi="Times New Roman" w:cs="Times New Roman"/>
                <w:b/>
                <w:bCs/>
                <w:kern w:val="0"/>
                <w:sz w:val="18"/>
                <w:szCs w:val="18"/>
              </w:rPr>
              <w:t>T+10</w:t>
            </w:r>
          </w:p>
        </w:tc>
      </w:tr>
      <w:tr w:rsidR="004865EF" w:rsidRPr="004865EF" w14:paraId="3A7B1531" w14:textId="77777777" w:rsidTr="00602898">
        <w:trPr>
          <w:trHeight w:val="397"/>
        </w:trPr>
        <w:tc>
          <w:tcPr>
            <w:tcW w:w="856" w:type="dxa"/>
            <w:shd w:val="clear" w:color="000000" w:fill="FFFFFF"/>
            <w:vAlign w:val="center"/>
            <w:hideMark/>
          </w:tcPr>
          <w:p w14:paraId="269533C0"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w:t>
            </w:r>
          </w:p>
        </w:tc>
        <w:tc>
          <w:tcPr>
            <w:tcW w:w="1843" w:type="dxa"/>
            <w:shd w:val="clear" w:color="000000" w:fill="FFFFFF"/>
            <w:vAlign w:val="center"/>
            <w:hideMark/>
          </w:tcPr>
          <w:p w14:paraId="44EF0D30"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营业收入</w:t>
            </w:r>
          </w:p>
        </w:tc>
        <w:tc>
          <w:tcPr>
            <w:tcW w:w="1134" w:type="dxa"/>
            <w:shd w:val="clear" w:color="000000" w:fill="FFFFFF"/>
            <w:vAlign w:val="center"/>
            <w:hideMark/>
          </w:tcPr>
          <w:p w14:paraId="21D9CC5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26,340.00</w:t>
            </w:r>
          </w:p>
        </w:tc>
        <w:tc>
          <w:tcPr>
            <w:tcW w:w="1134" w:type="dxa"/>
            <w:shd w:val="clear" w:color="000000" w:fill="FFFFFF"/>
            <w:vAlign w:val="center"/>
            <w:hideMark/>
          </w:tcPr>
          <w:p w14:paraId="3B821B8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70,240.00</w:t>
            </w:r>
          </w:p>
        </w:tc>
        <w:tc>
          <w:tcPr>
            <w:tcW w:w="1134" w:type="dxa"/>
            <w:shd w:val="clear" w:color="000000" w:fill="FFFFFF"/>
            <w:vAlign w:val="center"/>
            <w:hideMark/>
          </w:tcPr>
          <w:p w14:paraId="0965BFD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131,700.00</w:t>
            </w:r>
          </w:p>
        </w:tc>
        <w:tc>
          <w:tcPr>
            <w:tcW w:w="1134" w:type="dxa"/>
            <w:shd w:val="clear" w:color="000000" w:fill="FFFFFF"/>
            <w:vAlign w:val="center"/>
            <w:hideMark/>
          </w:tcPr>
          <w:p w14:paraId="1F7C5EE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140,480.00</w:t>
            </w:r>
          </w:p>
        </w:tc>
        <w:tc>
          <w:tcPr>
            <w:tcW w:w="1134" w:type="dxa"/>
            <w:shd w:val="clear" w:color="000000" w:fill="FFFFFF"/>
            <w:vAlign w:val="center"/>
            <w:hideMark/>
          </w:tcPr>
          <w:p w14:paraId="0150F98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140,480.00</w:t>
            </w:r>
          </w:p>
        </w:tc>
        <w:tc>
          <w:tcPr>
            <w:tcW w:w="1134" w:type="dxa"/>
            <w:shd w:val="clear" w:color="000000" w:fill="FFFFFF"/>
            <w:vAlign w:val="center"/>
            <w:hideMark/>
          </w:tcPr>
          <w:p w14:paraId="1A8108A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140,480.00</w:t>
            </w:r>
          </w:p>
        </w:tc>
        <w:tc>
          <w:tcPr>
            <w:tcW w:w="1134" w:type="dxa"/>
            <w:shd w:val="clear" w:color="000000" w:fill="FFFFFF"/>
            <w:vAlign w:val="center"/>
            <w:hideMark/>
          </w:tcPr>
          <w:p w14:paraId="6334F3D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140,480.00</w:t>
            </w:r>
          </w:p>
        </w:tc>
        <w:tc>
          <w:tcPr>
            <w:tcW w:w="1134" w:type="dxa"/>
            <w:shd w:val="clear" w:color="000000" w:fill="FFFFFF"/>
            <w:vAlign w:val="center"/>
            <w:hideMark/>
          </w:tcPr>
          <w:p w14:paraId="017C2F6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140,480.00</w:t>
            </w:r>
          </w:p>
        </w:tc>
        <w:tc>
          <w:tcPr>
            <w:tcW w:w="1134" w:type="dxa"/>
            <w:shd w:val="clear" w:color="000000" w:fill="FFFFFF"/>
            <w:vAlign w:val="center"/>
            <w:hideMark/>
          </w:tcPr>
          <w:p w14:paraId="14344B6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140,480.00</w:t>
            </w:r>
          </w:p>
        </w:tc>
        <w:tc>
          <w:tcPr>
            <w:tcW w:w="1134" w:type="dxa"/>
            <w:shd w:val="clear" w:color="000000" w:fill="FFFFFF"/>
            <w:vAlign w:val="center"/>
            <w:hideMark/>
          </w:tcPr>
          <w:p w14:paraId="353E84D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140,480.00</w:t>
            </w:r>
          </w:p>
        </w:tc>
      </w:tr>
      <w:tr w:rsidR="004865EF" w:rsidRPr="004865EF" w14:paraId="6C46DE99" w14:textId="77777777" w:rsidTr="00602898">
        <w:trPr>
          <w:trHeight w:val="397"/>
        </w:trPr>
        <w:tc>
          <w:tcPr>
            <w:tcW w:w="856" w:type="dxa"/>
            <w:shd w:val="clear" w:color="000000" w:fill="FFFFFF"/>
            <w:vAlign w:val="center"/>
            <w:hideMark/>
          </w:tcPr>
          <w:p w14:paraId="1EE8DC45"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w:t>
            </w:r>
          </w:p>
        </w:tc>
        <w:tc>
          <w:tcPr>
            <w:tcW w:w="1843" w:type="dxa"/>
            <w:shd w:val="clear" w:color="000000" w:fill="FFFFFF"/>
            <w:vAlign w:val="center"/>
            <w:hideMark/>
          </w:tcPr>
          <w:p w14:paraId="66570EAB"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营业成本</w:t>
            </w:r>
          </w:p>
        </w:tc>
        <w:tc>
          <w:tcPr>
            <w:tcW w:w="1134" w:type="dxa"/>
            <w:shd w:val="clear" w:color="000000" w:fill="FFFFFF"/>
            <w:vAlign w:val="center"/>
            <w:hideMark/>
          </w:tcPr>
          <w:p w14:paraId="34DA9A8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21,115.18</w:t>
            </w:r>
          </w:p>
        </w:tc>
        <w:tc>
          <w:tcPr>
            <w:tcW w:w="1134" w:type="dxa"/>
            <w:shd w:val="clear" w:color="000000" w:fill="FFFFFF"/>
            <w:vAlign w:val="center"/>
            <w:hideMark/>
          </w:tcPr>
          <w:p w14:paraId="4166EFC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57,331.00</w:t>
            </w:r>
          </w:p>
        </w:tc>
        <w:tc>
          <w:tcPr>
            <w:tcW w:w="1134" w:type="dxa"/>
            <w:shd w:val="clear" w:color="000000" w:fill="FFFFFF"/>
            <w:vAlign w:val="center"/>
            <w:hideMark/>
          </w:tcPr>
          <w:p w14:paraId="250A859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88,159.32</w:t>
            </w:r>
          </w:p>
        </w:tc>
        <w:tc>
          <w:tcPr>
            <w:tcW w:w="1134" w:type="dxa"/>
            <w:shd w:val="clear" w:color="000000" w:fill="FFFFFF"/>
            <w:vAlign w:val="center"/>
            <w:hideMark/>
          </w:tcPr>
          <w:p w14:paraId="1FB467F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91,752.75</w:t>
            </w:r>
          </w:p>
        </w:tc>
        <w:tc>
          <w:tcPr>
            <w:tcW w:w="1134" w:type="dxa"/>
            <w:shd w:val="clear" w:color="000000" w:fill="FFFFFF"/>
            <w:vAlign w:val="center"/>
            <w:hideMark/>
          </w:tcPr>
          <w:p w14:paraId="67066F8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91,752.75</w:t>
            </w:r>
          </w:p>
        </w:tc>
        <w:tc>
          <w:tcPr>
            <w:tcW w:w="1134" w:type="dxa"/>
            <w:shd w:val="clear" w:color="000000" w:fill="FFFFFF"/>
            <w:vAlign w:val="center"/>
            <w:hideMark/>
          </w:tcPr>
          <w:p w14:paraId="7CF2BD8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91,752.75</w:t>
            </w:r>
          </w:p>
        </w:tc>
        <w:tc>
          <w:tcPr>
            <w:tcW w:w="1134" w:type="dxa"/>
            <w:shd w:val="clear" w:color="000000" w:fill="FFFFFF"/>
            <w:vAlign w:val="center"/>
            <w:hideMark/>
          </w:tcPr>
          <w:p w14:paraId="075ECD0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91,752.75</w:t>
            </w:r>
          </w:p>
        </w:tc>
        <w:tc>
          <w:tcPr>
            <w:tcW w:w="1134" w:type="dxa"/>
            <w:shd w:val="clear" w:color="000000" w:fill="FFFFFF"/>
            <w:vAlign w:val="center"/>
            <w:hideMark/>
          </w:tcPr>
          <w:p w14:paraId="5AED24B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91,752.75</w:t>
            </w:r>
          </w:p>
        </w:tc>
        <w:tc>
          <w:tcPr>
            <w:tcW w:w="1134" w:type="dxa"/>
            <w:shd w:val="clear" w:color="000000" w:fill="FFFFFF"/>
            <w:vAlign w:val="center"/>
            <w:hideMark/>
          </w:tcPr>
          <w:p w14:paraId="56A76FA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91,752.75</w:t>
            </w:r>
          </w:p>
        </w:tc>
        <w:tc>
          <w:tcPr>
            <w:tcW w:w="1134" w:type="dxa"/>
            <w:shd w:val="clear" w:color="000000" w:fill="FFFFFF"/>
            <w:vAlign w:val="center"/>
            <w:hideMark/>
          </w:tcPr>
          <w:p w14:paraId="70724ED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91,752.75</w:t>
            </w:r>
          </w:p>
        </w:tc>
      </w:tr>
      <w:tr w:rsidR="004865EF" w:rsidRPr="004865EF" w14:paraId="25F9B3A3" w14:textId="77777777" w:rsidTr="00602898">
        <w:trPr>
          <w:trHeight w:val="397"/>
        </w:trPr>
        <w:tc>
          <w:tcPr>
            <w:tcW w:w="856" w:type="dxa"/>
            <w:shd w:val="clear" w:color="000000" w:fill="FFFFFF"/>
            <w:vAlign w:val="center"/>
            <w:hideMark/>
          </w:tcPr>
          <w:p w14:paraId="75D68DA3"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2.1</w:t>
            </w:r>
          </w:p>
        </w:tc>
        <w:tc>
          <w:tcPr>
            <w:tcW w:w="1843" w:type="dxa"/>
            <w:shd w:val="clear" w:color="000000" w:fill="FFFFFF"/>
            <w:vAlign w:val="center"/>
            <w:hideMark/>
          </w:tcPr>
          <w:p w14:paraId="4304A25F"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折旧摊销成本</w:t>
            </w:r>
          </w:p>
        </w:tc>
        <w:tc>
          <w:tcPr>
            <w:tcW w:w="1134" w:type="dxa"/>
            <w:shd w:val="clear" w:color="000000" w:fill="FFFFFF"/>
            <w:vAlign w:val="center"/>
            <w:hideMark/>
          </w:tcPr>
          <w:p w14:paraId="23D5EF9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8,234.90</w:t>
            </w:r>
          </w:p>
        </w:tc>
        <w:tc>
          <w:tcPr>
            <w:tcW w:w="1134" w:type="dxa"/>
            <w:shd w:val="clear" w:color="000000" w:fill="FFFFFF"/>
            <w:vAlign w:val="center"/>
            <w:hideMark/>
          </w:tcPr>
          <w:p w14:paraId="6155BFA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19,583.60</w:t>
            </w:r>
          </w:p>
        </w:tc>
        <w:tc>
          <w:tcPr>
            <w:tcW w:w="1134" w:type="dxa"/>
            <w:shd w:val="clear" w:color="000000" w:fill="FFFFFF"/>
            <w:vAlign w:val="center"/>
            <w:hideMark/>
          </w:tcPr>
          <w:p w14:paraId="31A692A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25,257.95</w:t>
            </w:r>
          </w:p>
        </w:tc>
        <w:tc>
          <w:tcPr>
            <w:tcW w:w="1134" w:type="dxa"/>
            <w:shd w:val="clear" w:color="000000" w:fill="FFFFFF"/>
            <w:vAlign w:val="center"/>
            <w:hideMark/>
          </w:tcPr>
          <w:p w14:paraId="5E541B5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25,257.95</w:t>
            </w:r>
          </w:p>
        </w:tc>
        <w:tc>
          <w:tcPr>
            <w:tcW w:w="1134" w:type="dxa"/>
            <w:shd w:val="clear" w:color="000000" w:fill="FFFFFF"/>
            <w:vAlign w:val="center"/>
            <w:hideMark/>
          </w:tcPr>
          <w:p w14:paraId="5BA9547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25,257.95</w:t>
            </w:r>
          </w:p>
        </w:tc>
        <w:tc>
          <w:tcPr>
            <w:tcW w:w="1134" w:type="dxa"/>
            <w:shd w:val="clear" w:color="000000" w:fill="FFFFFF"/>
            <w:vAlign w:val="center"/>
            <w:hideMark/>
          </w:tcPr>
          <w:p w14:paraId="0A1AF34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25,257.95</w:t>
            </w:r>
          </w:p>
        </w:tc>
        <w:tc>
          <w:tcPr>
            <w:tcW w:w="1134" w:type="dxa"/>
            <w:shd w:val="clear" w:color="000000" w:fill="FFFFFF"/>
            <w:vAlign w:val="center"/>
            <w:hideMark/>
          </w:tcPr>
          <w:p w14:paraId="46F31F7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25,257.95</w:t>
            </w:r>
          </w:p>
        </w:tc>
        <w:tc>
          <w:tcPr>
            <w:tcW w:w="1134" w:type="dxa"/>
            <w:shd w:val="clear" w:color="000000" w:fill="FFFFFF"/>
            <w:vAlign w:val="center"/>
            <w:hideMark/>
          </w:tcPr>
          <w:p w14:paraId="780BE98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25,257.95</w:t>
            </w:r>
          </w:p>
        </w:tc>
        <w:tc>
          <w:tcPr>
            <w:tcW w:w="1134" w:type="dxa"/>
            <w:shd w:val="clear" w:color="000000" w:fill="FFFFFF"/>
            <w:vAlign w:val="center"/>
            <w:hideMark/>
          </w:tcPr>
          <w:p w14:paraId="7C0BE30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25,257.95</w:t>
            </w:r>
          </w:p>
        </w:tc>
        <w:tc>
          <w:tcPr>
            <w:tcW w:w="1134" w:type="dxa"/>
            <w:shd w:val="clear" w:color="000000" w:fill="FFFFFF"/>
            <w:vAlign w:val="center"/>
            <w:hideMark/>
          </w:tcPr>
          <w:p w14:paraId="6F1223F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25,257.95</w:t>
            </w:r>
          </w:p>
        </w:tc>
      </w:tr>
      <w:tr w:rsidR="004865EF" w:rsidRPr="004865EF" w14:paraId="077EBF15" w14:textId="77777777" w:rsidTr="00602898">
        <w:trPr>
          <w:trHeight w:val="397"/>
        </w:trPr>
        <w:tc>
          <w:tcPr>
            <w:tcW w:w="856" w:type="dxa"/>
            <w:shd w:val="clear" w:color="000000" w:fill="FFFFFF"/>
            <w:vAlign w:val="center"/>
            <w:hideMark/>
          </w:tcPr>
          <w:p w14:paraId="776D3B05"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2.2</w:t>
            </w:r>
          </w:p>
        </w:tc>
        <w:tc>
          <w:tcPr>
            <w:tcW w:w="1843" w:type="dxa"/>
            <w:shd w:val="clear" w:color="000000" w:fill="FFFFFF"/>
            <w:vAlign w:val="center"/>
            <w:hideMark/>
          </w:tcPr>
          <w:p w14:paraId="347E219C"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水电及带宽成本</w:t>
            </w:r>
          </w:p>
        </w:tc>
        <w:tc>
          <w:tcPr>
            <w:tcW w:w="1134" w:type="dxa"/>
            <w:shd w:val="clear" w:color="000000" w:fill="FFFFFF"/>
            <w:vAlign w:val="center"/>
            <w:hideMark/>
          </w:tcPr>
          <w:p w14:paraId="65DC1BA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9,166.69</w:t>
            </w:r>
          </w:p>
        </w:tc>
        <w:tc>
          <w:tcPr>
            <w:tcW w:w="1134" w:type="dxa"/>
            <w:shd w:val="clear" w:color="000000" w:fill="FFFFFF"/>
            <w:vAlign w:val="center"/>
            <w:hideMark/>
          </w:tcPr>
          <w:p w14:paraId="481D1E5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24,444.50</w:t>
            </w:r>
          </w:p>
        </w:tc>
        <w:tc>
          <w:tcPr>
            <w:tcW w:w="1134" w:type="dxa"/>
            <w:shd w:val="clear" w:color="000000" w:fill="FFFFFF"/>
            <w:vAlign w:val="center"/>
            <w:hideMark/>
          </w:tcPr>
          <w:p w14:paraId="2022FA6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45,833.44</w:t>
            </w:r>
          </w:p>
        </w:tc>
        <w:tc>
          <w:tcPr>
            <w:tcW w:w="1134" w:type="dxa"/>
            <w:shd w:val="clear" w:color="000000" w:fill="FFFFFF"/>
            <w:vAlign w:val="center"/>
            <w:hideMark/>
          </w:tcPr>
          <w:p w14:paraId="78ED1DB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48,889.00</w:t>
            </w:r>
          </w:p>
        </w:tc>
        <w:tc>
          <w:tcPr>
            <w:tcW w:w="1134" w:type="dxa"/>
            <w:shd w:val="clear" w:color="000000" w:fill="FFFFFF"/>
            <w:vAlign w:val="center"/>
            <w:hideMark/>
          </w:tcPr>
          <w:p w14:paraId="3B9A606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48,889.00</w:t>
            </w:r>
          </w:p>
        </w:tc>
        <w:tc>
          <w:tcPr>
            <w:tcW w:w="1134" w:type="dxa"/>
            <w:shd w:val="clear" w:color="000000" w:fill="FFFFFF"/>
            <w:vAlign w:val="center"/>
            <w:hideMark/>
          </w:tcPr>
          <w:p w14:paraId="2C70542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48,889.00</w:t>
            </w:r>
          </w:p>
        </w:tc>
        <w:tc>
          <w:tcPr>
            <w:tcW w:w="1134" w:type="dxa"/>
            <w:shd w:val="clear" w:color="000000" w:fill="FFFFFF"/>
            <w:vAlign w:val="center"/>
            <w:hideMark/>
          </w:tcPr>
          <w:p w14:paraId="6C598A7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48,889.00</w:t>
            </w:r>
          </w:p>
        </w:tc>
        <w:tc>
          <w:tcPr>
            <w:tcW w:w="1134" w:type="dxa"/>
            <w:shd w:val="clear" w:color="000000" w:fill="FFFFFF"/>
            <w:vAlign w:val="center"/>
            <w:hideMark/>
          </w:tcPr>
          <w:p w14:paraId="42214AA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48,889.00</w:t>
            </w:r>
          </w:p>
        </w:tc>
        <w:tc>
          <w:tcPr>
            <w:tcW w:w="1134" w:type="dxa"/>
            <w:shd w:val="clear" w:color="000000" w:fill="FFFFFF"/>
            <w:vAlign w:val="center"/>
            <w:hideMark/>
          </w:tcPr>
          <w:p w14:paraId="1239994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48,889.00</w:t>
            </w:r>
          </w:p>
        </w:tc>
        <w:tc>
          <w:tcPr>
            <w:tcW w:w="1134" w:type="dxa"/>
            <w:shd w:val="clear" w:color="000000" w:fill="FFFFFF"/>
            <w:vAlign w:val="center"/>
            <w:hideMark/>
          </w:tcPr>
          <w:p w14:paraId="46BACE0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48,889.00</w:t>
            </w:r>
          </w:p>
        </w:tc>
      </w:tr>
      <w:tr w:rsidR="004865EF" w:rsidRPr="004865EF" w14:paraId="07D4CFFF" w14:textId="77777777" w:rsidTr="00602898">
        <w:trPr>
          <w:trHeight w:val="397"/>
        </w:trPr>
        <w:tc>
          <w:tcPr>
            <w:tcW w:w="856" w:type="dxa"/>
            <w:shd w:val="clear" w:color="000000" w:fill="FFFFFF"/>
            <w:vAlign w:val="center"/>
            <w:hideMark/>
          </w:tcPr>
          <w:p w14:paraId="2475489F"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lastRenderedPageBreak/>
              <w:t>2.3</w:t>
            </w:r>
          </w:p>
        </w:tc>
        <w:tc>
          <w:tcPr>
            <w:tcW w:w="1843" w:type="dxa"/>
            <w:shd w:val="clear" w:color="000000" w:fill="FFFFFF"/>
            <w:vAlign w:val="center"/>
            <w:hideMark/>
          </w:tcPr>
          <w:p w14:paraId="426FB3E2"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运</w:t>
            </w:r>
            <w:proofErr w:type="gramStart"/>
            <w:r w:rsidRPr="004865EF">
              <w:rPr>
                <w:rFonts w:ascii="Times New Roman" w:eastAsia="宋体" w:hAnsi="Times New Roman" w:cs="Times New Roman" w:hint="eastAsia"/>
                <w:bCs/>
                <w:kern w:val="0"/>
                <w:sz w:val="18"/>
                <w:szCs w:val="18"/>
              </w:rPr>
              <w:t>维成本</w:t>
            </w:r>
            <w:proofErr w:type="gramEnd"/>
          </w:p>
        </w:tc>
        <w:tc>
          <w:tcPr>
            <w:tcW w:w="1134" w:type="dxa"/>
            <w:shd w:val="clear" w:color="000000" w:fill="FFFFFF"/>
            <w:vAlign w:val="center"/>
            <w:hideMark/>
          </w:tcPr>
          <w:p w14:paraId="5254C0D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473.59</w:t>
            </w:r>
          </w:p>
        </w:tc>
        <w:tc>
          <w:tcPr>
            <w:tcW w:w="1134" w:type="dxa"/>
            <w:shd w:val="clear" w:color="000000" w:fill="FFFFFF"/>
            <w:vAlign w:val="center"/>
            <w:hideMark/>
          </w:tcPr>
          <w:p w14:paraId="1875D1F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1,262.90</w:t>
            </w:r>
          </w:p>
        </w:tc>
        <w:tc>
          <w:tcPr>
            <w:tcW w:w="1134" w:type="dxa"/>
            <w:shd w:val="clear" w:color="000000" w:fill="FFFFFF"/>
            <w:vAlign w:val="center"/>
            <w:hideMark/>
          </w:tcPr>
          <w:p w14:paraId="7B05BC5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2,367.93</w:t>
            </w:r>
          </w:p>
        </w:tc>
        <w:tc>
          <w:tcPr>
            <w:tcW w:w="1134" w:type="dxa"/>
            <w:shd w:val="clear" w:color="000000" w:fill="FFFFFF"/>
            <w:vAlign w:val="center"/>
            <w:hideMark/>
          </w:tcPr>
          <w:p w14:paraId="2618136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2,525.80</w:t>
            </w:r>
          </w:p>
        </w:tc>
        <w:tc>
          <w:tcPr>
            <w:tcW w:w="1134" w:type="dxa"/>
            <w:shd w:val="clear" w:color="000000" w:fill="FFFFFF"/>
            <w:vAlign w:val="center"/>
            <w:hideMark/>
          </w:tcPr>
          <w:p w14:paraId="04AC30C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2,525.80</w:t>
            </w:r>
          </w:p>
        </w:tc>
        <w:tc>
          <w:tcPr>
            <w:tcW w:w="1134" w:type="dxa"/>
            <w:shd w:val="clear" w:color="000000" w:fill="FFFFFF"/>
            <w:vAlign w:val="center"/>
            <w:hideMark/>
          </w:tcPr>
          <w:p w14:paraId="5CD71EA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2,525.80</w:t>
            </w:r>
          </w:p>
        </w:tc>
        <w:tc>
          <w:tcPr>
            <w:tcW w:w="1134" w:type="dxa"/>
            <w:shd w:val="clear" w:color="000000" w:fill="FFFFFF"/>
            <w:vAlign w:val="center"/>
            <w:hideMark/>
          </w:tcPr>
          <w:p w14:paraId="43BFAB8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2,525.80</w:t>
            </w:r>
          </w:p>
        </w:tc>
        <w:tc>
          <w:tcPr>
            <w:tcW w:w="1134" w:type="dxa"/>
            <w:shd w:val="clear" w:color="000000" w:fill="FFFFFF"/>
            <w:vAlign w:val="center"/>
            <w:hideMark/>
          </w:tcPr>
          <w:p w14:paraId="2B24697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2,525.80</w:t>
            </w:r>
          </w:p>
        </w:tc>
        <w:tc>
          <w:tcPr>
            <w:tcW w:w="1134" w:type="dxa"/>
            <w:shd w:val="clear" w:color="000000" w:fill="FFFFFF"/>
            <w:vAlign w:val="center"/>
            <w:hideMark/>
          </w:tcPr>
          <w:p w14:paraId="2EEE7A4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2,525.80</w:t>
            </w:r>
          </w:p>
        </w:tc>
        <w:tc>
          <w:tcPr>
            <w:tcW w:w="1134" w:type="dxa"/>
            <w:shd w:val="clear" w:color="000000" w:fill="FFFFFF"/>
            <w:vAlign w:val="center"/>
            <w:hideMark/>
          </w:tcPr>
          <w:p w14:paraId="0DD6E32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2,525.80</w:t>
            </w:r>
          </w:p>
        </w:tc>
      </w:tr>
      <w:tr w:rsidR="004865EF" w:rsidRPr="004865EF" w14:paraId="21CA4FD4" w14:textId="77777777" w:rsidTr="00602898">
        <w:trPr>
          <w:trHeight w:val="397"/>
        </w:trPr>
        <w:tc>
          <w:tcPr>
            <w:tcW w:w="856" w:type="dxa"/>
            <w:shd w:val="clear" w:color="000000" w:fill="FFFFFF"/>
            <w:vAlign w:val="center"/>
            <w:hideMark/>
          </w:tcPr>
          <w:p w14:paraId="0A3C1D0B"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w:t>
            </w:r>
          </w:p>
        </w:tc>
        <w:tc>
          <w:tcPr>
            <w:tcW w:w="1843" w:type="dxa"/>
            <w:shd w:val="clear" w:color="000000" w:fill="FFFFFF"/>
            <w:vAlign w:val="center"/>
            <w:hideMark/>
          </w:tcPr>
          <w:p w14:paraId="3F32D356"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人工成本</w:t>
            </w:r>
          </w:p>
        </w:tc>
        <w:tc>
          <w:tcPr>
            <w:tcW w:w="1134" w:type="dxa"/>
            <w:shd w:val="clear" w:color="000000" w:fill="FFFFFF"/>
            <w:vAlign w:val="center"/>
            <w:hideMark/>
          </w:tcPr>
          <w:p w14:paraId="1BE267C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180.00</w:t>
            </w:r>
          </w:p>
        </w:tc>
        <w:tc>
          <w:tcPr>
            <w:tcW w:w="1134" w:type="dxa"/>
            <w:shd w:val="clear" w:color="000000" w:fill="FFFFFF"/>
            <w:vAlign w:val="center"/>
            <w:hideMark/>
          </w:tcPr>
          <w:p w14:paraId="57B324F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w:t>
            </w:r>
          </w:p>
        </w:tc>
        <w:tc>
          <w:tcPr>
            <w:tcW w:w="1134" w:type="dxa"/>
            <w:shd w:val="clear" w:color="000000" w:fill="FFFFFF"/>
            <w:vAlign w:val="center"/>
            <w:hideMark/>
          </w:tcPr>
          <w:p w14:paraId="0E9DE70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w:t>
            </w:r>
          </w:p>
        </w:tc>
        <w:tc>
          <w:tcPr>
            <w:tcW w:w="1134" w:type="dxa"/>
            <w:shd w:val="clear" w:color="000000" w:fill="FFFFFF"/>
            <w:vAlign w:val="center"/>
            <w:hideMark/>
          </w:tcPr>
          <w:p w14:paraId="5AB3F1F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4455AFE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264AD6D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2021A5D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45E4F75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7BF269B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c>
          <w:tcPr>
            <w:tcW w:w="1134" w:type="dxa"/>
            <w:shd w:val="clear" w:color="000000" w:fill="FFFFFF"/>
            <w:vAlign w:val="center"/>
            <w:hideMark/>
          </w:tcPr>
          <w:p w14:paraId="1DCECE3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960.00</w:t>
            </w:r>
          </w:p>
        </w:tc>
      </w:tr>
      <w:tr w:rsidR="004865EF" w:rsidRPr="004865EF" w14:paraId="06249BC3" w14:textId="77777777" w:rsidTr="00602898">
        <w:trPr>
          <w:trHeight w:val="397"/>
        </w:trPr>
        <w:tc>
          <w:tcPr>
            <w:tcW w:w="856" w:type="dxa"/>
            <w:shd w:val="clear" w:color="000000" w:fill="FFFFFF"/>
            <w:vAlign w:val="center"/>
            <w:hideMark/>
          </w:tcPr>
          <w:p w14:paraId="696539CD"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w:t>
            </w:r>
          </w:p>
        </w:tc>
        <w:tc>
          <w:tcPr>
            <w:tcW w:w="1843" w:type="dxa"/>
            <w:shd w:val="clear" w:color="000000" w:fill="FFFFFF"/>
            <w:vAlign w:val="center"/>
            <w:hideMark/>
          </w:tcPr>
          <w:p w14:paraId="6B6759BE"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管理费用</w:t>
            </w:r>
          </w:p>
        </w:tc>
        <w:tc>
          <w:tcPr>
            <w:tcW w:w="1134" w:type="dxa"/>
            <w:shd w:val="clear" w:color="000000" w:fill="FFFFFF"/>
            <w:vAlign w:val="center"/>
            <w:hideMark/>
          </w:tcPr>
          <w:p w14:paraId="76EAB9E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w:t>
            </w:r>
          </w:p>
        </w:tc>
        <w:tc>
          <w:tcPr>
            <w:tcW w:w="1134" w:type="dxa"/>
            <w:shd w:val="clear" w:color="000000" w:fill="FFFFFF"/>
            <w:vAlign w:val="center"/>
            <w:hideMark/>
          </w:tcPr>
          <w:p w14:paraId="25EB5BC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1,280.00</w:t>
            </w:r>
          </w:p>
        </w:tc>
        <w:tc>
          <w:tcPr>
            <w:tcW w:w="1134" w:type="dxa"/>
            <w:shd w:val="clear" w:color="000000" w:fill="FFFFFF"/>
            <w:vAlign w:val="center"/>
            <w:hideMark/>
          </w:tcPr>
          <w:p w14:paraId="512D321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4DE88BA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6D426EF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28A6F54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281BB96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4AA532E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3E9EE3D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7097AF1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r>
      <w:tr w:rsidR="004865EF" w:rsidRPr="004865EF" w14:paraId="7B52D44B" w14:textId="77777777" w:rsidTr="00602898">
        <w:trPr>
          <w:trHeight w:val="397"/>
        </w:trPr>
        <w:tc>
          <w:tcPr>
            <w:tcW w:w="856" w:type="dxa"/>
            <w:shd w:val="clear" w:color="000000" w:fill="FFFFFF"/>
            <w:vAlign w:val="center"/>
            <w:hideMark/>
          </w:tcPr>
          <w:p w14:paraId="4578474E"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2.6</w:t>
            </w:r>
          </w:p>
        </w:tc>
        <w:tc>
          <w:tcPr>
            <w:tcW w:w="1843" w:type="dxa"/>
            <w:shd w:val="clear" w:color="000000" w:fill="FFFFFF"/>
            <w:vAlign w:val="center"/>
            <w:hideMark/>
          </w:tcPr>
          <w:p w14:paraId="32544F68"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销售费用</w:t>
            </w:r>
          </w:p>
        </w:tc>
        <w:tc>
          <w:tcPr>
            <w:tcW w:w="1134" w:type="dxa"/>
            <w:shd w:val="clear" w:color="000000" w:fill="FFFFFF"/>
            <w:vAlign w:val="center"/>
            <w:hideMark/>
          </w:tcPr>
          <w:p w14:paraId="67771AF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480.00</w:t>
            </w:r>
          </w:p>
        </w:tc>
        <w:tc>
          <w:tcPr>
            <w:tcW w:w="1134" w:type="dxa"/>
            <w:shd w:val="clear" w:color="000000" w:fill="FFFFFF"/>
            <w:vAlign w:val="center"/>
            <w:hideMark/>
          </w:tcPr>
          <w:p w14:paraId="5F52CCA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1,280.00</w:t>
            </w:r>
          </w:p>
        </w:tc>
        <w:tc>
          <w:tcPr>
            <w:tcW w:w="1134" w:type="dxa"/>
            <w:shd w:val="clear" w:color="000000" w:fill="FFFFFF"/>
            <w:vAlign w:val="center"/>
            <w:hideMark/>
          </w:tcPr>
          <w:p w14:paraId="0680EDD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2,400.00</w:t>
            </w:r>
          </w:p>
        </w:tc>
        <w:tc>
          <w:tcPr>
            <w:tcW w:w="1134" w:type="dxa"/>
            <w:shd w:val="clear" w:color="000000" w:fill="FFFFFF"/>
            <w:vAlign w:val="center"/>
            <w:hideMark/>
          </w:tcPr>
          <w:p w14:paraId="1B322C0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6ECFBBD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32671DC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38ED0A0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78A62F4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1A71230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c>
          <w:tcPr>
            <w:tcW w:w="1134" w:type="dxa"/>
            <w:shd w:val="clear" w:color="000000" w:fill="FFFFFF"/>
            <w:vAlign w:val="center"/>
            <w:hideMark/>
          </w:tcPr>
          <w:p w14:paraId="015A2BE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2,560.00</w:t>
            </w:r>
          </w:p>
        </w:tc>
      </w:tr>
      <w:tr w:rsidR="004865EF" w:rsidRPr="004865EF" w14:paraId="7295222D" w14:textId="77777777" w:rsidTr="00602898">
        <w:trPr>
          <w:trHeight w:val="397"/>
        </w:trPr>
        <w:tc>
          <w:tcPr>
            <w:tcW w:w="856" w:type="dxa"/>
            <w:shd w:val="clear" w:color="000000" w:fill="FFFFFF"/>
            <w:vAlign w:val="center"/>
          </w:tcPr>
          <w:p w14:paraId="33A734DD"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2.7</w:t>
            </w:r>
          </w:p>
        </w:tc>
        <w:tc>
          <w:tcPr>
            <w:tcW w:w="1843" w:type="dxa"/>
            <w:shd w:val="clear" w:color="000000" w:fill="FFFFFF"/>
            <w:vAlign w:val="center"/>
          </w:tcPr>
          <w:p w14:paraId="30A3CBA4"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财务费用</w:t>
            </w:r>
          </w:p>
        </w:tc>
        <w:tc>
          <w:tcPr>
            <w:tcW w:w="1134" w:type="dxa"/>
            <w:shd w:val="clear" w:color="000000" w:fill="FFFFFF"/>
            <w:vAlign w:val="center"/>
          </w:tcPr>
          <w:p w14:paraId="16C825C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2,100.00</w:t>
            </w:r>
          </w:p>
        </w:tc>
        <w:tc>
          <w:tcPr>
            <w:tcW w:w="1134" w:type="dxa"/>
            <w:shd w:val="clear" w:color="000000" w:fill="FFFFFF"/>
            <w:vAlign w:val="center"/>
          </w:tcPr>
          <w:p w14:paraId="175D020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9,000.00</w:t>
            </w:r>
          </w:p>
        </w:tc>
        <w:tc>
          <w:tcPr>
            <w:tcW w:w="1134" w:type="dxa"/>
            <w:shd w:val="clear" w:color="000000" w:fill="FFFFFF"/>
            <w:vAlign w:val="center"/>
          </w:tcPr>
          <w:p w14:paraId="66249B9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9,000.00</w:t>
            </w:r>
          </w:p>
        </w:tc>
        <w:tc>
          <w:tcPr>
            <w:tcW w:w="1134" w:type="dxa"/>
            <w:shd w:val="clear" w:color="000000" w:fill="FFFFFF"/>
            <w:vAlign w:val="center"/>
          </w:tcPr>
          <w:p w14:paraId="2572CFA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9,000.00</w:t>
            </w:r>
          </w:p>
        </w:tc>
        <w:tc>
          <w:tcPr>
            <w:tcW w:w="1134" w:type="dxa"/>
            <w:shd w:val="clear" w:color="000000" w:fill="FFFFFF"/>
            <w:vAlign w:val="center"/>
          </w:tcPr>
          <w:p w14:paraId="4094BF3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9,000.00</w:t>
            </w:r>
          </w:p>
        </w:tc>
        <w:tc>
          <w:tcPr>
            <w:tcW w:w="1134" w:type="dxa"/>
            <w:shd w:val="clear" w:color="000000" w:fill="FFFFFF"/>
            <w:vAlign w:val="center"/>
          </w:tcPr>
          <w:p w14:paraId="2578656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9,000.00</w:t>
            </w:r>
          </w:p>
        </w:tc>
        <w:tc>
          <w:tcPr>
            <w:tcW w:w="1134" w:type="dxa"/>
            <w:shd w:val="clear" w:color="000000" w:fill="FFFFFF"/>
            <w:vAlign w:val="center"/>
          </w:tcPr>
          <w:p w14:paraId="16D680F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9,000.00</w:t>
            </w:r>
          </w:p>
        </w:tc>
        <w:tc>
          <w:tcPr>
            <w:tcW w:w="1134" w:type="dxa"/>
            <w:shd w:val="clear" w:color="000000" w:fill="FFFFFF"/>
            <w:vAlign w:val="center"/>
          </w:tcPr>
          <w:p w14:paraId="3E1DB90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9,000.00</w:t>
            </w:r>
          </w:p>
        </w:tc>
        <w:tc>
          <w:tcPr>
            <w:tcW w:w="1134" w:type="dxa"/>
            <w:shd w:val="clear" w:color="000000" w:fill="FFFFFF"/>
            <w:vAlign w:val="center"/>
          </w:tcPr>
          <w:p w14:paraId="155017B7"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9,000.00</w:t>
            </w:r>
          </w:p>
        </w:tc>
        <w:tc>
          <w:tcPr>
            <w:tcW w:w="1134" w:type="dxa"/>
            <w:shd w:val="clear" w:color="000000" w:fill="FFFFFF"/>
            <w:vAlign w:val="center"/>
          </w:tcPr>
          <w:p w14:paraId="3CAA769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9,000.00</w:t>
            </w:r>
          </w:p>
        </w:tc>
      </w:tr>
      <w:tr w:rsidR="004865EF" w:rsidRPr="004865EF" w14:paraId="1570B168" w14:textId="77777777" w:rsidTr="00602898">
        <w:trPr>
          <w:trHeight w:val="397"/>
        </w:trPr>
        <w:tc>
          <w:tcPr>
            <w:tcW w:w="856" w:type="dxa"/>
            <w:shd w:val="clear" w:color="000000" w:fill="FFFFFF"/>
            <w:vAlign w:val="center"/>
            <w:hideMark/>
          </w:tcPr>
          <w:p w14:paraId="5E4CFA94"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w:t>
            </w:r>
          </w:p>
        </w:tc>
        <w:tc>
          <w:tcPr>
            <w:tcW w:w="1843" w:type="dxa"/>
            <w:shd w:val="clear" w:color="000000" w:fill="FFFFFF"/>
            <w:vAlign w:val="center"/>
            <w:hideMark/>
          </w:tcPr>
          <w:p w14:paraId="4A35DEB3"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利润总额</w:t>
            </w:r>
          </w:p>
        </w:tc>
        <w:tc>
          <w:tcPr>
            <w:tcW w:w="1134" w:type="dxa"/>
            <w:shd w:val="clear" w:color="000000" w:fill="FFFFFF"/>
            <w:vAlign w:val="center"/>
            <w:hideMark/>
          </w:tcPr>
          <w:p w14:paraId="0FAD583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5,224.82</w:t>
            </w:r>
          </w:p>
        </w:tc>
        <w:tc>
          <w:tcPr>
            <w:tcW w:w="1134" w:type="dxa"/>
            <w:shd w:val="clear" w:color="000000" w:fill="FFFFFF"/>
            <w:vAlign w:val="center"/>
            <w:hideMark/>
          </w:tcPr>
          <w:p w14:paraId="081CF72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12,909.00</w:t>
            </w:r>
          </w:p>
        </w:tc>
        <w:tc>
          <w:tcPr>
            <w:tcW w:w="1134" w:type="dxa"/>
            <w:shd w:val="clear" w:color="000000" w:fill="FFFFFF"/>
            <w:vAlign w:val="center"/>
            <w:hideMark/>
          </w:tcPr>
          <w:p w14:paraId="5A41E16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43,540.68</w:t>
            </w:r>
          </w:p>
        </w:tc>
        <w:tc>
          <w:tcPr>
            <w:tcW w:w="1134" w:type="dxa"/>
            <w:shd w:val="clear" w:color="000000" w:fill="FFFFFF"/>
            <w:vAlign w:val="center"/>
            <w:hideMark/>
          </w:tcPr>
          <w:p w14:paraId="2C71885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48,727.25</w:t>
            </w:r>
          </w:p>
        </w:tc>
        <w:tc>
          <w:tcPr>
            <w:tcW w:w="1134" w:type="dxa"/>
            <w:shd w:val="clear" w:color="000000" w:fill="FFFFFF"/>
            <w:vAlign w:val="center"/>
            <w:hideMark/>
          </w:tcPr>
          <w:p w14:paraId="1A88032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48,727.25</w:t>
            </w:r>
          </w:p>
        </w:tc>
        <w:tc>
          <w:tcPr>
            <w:tcW w:w="1134" w:type="dxa"/>
            <w:shd w:val="clear" w:color="000000" w:fill="FFFFFF"/>
            <w:vAlign w:val="center"/>
            <w:hideMark/>
          </w:tcPr>
          <w:p w14:paraId="6EED42E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48,727.25</w:t>
            </w:r>
          </w:p>
        </w:tc>
        <w:tc>
          <w:tcPr>
            <w:tcW w:w="1134" w:type="dxa"/>
            <w:shd w:val="clear" w:color="000000" w:fill="FFFFFF"/>
            <w:vAlign w:val="center"/>
            <w:hideMark/>
          </w:tcPr>
          <w:p w14:paraId="1F2BCAE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48,727.25</w:t>
            </w:r>
          </w:p>
        </w:tc>
        <w:tc>
          <w:tcPr>
            <w:tcW w:w="1134" w:type="dxa"/>
            <w:shd w:val="clear" w:color="000000" w:fill="FFFFFF"/>
            <w:vAlign w:val="center"/>
            <w:hideMark/>
          </w:tcPr>
          <w:p w14:paraId="6E137128"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48,727.25</w:t>
            </w:r>
          </w:p>
        </w:tc>
        <w:tc>
          <w:tcPr>
            <w:tcW w:w="1134" w:type="dxa"/>
            <w:shd w:val="clear" w:color="000000" w:fill="FFFFFF"/>
            <w:vAlign w:val="center"/>
            <w:hideMark/>
          </w:tcPr>
          <w:p w14:paraId="7AE8EDA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48,727.25</w:t>
            </w:r>
          </w:p>
        </w:tc>
        <w:tc>
          <w:tcPr>
            <w:tcW w:w="1134" w:type="dxa"/>
            <w:shd w:val="clear" w:color="000000" w:fill="FFFFFF"/>
            <w:vAlign w:val="center"/>
            <w:hideMark/>
          </w:tcPr>
          <w:p w14:paraId="54F350D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48,727.25</w:t>
            </w:r>
          </w:p>
        </w:tc>
      </w:tr>
      <w:tr w:rsidR="004865EF" w:rsidRPr="004865EF" w14:paraId="062BF305" w14:textId="77777777" w:rsidTr="00602898">
        <w:trPr>
          <w:trHeight w:val="397"/>
        </w:trPr>
        <w:tc>
          <w:tcPr>
            <w:tcW w:w="856" w:type="dxa"/>
            <w:shd w:val="clear" w:color="000000" w:fill="FFFFFF"/>
            <w:vAlign w:val="center"/>
            <w:hideMark/>
          </w:tcPr>
          <w:p w14:paraId="1F5294D6"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w:t>
            </w:r>
          </w:p>
        </w:tc>
        <w:tc>
          <w:tcPr>
            <w:tcW w:w="1843" w:type="dxa"/>
            <w:shd w:val="clear" w:color="000000" w:fill="FFFFFF"/>
            <w:vAlign w:val="center"/>
            <w:hideMark/>
          </w:tcPr>
          <w:p w14:paraId="3E24961B"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所得税</w:t>
            </w:r>
          </w:p>
        </w:tc>
        <w:tc>
          <w:tcPr>
            <w:tcW w:w="1134" w:type="dxa"/>
            <w:shd w:val="clear" w:color="000000" w:fill="FFFFFF"/>
            <w:vAlign w:val="center"/>
            <w:hideMark/>
          </w:tcPr>
          <w:p w14:paraId="1C9F64C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1,306.21</w:t>
            </w:r>
          </w:p>
        </w:tc>
        <w:tc>
          <w:tcPr>
            <w:tcW w:w="1134" w:type="dxa"/>
            <w:shd w:val="clear" w:color="000000" w:fill="FFFFFF"/>
            <w:vAlign w:val="center"/>
            <w:hideMark/>
          </w:tcPr>
          <w:p w14:paraId="29E9C70A"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1,936.35</w:t>
            </w:r>
          </w:p>
        </w:tc>
        <w:tc>
          <w:tcPr>
            <w:tcW w:w="1134" w:type="dxa"/>
            <w:shd w:val="clear" w:color="000000" w:fill="FFFFFF"/>
            <w:vAlign w:val="center"/>
            <w:hideMark/>
          </w:tcPr>
          <w:p w14:paraId="08858C9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6,531.10</w:t>
            </w:r>
          </w:p>
        </w:tc>
        <w:tc>
          <w:tcPr>
            <w:tcW w:w="1134" w:type="dxa"/>
            <w:shd w:val="clear" w:color="000000" w:fill="FFFFFF"/>
            <w:vAlign w:val="center"/>
            <w:hideMark/>
          </w:tcPr>
          <w:p w14:paraId="066E90E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7,309.09</w:t>
            </w:r>
          </w:p>
        </w:tc>
        <w:tc>
          <w:tcPr>
            <w:tcW w:w="1134" w:type="dxa"/>
            <w:shd w:val="clear" w:color="000000" w:fill="FFFFFF"/>
            <w:vAlign w:val="center"/>
            <w:hideMark/>
          </w:tcPr>
          <w:p w14:paraId="5AB911C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7,309.09</w:t>
            </w:r>
          </w:p>
        </w:tc>
        <w:tc>
          <w:tcPr>
            <w:tcW w:w="1134" w:type="dxa"/>
            <w:shd w:val="clear" w:color="000000" w:fill="FFFFFF"/>
            <w:vAlign w:val="center"/>
            <w:hideMark/>
          </w:tcPr>
          <w:p w14:paraId="08EB094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7,309.09</w:t>
            </w:r>
          </w:p>
        </w:tc>
        <w:tc>
          <w:tcPr>
            <w:tcW w:w="1134" w:type="dxa"/>
            <w:shd w:val="clear" w:color="000000" w:fill="FFFFFF"/>
            <w:vAlign w:val="center"/>
            <w:hideMark/>
          </w:tcPr>
          <w:p w14:paraId="3BCFE5C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7,309.09</w:t>
            </w:r>
          </w:p>
        </w:tc>
        <w:tc>
          <w:tcPr>
            <w:tcW w:w="1134" w:type="dxa"/>
            <w:shd w:val="clear" w:color="000000" w:fill="FFFFFF"/>
            <w:vAlign w:val="center"/>
            <w:hideMark/>
          </w:tcPr>
          <w:p w14:paraId="31AEB5D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7,309.09</w:t>
            </w:r>
          </w:p>
        </w:tc>
        <w:tc>
          <w:tcPr>
            <w:tcW w:w="1134" w:type="dxa"/>
            <w:shd w:val="clear" w:color="000000" w:fill="FFFFFF"/>
            <w:vAlign w:val="center"/>
            <w:hideMark/>
          </w:tcPr>
          <w:p w14:paraId="1683F6CB"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7,309.09</w:t>
            </w:r>
          </w:p>
        </w:tc>
        <w:tc>
          <w:tcPr>
            <w:tcW w:w="1134" w:type="dxa"/>
            <w:shd w:val="clear" w:color="000000" w:fill="FFFFFF"/>
            <w:vAlign w:val="center"/>
            <w:hideMark/>
          </w:tcPr>
          <w:p w14:paraId="5F9F87D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7,309.09</w:t>
            </w:r>
          </w:p>
        </w:tc>
      </w:tr>
      <w:tr w:rsidR="004865EF" w:rsidRPr="004865EF" w14:paraId="02CDBCC0" w14:textId="77777777" w:rsidTr="00602898">
        <w:trPr>
          <w:trHeight w:val="397"/>
        </w:trPr>
        <w:tc>
          <w:tcPr>
            <w:tcW w:w="856" w:type="dxa"/>
            <w:shd w:val="clear" w:color="000000" w:fill="FFFFFF"/>
            <w:vAlign w:val="center"/>
            <w:hideMark/>
          </w:tcPr>
          <w:p w14:paraId="5F16B01A"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5</w:t>
            </w:r>
          </w:p>
        </w:tc>
        <w:tc>
          <w:tcPr>
            <w:tcW w:w="1843" w:type="dxa"/>
            <w:shd w:val="clear" w:color="000000" w:fill="FFFFFF"/>
            <w:vAlign w:val="center"/>
            <w:hideMark/>
          </w:tcPr>
          <w:p w14:paraId="046EB283"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净利润</w:t>
            </w:r>
          </w:p>
        </w:tc>
        <w:tc>
          <w:tcPr>
            <w:tcW w:w="1134" w:type="dxa"/>
            <w:shd w:val="clear" w:color="000000" w:fill="FFFFFF"/>
            <w:vAlign w:val="center"/>
            <w:hideMark/>
          </w:tcPr>
          <w:p w14:paraId="25C2EFA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3,918.62</w:t>
            </w:r>
          </w:p>
        </w:tc>
        <w:tc>
          <w:tcPr>
            <w:tcW w:w="1134" w:type="dxa"/>
            <w:shd w:val="clear" w:color="000000" w:fill="FFFFFF"/>
            <w:vAlign w:val="center"/>
            <w:hideMark/>
          </w:tcPr>
          <w:p w14:paraId="426FDB7D"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10,972.65</w:t>
            </w:r>
          </w:p>
        </w:tc>
        <w:tc>
          <w:tcPr>
            <w:tcW w:w="1134" w:type="dxa"/>
            <w:shd w:val="clear" w:color="000000" w:fill="FFFFFF"/>
            <w:vAlign w:val="center"/>
            <w:hideMark/>
          </w:tcPr>
          <w:p w14:paraId="584428BE"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37,009.58</w:t>
            </w:r>
          </w:p>
        </w:tc>
        <w:tc>
          <w:tcPr>
            <w:tcW w:w="1134" w:type="dxa"/>
            <w:shd w:val="clear" w:color="000000" w:fill="FFFFFF"/>
            <w:vAlign w:val="center"/>
            <w:hideMark/>
          </w:tcPr>
          <w:p w14:paraId="49DBF52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41,418.16</w:t>
            </w:r>
          </w:p>
        </w:tc>
        <w:tc>
          <w:tcPr>
            <w:tcW w:w="1134" w:type="dxa"/>
            <w:shd w:val="clear" w:color="000000" w:fill="FFFFFF"/>
            <w:vAlign w:val="center"/>
            <w:hideMark/>
          </w:tcPr>
          <w:p w14:paraId="16591491"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41,418.16</w:t>
            </w:r>
          </w:p>
        </w:tc>
        <w:tc>
          <w:tcPr>
            <w:tcW w:w="1134" w:type="dxa"/>
            <w:shd w:val="clear" w:color="000000" w:fill="FFFFFF"/>
            <w:vAlign w:val="center"/>
            <w:hideMark/>
          </w:tcPr>
          <w:p w14:paraId="7276BD03"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41,418.16</w:t>
            </w:r>
          </w:p>
        </w:tc>
        <w:tc>
          <w:tcPr>
            <w:tcW w:w="1134" w:type="dxa"/>
            <w:shd w:val="clear" w:color="000000" w:fill="FFFFFF"/>
            <w:vAlign w:val="center"/>
            <w:hideMark/>
          </w:tcPr>
          <w:p w14:paraId="503E211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41,418.16</w:t>
            </w:r>
          </w:p>
        </w:tc>
        <w:tc>
          <w:tcPr>
            <w:tcW w:w="1134" w:type="dxa"/>
            <w:shd w:val="clear" w:color="000000" w:fill="FFFFFF"/>
            <w:vAlign w:val="center"/>
            <w:hideMark/>
          </w:tcPr>
          <w:p w14:paraId="7A8832B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41,418.16</w:t>
            </w:r>
          </w:p>
        </w:tc>
        <w:tc>
          <w:tcPr>
            <w:tcW w:w="1134" w:type="dxa"/>
            <w:shd w:val="clear" w:color="000000" w:fill="FFFFFF"/>
            <w:vAlign w:val="center"/>
            <w:hideMark/>
          </w:tcPr>
          <w:p w14:paraId="560E7BA2"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41,418.16</w:t>
            </w:r>
          </w:p>
        </w:tc>
        <w:tc>
          <w:tcPr>
            <w:tcW w:w="1134" w:type="dxa"/>
            <w:shd w:val="clear" w:color="000000" w:fill="FFFFFF"/>
            <w:vAlign w:val="center"/>
            <w:hideMark/>
          </w:tcPr>
          <w:p w14:paraId="04A9D7F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41,418.16</w:t>
            </w:r>
          </w:p>
        </w:tc>
      </w:tr>
      <w:tr w:rsidR="004865EF" w:rsidRPr="004865EF" w14:paraId="7CAEA484" w14:textId="77777777" w:rsidTr="00602898">
        <w:trPr>
          <w:trHeight w:val="397"/>
        </w:trPr>
        <w:tc>
          <w:tcPr>
            <w:tcW w:w="856" w:type="dxa"/>
            <w:shd w:val="clear" w:color="000000" w:fill="FFFFFF"/>
            <w:vAlign w:val="center"/>
            <w:hideMark/>
          </w:tcPr>
          <w:p w14:paraId="29CECBD2" w14:textId="77777777" w:rsidR="00602898" w:rsidRPr="004865EF" w:rsidRDefault="00602898" w:rsidP="00602898">
            <w:pPr>
              <w:widowControl/>
              <w:jc w:val="center"/>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6</w:t>
            </w:r>
          </w:p>
        </w:tc>
        <w:tc>
          <w:tcPr>
            <w:tcW w:w="1843" w:type="dxa"/>
            <w:shd w:val="clear" w:color="000000" w:fill="FFFFFF"/>
            <w:vAlign w:val="center"/>
            <w:hideMark/>
          </w:tcPr>
          <w:p w14:paraId="7D6E085C" w14:textId="77777777" w:rsidR="00602898" w:rsidRPr="004865EF" w:rsidRDefault="00602898" w:rsidP="00602898">
            <w:pPr>
              <w:widowControl/>
              <w:jc w:val="left"/>
              <w:rPr>
                <w:rFonts w:ascii="Times New Roman" w:eastAsia="宋体" w:hAnsi="Times New Roman" w:cs="Times New Roman"/>
                <w:bCs/>
                <w:kern w:val="0"/>
                <w:sz w:val="18"/>
                <w:szCs w:val="18"/>
              </w:rPr>
            </w:pPr>
            <w:r w:rsidRPr="004865EF">
              <w:rPr>
                <w:rFonts w:ascii="Times New Roman" w:eastAsia="宋体" w:hAnsi="Times New Roman" w:cs="Times New Roman" w:hint="eastAsia"/>
                <w:bCs/>
                <w:kern w:val="0"/>
                <w:sz w:val="18"/>
                <w:szCs w:val="18"/>
              </w:rPr>
              <w:t>现金净流入</w:t>
            </w:r>
          </w:p>
        </w:tc>
        <w:tc>
          <w:tcPr>
            <w:tcW w:w="1134" w:type="dxa"/>
            <w:shd w:val="clear" w:color="000000" w:fill="FFFFFF"/>
            <w:vAlign w:val="center"/>
            <w:hideMark/>
          </w:tcPr>
          <w:p w14:paraId="0143B6CC"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-154,897.78</w:t>
            </w:r>
          </w:p>
        </w:tc>
        <w:tc>
          <w:tcPr>
            <w:tcW w:w="1134" w:type="dxa"/>
            <w:shd w:val="clear" w:color="000000" w:fill="FFFFFF"/>
            <w:vAlign w:val="center"/>
            <w:hideMark/>
          </w:tcPr>
          <w:p w14:paraId="1DC86FE0"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-21,174.40</w:t>
            </w:r>
          </w:p>
        </w:tc>
        <w:tc>
          <w:tcPr>
            <w:tcW w:w="1134" w:type="dxa"/>
            <w:shd w:val="clear" w:color="000000" w:fill="FFFFFF"/>
            <w:vAlign w:val="center"/>
            <w:hideMark/>
          </w:tcPr>
          <w:p w14:paraId="2D78ADF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71,267.53</w:t>
            </w:r>
          </w:p>
        </w:tc>
        <w:tc>
          <w:tcPr>
            <w:tcW w:w="1134" w:type="dxa"/>
            <w:shd w:val="clear" w:color="000000" w:fill="FFFFFF"/>
            <w:vAlign w:val="center"/>
            <w:hideMark/>
          </w:tcPr>
          <w:p w14:paraId="09B65D39"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75,676.12</w:t>
            </w:r>
          </w:p>
        </w:tc>
        <w:tc>
          <w:tcPr>
            <w:tcW w:w="1134" w:type="dxa"/>
            <w:shd w:val="clear" w:color="000000" w:fill="FFFFFF"/>
            <w:vAlign w:val="center"/>
            <w:hideMark/>
          </w:tcPr>
          <w:p w14:paraId="3422FAE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75,676.12</w:t>
            </w:r>
          </w:p>
        </w:tc>
        <w:tc>
          <w:tcPr>
            <w:tcW w:w="1134" w:type="dxa"/>
            <w:shd w:val="clear" w:color="000000" w:fill="FFFFFF"/>
            <w:vAlign w:val="center"/>
            <w:hideMark/>
          </w:tcPr>
          <w:p w14:paraId="3D016CE4"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75,676.12</w:t>
            </w:r>
          </w:p>
        </w:tc>
        <w:tc>
          <w:tcPr>
            <w:tcW w:w="1134" w:type="dxa"/>
            <w:shd w:val="clear" w:color="000000" w:fill="FFFFFF"/>
            <w:vAlign w:val="center"/>
            <w:hideMark/>
          </w:tcPr>
          <w:p w14:paraId="7ABB42A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75,676.12</w:t>
            </w:r>
          </w:p>
        </w:tc>
        <w:tc>
          <w:tcPr>
            <w:tcW w:w="1134" w:type="dxa"/>
            <w:shd w:val="clear" w:color="000000" w:fill="FFFFFF"/>
            <w:vAlign w:val="center"/>
            <w:hideMark/>
          </w:tcPr>
          <w:p w14:paraId="7CF8DE66"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75,676.12</w:t>
            </w:r>
          </w:p>
        </w:tc>
        <w:tc>
          <w:tcPr>
            <w:tcW w:w="1134" w:type="dxa"/>
            <w:shd w:val="clear" w:color="000000" w:fill="FFFFFF"/>
            <w:vAlign w:val="center"/>
            <w:hideMark/>
          </w:tcPr>
          <w:p w14:paraId="7278F83F"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75,676.12</w:t>
            </w:r>
          </w:p>
        </w:tc>
        <w:tc>
          <w:tcPr>
            <w:tcW w:w="1134" w:type="dxa"/>
            <w:shd w:val="clear" w:color="000000" w:fill="FFFFFF"/>
            <w:vAlign w:val="center"/>
            <w:hideMark/>
          </w:tcPr>
          <w:p w14:paraId="25D87935" w14:textId="77777777" w:rsidR="00602898" w:rsidRPr="004865EF" w:rsidRDefault="00602898" w:rsidP="00602898">
            <w:pPr>
              <w:widowControl/>
              <w:jc w:val="right"/>
              <w:rPr>
                <w:rFonts w:ascii="Times New Roman" w:eastAsia="宋体" w:hAnsi="Times New Roman" w:cs="Times New Roman"/>
                <w:bCs/>
                <w:kern w:val="0"/>
                <w:sz w:val="18"/>
                <w:szCs w:val="18"/>
              </w:rPr>
            </w:pPr>
            <w:r w:rsidRPr="004865EF">
              <w:rPr>
                <w:rFonts w:ascii="Times New Roman" w:eastAsia="宋体" w:hAnsi="Times New Roman" w:cs="Times New Roman"/>
                <w:bCs/>
                <w:kern w:val="0"/>
                <w:sz w:val="18"/>
                <w:szCs w:val="18"/>
              </w:rPr>
              <w:t>75,676.12</w:t>
            </w:r>
          </w:p>
        </w:tc>
      </w:tr>
    </w:tbl>
    <w:p w14:paraId="038ADFF5" w14:textId="16255AC2" w:rsidR="00602898" w:rsidRPr="004865EF" w:rsidRDefault="00602898" w:rsidP="00E87AF9">
      <w:pPr>
        <w:spacing w:beforeLines="50" w:before="156" w:line="360" w:lineRule="auto"/>
        <w:ind w:firstLineChars="200" w:firstLine="480"/>
        <w:rPr>
          <w:rFonts w:ascii="Times New Roman" w:eastAsia="宋体" w:hAnsi="Times New Roman" w:cs="Times New Roman"/>
          <w:bCs/>
          <w:sz w:val="24"/>
        </w:rPr>
      </w:pPr>
      <w:r w:rsidRPr="004865EF">
        <w:rPr>
          <w:rFonts w:ascii="Times New Roman" w:eastAsia="宋体" w:hAnsi="Times New Roman" w:cs="Times New Roman" w:hint="eastAsia"/>
          <w:bCs/>
          <w:sz w:val="24"/>
        </w:rPr>
        <w:t>项目测算第</w:t>
      </w:r>
      <w:r w:rsidRPr="004865EF">
        <w:rPr>
          <w:rFonts w:ascii="Times New Roman" w:eastAsia="宋体" w:hAnsi="Times New Roman" w:cs="Times New Roman"/>
          <w:bCs/>
          <w:sz w:val="24"/>
        </w:rPr>
        <w:t>1</w:t>
      </w:r>
      <w:r w:rsidRPr="004865EF">
        <w:rPr>
          <w:rFonts w:ascii="Times New Roman" w:eastAsia="宋体" w:hAnsi="Times New Roman" w:cs="Times New Roman" w:hint="eastAsia"/>
          <w:bCs/>
          <w:sz w:val="24"/>
        </w:rPr>
        <w:t>年产能利用率为</w:t>
      </w:r>
      <w:r w:rsidR="00BF465C" w:rsidRPr="004865EF">
        <w:rPr>
          <w:rFonts w:ascii="Times New Roman" w:eastAsia="宋体" w:hAnsi="Times New Roman" w:cs="Times New Roman"/>
          <w:bCs/>
          <w:sz w:val="24"/>
        </w:rPr>
        <w:t>18.75</w:t>
      </w:r>
      <w:r w:rsidRPr="004865EF">
        <w:rPr>
          <w:rFonts w:ascii="Times New Roman" w:eastAsia="宋体" w:hAnsi="Times New Roman" w:cs="Times New Roman"/>
          <w:bCs/>
          <w:sz w:val="24"/>
        </w:rPr>
        <w:t>%</w:t>
      </w:r>
      <w:r w:rsidRPr="004865EF">
        <w:rPr>
          <w:rFonts w:ascii="Times New Roman" w:eastAsia="宋体" w:hAnsi="Times New Roman" w:cs="Times New Roman" w:hint="eastAsia"/>
          <w:bCs/>
          <w:sz w:val="24"/>
        </w:rPr>
        <w:t>，第</w:t>
      </w:r>
      <w:r w:rsidRPr="004865EF">
        <w:rPr>
          <w:rFonts w:ascii="Times New Roman" w:eastAsia="宋体" w:hAnsi="Times New Roman" w:cs="Times New Roman"/>
          <w:bCs/>
          <w:sz w:val="24"/>
        </w:rPr>
        <w:t>2</w:t>
      </w:r>
      <w:r w:rsidRPr="004865EF">
        <w:rPr>
          <w:rFonts w:ascii="Times New Roman" w:eastAsia="宋体" w:hAnsi="Times New Roman" w:cs="Times New Roman" w:hint="eastAsia"/>
          <w:bCs/>
          <w:sz w:val="24"/>
        </w:rPr>
        <w:t>年产能利用率为</w:t>
      </w:r>
      <w:r w:rsidR="00BF465C" w:rsidRPr="004865EF">
        <w:rPr>
          <w:rFonts w:ascii="Times New Roman" w:eastAsia="宋体" w:hAnsi="Times New Roman" w:cs="Times New Roman"/>
          <w:bCs/>
          <w:sz w:val="24"/>
        </w:rPr>
        <w:t>5</w:t>
      </w:r>
      <w:r w:rsidRPr="004865EF">
        <w:rPr>
          <w:rFonts w:ascii="Times New Roman" w:eastAsia="宋体" w:hAnsi="Times New Roman" w:cs="Times New Roman"/>
          <w:bCs/>
          <w:sz w:val="24"/>
        </w:rPr>
        <w:t>0.00%</w:t>
      </w:r>
      <w:r w:rsidRPr="004865EF">
        <w:rPr>
          <w:rFonts w:ascii="Times New Roman" w:eastAsia="宋体" w:hAnsi="Times New Roman" w:cs="Times New Roman" w:hint="eastAsia"/>
          <w:bCs/>
          <w:sz w:val="24"/>
        </w:rPr>
        <w:t>，</w:t>
      </w:r>
      <w:r w:rsidR="00BF465C" w:rsidRPr="004865EF">
        <w:rPr>
          <w:rFonts w:ascii="Times New Roman" w:eastAsia="宋体" w:hAnsi="Times New Roman" w:cs="Times New Roman" w:hint="eastAsia"/>
          <w:bCs/>
          <w:sz w:val="24"/>
        </w:rPr>
        <w:t>第</w:t>
      </w:r>
      <w:r w:rsidR="001520FD" w:rsidRPr="004865EF">
        <w:rPr>
          <w:rFonts w:ascii="Times New Roman" w:eastAsia="宋体" w:hAnsi="Times New Roman" w:cs="Times New Roman"/>
          <w:bCs/>
          <w:sz w:val="24"/>
        </w:rPr>
        <w:t>3</w:t>
      </w:r>
      <w:r w:rsidR="00BF465C" w:rsidRPr="004865EF">
        <w:rPr>
          <w:rFonts w:ascii="Times New Roman" w:eastAsia="宋体" w:hAnsi="Times New Roman" w:cs="Times New Roman" w:hint="eastAsia"/>
          <w:bCs/>
          <w:sz w:val="24"/>
        </w:rPr>
        <w:t>年产能利用率为</w:t>
      </w:r>
      <w:r w:rsidR="00BF465C" w:rsidRPr="004865EF">
        <w:rPr>
          <w:rFonts w:ascii="Times New Roman" w:eastAsia="宋体" w:hAnsi="Times New Roman" w:cs="Times New Roman" w:hint="eastAsia"/>
          <w:bCs/>
          <w:sz w:val="24"/>
        </w:rPr>
        <w:t>93.75</w:t>
      </w:r>
      <w:r w:rsidR="00BF465C" w:rsidRPr="004865EF">
        <w:rPr>
          <w:rFonts w:ascii="Times New Roman" w:eastAsia="宋体" w:hAnsi="Times New Roman" w:cs="Times New Roman"/>
          <w:bCs/>
          <w:sz w:val="24"/>
        </w:rPr>
        <w:t>%</w:t>
      </w:r>
      <w:r w:rsidR="00BF465C" w:rsidRPr="004865EF">
        <w:rPr>
          <w:rFonts w:ascii="Times New Roman" w:eastAsia="宋体" w:hAnsi="Times New Roman" w:cs="Times New Roman"/>
          <w:bCs/>
          <w:sz w:val="24"/>
        </w:rPr>
        <w:t>，</w:t>
      </w:r>
      <w:r w:rsidRPr="004865EF">
        <w:rPr>
          <w:rFonts w:ascii="Times New Roman" w:eastAsia="宋体" w:hAnsi="Times New Roman" w:cs="Times New Roman" w:hint="eastAsia"/>
          <w:bCs/>
          <w:sz w:val="24"/>
        </w:rPr>
        <w:t>从第</w:t>
      </w:r>
      <w:r w:rsidR="00BF465C" w:rsidRPr="004865EF">
        <w:rPr>
          <w:rFonts w:ascii="Times New Roman" w:eastAsia="宋体" w:hAnsi="Times New Roman" w:cs="Times New Roman" w:hint="eastAsia"/>
          <w:bCs/>
          <w:sz w:val="24"/>
        </w:rPr>
        <w:t>4</w:t>
      </w:r>
      <w:r w:rsidRPr="004865EF">
        <w:rPr>
          <w:rFonts w:ascii="Times New Roman" w:eastAsia="宋体" w:hAnsi="Times New Roman" w:cs="Times New Roman" w:hint="eastAsia"/>
          <w:bCs/>
          <w:sz w:val="24"/>
        </w:rPr>
        <w:t>年至第</w:t>
      </w:r>
      <w:r w:rsidRPr="004865EF">
        <w:rPr>
          <w:rFonts w:ascii="Times New Roman" w:eastAsia="宋体" w:hAnsi="Times New Roman" w:cs="Times New Roman"/>
          <w:bCs/>
          <w:sz w:val="24"/>
        </w:rPr>
        <w:t>10</w:t>
      </w:r>
      <w:r w:rsidRPr="004865EF">
        <w:rPr>
          <w:rFonts w:ascii="Times New Roman" w:eastAsia="宋体" w:hAnsi="Times New Roman" w:cs="Times New Roman" w:hint="eastAsia"/>
          <w:bCs/>
          <w:sz w:val="24"/>
        </w:rPr>
        <w:t>年为稳定运营期，产能利用率为</w:t>
      </w:r>
      <w:r w:rsidRPr="004865EF">
        <w:rPr>
          <w:rFonts w:ascii="Times New Roman" w:eastAsia="宋体" w:hAnsi="Times New Roman" w:cs="Times New Roman"/>
          <w:bCs/>
          <w:sz w:val="24"/>
        </w:rPr>
        <w:t>100.00%</w:t>
      </w:r>
      <w:r w:rsidRPr="004865EF">
        <w:rPr>
          <w:rFonts w:ascii="Times New Roman" w:eastAsia="宋体" w:hAnsi="Times New Roman" w:cs="Times New Roman" w:hint="eastAsia"/>
          <w:bCs/>
          <w:sz w:val="24"/>
        </w:rPr>
        <w:t>，单机柜年度收入预测参考公司目前同功率机柜租金水平确定，运营期内保持稳定。</w:t>
      </w:r>
    </w:p>
    <w:p w14:paraId="4DBA320A" w14:textId="77777777" w:rsidR="001E40E8" w:rsidRPr="004865EF" w:rsidRDefault="001E40E8" w:rsidP="00E87AF9">
      <w:pPr>
        <w:spacing w:beforeLines="50" w:before="156" w:line="360" w:lineRule="auto"/>
        <w:ind w:firstLineChars="200" w:firstLine="480"/>
        <w:rPr>
          <w:rFonts w:ascii="Times New Roman" w:eastAsia="宋体" w:hAnsi="Times New Roman" w:cs="Times New Roman"/>
          <w:bCs/>
          <w:sz w:val="24"/>
        </w:rPr>
        <w:sectPr w:rsidR="001E40E8" w:rsidRPr="004865EF" w:rsidSect="00602898">
          <w:pgSz w:w="16838" w:h="11906" w:orient="landscape"/>
          <w:pgMar w:top="1800" w:right="1440" w:bottom="1800" w:left="1440" w:header="851" w:footer="992" w:gutter="0"/>
          <w:cols w:space="425"/>
          <w:docGrid w:type="lines" w:linePitch="312"/>
        </w:sectPr>
      </w:pPr>
    </w:p>
    <w:p w14:paraId="02770DF8" w14:textId="50EC552A" w:rsidR="00602898" w:rsidRPr="004865EF" w:rsidRDefault="00621617" w:rsidP="00602898">
      <w:pPr>
        <w:spacing w:beforeLines="50" w:before="120" w:afterLines="50" w:after="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lastRenderedPageBreak/>
        <w:t>（五</w:t>
      </w:r>
      <w:r w:rsidR="00633C02" w:rsidRPr="004865EF">
        <w:rPr>
          <w:rFonts w:ascii="Times New Roman" w:eastAsia="宋体" w:hAnsi="Times New Roman" w:cs="Times New Roman" w:hint="eastAsia"/>
          <w:sz w:val="24"/>
        </w:rPr>
        <w:t>）</w:t>
      </w:r>
      <w:r w:rsidR="00602898" w:rsidRPr="004865EF">
        <w:rPr>
          <w:rFonts w:ascii="Times New Roman" w:eastAsia="宋体" w:hAnsi="Times New Roman" w:cs="Times New Roman"/>
          <w:sz w:val="24"/>
        </w:rPr>
        <w:t>效益测算合理性分析</w:t>
      </w:r>
    </w:p>
    <w:p w14:paraId="7307E5FC" w14:textId="1B0540C2" w:rsidR="00593D63" w:rsidRPr="004865EF" w:rsidRDefault="00593D63" w:rsidP="00FE02AF">
      <w:pPr>
        <w:spacing w:beforeLines="50" w:before="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1、销售单价预测的合理性</w:t>
      </w:r>
    </w:p>
    <w:p w14:paraId="110ED881" w14:textId="77777777" w:rsidR="00593D63" w:rsidRPr="004865EF" w:rsidRDefault="00593D63" w:rsidP="00FE02AF">
      <w:pPr>
        <w:spacing w:beforeLines="50" w:before="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2019年度，公司不同电量机柜的合同销售单价如下：</w:t>
      </w:r>
    </w:p>
    <w:tbl>
      <w:tblPr>
        <w:tblW w:w="4971" w:type="pct"/>
        <w:tblLook w:val="04A0" w:firstRow="1" w:lastRow="0" w:firstColumn="1" w:lastColumn="0" w:noHBand="0" w:noVBand="1"/>
      </w:tblPr>
      <w:tblGrid>
        <w:gridCol w:w="4218"/>
        <w:gridCol w:w="4255"/>
      </w:tblGrid>
      <w:tr w:rsidR="004865EF" w:rsidRPr="004865EF" w14:paraId="398BE6E9" w14:textId="77777777" w:rsidTr="00FE02AF">
        <w:trPr>
          <w:trHeight w:val="397"/>
        </w:trPr>
        <w:tc>
          <w:tcPr>
            <w:tcW w:w="2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48C2F" w14:textId="77777777" w:rsidR="00593D63" w:rsidRPr="004865EF" w:rsidRDefault="00593D63" w:rsidP="00593D63">
            <w:pPr>
              <w:jc w:val="center"/>
              <w:rPr>
                <w:rFonts w:ascii="楷体" w:eastAsia="楷体" w:hAnsi="楷体" w:cs="Times New Roman"/>
                <w:b/>
                <w:bCs/>
                <w:szCs w:val="22"/>
              </w:rPr>
            </w:pPr>
            <w:r w:rsidRPr="004865EF">
              <w:rPr>
                <w:rFonts w:ascii="楷体" w:eastAsia="楷体" w:hAnsi="楷体" w:cs="Times New Roman" w:hint="eastAsia"/>
                <w:b/>
                <w:bCs/>
                <w:szCs w:val="22"/>
              </w:rPr>
              <w:t>机柜电量</w:t>
            </w:r>
          </w:p>
        </w:tc>
        <w:tc>
          <w:tcPr>
            <w:tcW w:w="2511" w:type="pct"/>
            <w:tcBorders>
              <w:top w:val="single" w:sz="4" w:space="0" w:color="auto"/>
              <w:left w:val="nil"/>
              <w:bottom w:val="single" w:sz="4" w:space="0" w:color="auto"/>
              <w:right w:val="single" w:sz="4" w:space="0" w:color="auto"/>
            </w:tcBorders>
            <w:shd w:val="clear" w:color="auto" w:fill="auto"/>
            <w:noWrap/>
            <w:vAlign w:val="center"/>
            <w:hideMark/>
          </w:tcPr>
          <w:p w14:paraId="3AD286D8" w14:textId="30C2D931" w:rsidR="00593D63" w:rsidRPr="004865EF" w:rsidRDefault="00593D63" w:rsidP="00593D63">
            <w:pPr>
              <w:jc w:val="center"/>
              <w:rPr>
                <w:rFonts w:ascii="楷体" w:eastAsia="楷体" w:hAnsi="楷体" w:cs="Times New Roman"/>
                <w:b/>
                <w:bCs/>
                <w:szCs w:val="22"/>
              </w:rPr>
            </w:pPr>
            <w:r w:rsidRPr="004865EF">
              <w:rPr>
                <w:rFonts w:ascii="楷体" w:eastAsia="楷体" w:hAnsi="楷体" w:cs="Times New Roman" w:hint="eastAsia"/>
                <w:b/>
                <w:bCs/>
                <w:szCs w:val="22"/>
              </w:rPr>
              <w:t>合同单价（元/月/架）</w:t>
            </w:r>
          </w:p>
        </w:tc>
      </w:tr>
      <w:tr w:rsidR="004865EF" w:rsidRPr="004865EF" w14:paraId="4B6B3E09" w14:textId="77777777" w:rsidTr="00FE02AF">
        <w:trPr>
          <w:trHeight w:val="397"/>
        </w:trPr>
        <w:tc>
          <w:tcPr>
            <w:tcW w:w="2489" w:type="pct"/>
            <w:tcBorders>
              <w:top w:val="nil"/>
              <w:left w:val="single" w:sz="4" w:space="0" w:color="auto"/>
              <w:bottom w:val="single" w:sz="4" w:space="0" w:color="auto"/>
              <w:right w:val="single" w:sz="4" w:space="0" w:color="auto"/>
            </w:tcBorders>
            <w:shd w:val="clear" w:color="auto" w:fill="auto"/>
            <w:noWrap/>
            <w:vAlign w:val="center"/>
            <w:hideMark/>
          </w:tcPr>
          <w:p w14:paraId="472640CD"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10A-15A</w:t>
            </w:r>
          </w:p>
        </w:tc>
        <w:tc>
          <w:tcPr>
            <w:tcW w:w="2511" w:type="pct"/>
            <w:tcBorders>
              <w:top w:val="nil"/>
              <w:left w:val="nil"/>
              <w:bottom w:val="single" w:sz="4" w:space="0" w:color="auto"/>
              <w:right w:val="single" w:sz="4" w:space="0" w:color="auto"/>
            </w:tcBorders>
            <w:shd w:val="clear" w:color="auto" w:fill="auto"/>
            <w:noWrap/>
            <w:vAlign w:val="center"/>
            <w:hideMark/>
          </w:tcPr>
          <w:p w14:paraId="2190CF3E"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3,880-6,666</w:t>
            </w:r>
          </w:p>
        </w:tc>
      </w:tr>
      <w:tr w:rsidR="004865EF" w:rsidRPr="004865EF" w14:paraId="2E6BB3F5" w14:textId="77777777" w:rsidTr="00FE02AF">
        <w:trPr>
          <w:trHeight w:val="397"/>
        </w:trPr>
        <w:tc>
          <w:tcPr>
            <w:tcW w:w="2489" w:type="pct"/>
            <w:tcBorders>
              <w:top w:val="nil"/>
              <w:left w:val="single" w:sz="4" w:space="0" w:color="auto"/>
              <w:bottom w:val="single" w:sz="4" w:space="0" w:color="auto"/>
              <w:right w:val="single" w:sz="4" w:space="0" w:color="auto"/>
            </w:tcBorders>
            <w:shd w:val="clear" w:color="auto" w:fill="auto"/>
            <w:noWrap/>
            <w:vAlign w:val="center"/>
            <w:hideMark/>
          </w:tcPr>
          <w:p w14:paraId="6C37C82B"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16A-20A</w:t>
            </w:r>
          </w:p>
        </w:tc>
        <w:tc>
          <w:tcPr>
            <w:tcW w:w="2511" w:type="pct"/>
            <w:tcBorders>
              <w:top w:val="nil"/>
              <w:left w:val="nil"/>
              <w:bottom w:val="single" w:sz="4" w:space="0" w:color="auto"/>
              <w:right w:val="single" w:sz="4" w:space="0" w:color="auto"/>
            </w:tcBorders>
            <w:shd w:val="clear" w:color="auto" w:fill="auto"/>
            <w:noWrap/>
            <w:vAlign w:val="center"/>
            <w:hideMark/>
          </w:tcPr>
          <w:p w14:paraId="3306FEDA"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5,945-8,800</w:t>
            </w:r>
          </w:p>
        </w:tc>
      </w:tr>
      <w:tr w:rsidR="004865EF" w:rsidRPr="004865EF" w14:paraId="4181BC66" w14:textId="77777777" w:rsidTr="00FE02AF">
        <w:trPr>
          <w:trHeight w:val="397"/>
        </w:trPr>
        <w:tc>
          <w:tcPr>
            <w:tcW w:w="2489" w:type="pct"/>
            <w:tcBorders>
              <w:top w:val="nil"/>
              <w:left w:val="single" w:sz="4" w:space="0" w:color="auto"/>
              <w:bottom w:val="single" w:sz="4" w:space="0" w:color="auto"/>
              <w:right w:val="single" w:sz="4" w:space="0" w:color="auto"/>
            </w:tcBorders>
            <w:shd w:val="clear" w:color="auto" w:fill="auto"/>
            <w:noWrap/>
            <w:vAlign w:val="center"/>
            <w:hideMark/>
          </w:tcPr>
          <w:p w14:paraId="74E391C5"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21A-25A</w:t>
            </w:r>
          </w:p>
        </w:tc>
        <w:tc>
          <w:tcPr>
            <w:tcW w:w="2511" w:type="pct"/>
            <w:tcBorders>
              <w:top w:val="nil"/>
              <w:left w:val="nil"/>
              <w:bottom w:val="single" w:sz="4" w:space="0" w:color="auto"/>
              <w:right w:val="single" w:sz="4" w:space="0" w:color="auto"/>
            </w:tcBorders>
            <w:shd w:val="clear" w:color="auto" w:fill="auto"/>
            <w:noWrap/>
            <w:vAlign w:val="center"/>
            <w:hideMark/>
          </w:tcPr>
          <w:p w14:paraId="595C359D"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6,300-10,833</w:t>
            </w:r>
          </w:p>
        </w:tc>
      </w:tr>
      <w:tr w:rsidR="004865EF" w:rsidRPr="004865EF" w14:paraId="5F534CC1" w14:textId="77777777" w:rsidTr="00FE02AF">
        <w:trPr>
          <w:trHeight w:val="397"/>
        </w:trPr>
        <w:tc>
          <w:tcPr>
            <w:tcW w:w="2489" w:type="pct"/>
            <w:tcBorders>
              <w:top w:val="nil"/>
              <w:left w:val="single" w:sz="4" w:space="0" w:color="auto"/>
              <w:bottom w:val="single" w:sz="4" w:space="0" w:color="auto"/>
              <w:right w:val="single" w:sz="4" w:space="0" w:color="auto"/>
            </w:tcBorders>
            <w:shd w:val="clear" w:color="auto" w:fill="auto"/>
            <w:noWrap/>
            <w:vAlign w:val="center"/>
            <w:hideMark/>
          </w:tcPr>
          <w:p w14:paraId="29257244"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26A-30A</w:t>
            </w:r>
          </w:p>
        </w:tc>
        <w:tc>
          <w:tcPr>
            <w:tcW w:w="2511" w:type="pct"/>
            <w:tcBorders>
              <w:top w:val="nil"/>
              <w:left w:val="nil"/>
              <w:bottom w:val="single" w:sz="4" w:space="0" w:color="auto"/>
              <w:right w:val="single" w:sz="4" w:space="0" w:color="auto"/>
            </w:tcBorders>
            <w:shd w:val="clear" w:color="auto" w:fill="auto"/>
            <w:noWrap/>
            <w:vAlign w:val="center"/>
            <w:hideMark/>
          </w:tcPr>
          <w:p w14:paraId="1C9D730C"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7,600-8,110</w:t>
            </w:r>
          </w:p>
        </w:tc>
      </w:tr>
      <w:tr w:rsidR="004865EF" w:rsidRPr="004865EF" w14:paraId="31138DCD" w14:textId="77777777" w:rsidTr="00FE02AF">
        <w:trPr>
          <w:trHeight w:val="397"/>
        </w:trPr>
        <w:tc>
          <w:tcPr>
            <w:tcW w:w="2489" w:type="pct"/>
            <w:tcBorders>
              <w:top w:val="nil"/>
              <w:left w:val="single" w:sz="4" w:space="0" w:color="auto"/>
              <w:bottom w:val="single" w:sz="4" w:space="0" w:color="auto"/>
              <w:right w:val="single" w:sz="4" w:space="0" w:color="auto"/>
            </w:tcBorders>
            <w:shd w:val="clear" w:color="auto" w:fill="auto"/>
            <w:noWrap/>
            <w:vAlign w:val="center"/>
            <w:hideMark/>
          </w:tcPr>
          <w:p w14:paraId="19B46733"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60A</w:t>
            </w:r>
          </w:p>
        </w:tc>
        <w:tc>
          <w:tcPr>
            <w:tcW w:w="2511" w:type="pct"/>
            <w:tcBorders>
              <w:top w:val="nil"/>
              <w:left w:val="nil"/>
              <w:bottom w:val="single" w:sz="4" w:space="0" w:color="auto"/>
              <w:right w:val="single" w:sz="4" w:space="0" w:color="auto"/>
            </w:tcBorders>
            <w:shd w:val="clear" w:color="auto" w:fill="auto"/>
            <w:noWrap/>
            <w:vAlign w:val="center"/>
            <w:hideMark/>
          </w:tcPr>
          <w:p w14:paraId="38E7D643" w14:textId="77777777" w:rsidR="00593D63" w:rsidRPr="004865EF" w:rsidRDefault="00593D63" w:rsidP="00593D63">
            <w:pPr>
              <w:jc w:val="center"/>
              <w:rPr>
                <w:rFonts w:ascii="楷体" w:eastAsia="楷体" w:hAnsi="楷体" w:cs="Times New Roman"/>
                <w:b/>
                <w:szCs w:val="22"/>
              </w:rPr>
            </w:pPr>
            <w:r w:rsidRPr="004865EF">
              <w:rPr>
                <w:rFonts w:ascii="楷体" w:eastAsia="楷体" w:hAnsi="楷体" w:cs="Times New Roman"/>
                <w:b/>
                <w:szCs w:val="22"/>
              </w:rPr>
              <w:t>17,580</w:t>
            </w:r>
          </w:p>
        </w:tc>
      </w:tr>
    </w:tbl>
    <w:p w14:paraId="5633B38F" w14:textId="0C063829" w:rsidR="00593D63" w:rsidRPr="004865EF" w:rsidRDefault="00593D63" w:rsidP="00FE02AF">
      <w:pPr>
        <w:spacing w:beforeLines="50" w:before="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本次</w:t>
      </w:r>
      <w:proofErr w:type="gramStart"/>
      <w:r w:rsidRPr="004865EF">
        <w:rPr>
          <w:rFonts w:ascii="楷体" w:eastAsia="楷体" w:hAnsi="楷体" w:cs="Times New Roman" w:hint="eastAsia"/>
          <w:b/>
          <w:sz w:val="24"/>
          <w:szCs w:val="22"/>
        </w:rPr>
        <w:t>募投项目</w:t>
      </w:r>
      <w:proofErr w:type="gramEnd"/>
      <w:r w:rsidRPr="004865EF">
        <w:rPr>
          <w:rFonts w:ascii="楷体" w:eastAsia="楷体" w:hAnsi="楷体" w:cs="Times New Roman" w:hint="eastAsia"/>
          <w:b/>
          <w:sz w:val="24"/>
          <w:szCs w:val="22"/>
        </w:rPr>
        <w:t>的规划设计电量为5KW-6KW</w:t>
      </w:r>
      <w:r w:rsidR="000C44C4" w:rsidRPr="004865EF">
        <w:rPr>
          <w:rFonts w:ascii="楷体" w:eastAsia="楷体" w:hAnsi="楷体" w:cs="Times New Roman" w:hint="eastAsia"/>
          <w:b/>
          <w:sz w:val="24"/>
          <w:szCs w:val="22"/>
        </w:rPr>
        <w:t>，对应</w:t>
      </w:r>
      <w:r w:rsidRPr="004865EF">
        <w:rPr>
          <w:rFonts w:ascii="楷体" w:eastAsia="楷体" w:hAnsi="楷体" w:cs="Times New Roman" w:hint="eastAsia"/>
          <w:b/>
          <w:sz w:val="24"/>
          <w:szCs w:val="22"/>
        </w:rPr>
        <w:t>机柜电流为22A-28A，对应上表的合同销售单价区间在</w:t>
      </w:r>
      <w:r w:rsidRPr="004865EF">
        <w:rPr>
          <w:rFonts w:ascii="楷体" w:eastAsia="楷体" w:hAnsi="楷体" w:cs="Times New Roman"/>
          <w:b/>
          <w:sz w:val="24"/>
          <w:szCs w:val="22"/>
        </w:rPr>
        <w:t>6,300-8</w:t>
      </w:r>
      <w:r w:rsidRPr="004865EF">
        <w:rPr>
          <w:rFonts w:ascii="楷体" w:eastAsia="楷体" w:hAnsi="楷体" w:cs="Times New Roman" w:hint="eastAsia"/>
          <w:b/>
          <w:sz w:val="24"/>
          <w:szCs w:val="22"/>
        </w:rPr>
        <w:t>,110元/月/架（</w:t>
      </w:r>
      <w:r w:rsidRPr="004865EF">
        <w:rPr>
          <w:rFonts w:ascii="楷体" w:eastAsia="楷体" w:hAnsi="楷体" w:cs="Times New Roman"/>
          <w:b/>
          <w:sz w:val="24"/>
          <w:szCs w:val="22"/>
        </w:rPr>
        <w:t>21A-25A</w:t>
      </w:r>
      <w:r w:rsidRPr="004865EF">
        <w:rPr>
          <w:rFonts w:ascii="楷体" w:eastAsia="楷体" w:hAnsi="楷体" w:cs="Times New Roman" w:hint="eastAsia"/>
          <w:b/>
          <w:sz w:val="24"/>
          <w:szCs w:val="22"/>
        </w:rPr>
        <w:t>中售价为</w:t>
      </w:r>
      <w:r w:rsidRPr="004865EF">
        <w:rPr>
          <w:rFonts w:ascii="楷体" w:eastAsia="楷体" w:hAnsi="楷体" w:cs="Times New Roman"/>
          <w:b/>
          <w:sz w:val="24"/>
          <w:szCs w:val="22"/>
        </w:rPr>
        <w:t>10,833</w:t>
      </w:r>
      <w:r w:rsidRPr="004865EF">
        <w:rPr>
          <w:rFonts w:ascii="楷体" w:eastAsia="楷体" w:hAnsi="楷体" w:cs="Times New Roman" w:hint="eastAsia"/>
          <w:b/>
          <w:sz w:val="24"/>
          <w:szCs w:val="22"/>
        </w:rPr>
        <w:t>元/月/架的合同不具有代表性，选择性剔除），折合全年售价在7.56-9.73万元/年/架。因此，公司本次效益测算采用的价格，基于项目单机柜电量功率以及公司目前销售单价水平等各方面因素综合确定，具体价格和同行业上市公司效益预测情况对比如下：</w:t>
      </w:r>
    </w:p>
    <w:p w14:paraId="187C56BC" w14:textId="77777777" w:rsidR="00593D63" w:rsidRPr="004865EF" w:rsidRDefault="00593D63" w:rsidP="00FE02AF">
      <w:pPr>
        <w:spacing w:beforeLines="50" w:before="120" w:line="360" w:lineRule="auto"/>
        <w:ind w:firstLineChars="200" w:firstLine="422"/>
        <w:jc w:val="right"/>
        <w:rPr>
          <w:rFonts w:ascii="楷体" w:eastAsia="楷体" w:hAnsi="楷体" w:cs="Times New Roman"/>
          <w:b/>
          <w:szCs w:val="22"/>
        </w:rPr>
      </w:pPr>
      <w:r w:rsidRPr="004865EF">
        <w:rPr>
          <w:rFonts w:ascii="楷体" w:eastAsia="楷体" w:hAnsi="楷体" w:cs="Times New Roman" w:hint="eastAsia"/>
          <w:b/>
          <w:szCs w:val="22"/>
        </w:rPr>
        <w:t>单位：万元</w:t>
      </w:r>
      <w:r w:rsidRPr="004865EF">
        <w:rPr>
          <w:rFonts w:ascii="楷体" w:eastAsia="楷体" w:hAnsi="楷体" w:cs="Times New Roman"/>
          <w:b/>
          <w:szCs w:val="22"/>
        </w:rPr>
        <w:t>/</w:t>
      </w:r>
      <w:r w:rsidRPr="004865EF">
        <w:rPr>
          <w:rFonts w:ascii="楷体" w:eastAsia="楷体" w:hAnsi="楷体" w:cs="Times New Roman" w:hint="eastAsia"/>
          <w:b/>
          <w:szCs w:val="22"/>
        </w:rPr>
        <w:t>年/架</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701"/>
        <w:gridCol w:w="1701"/>
        <w:gridCol w:w="1701"/>
        <w:gridCol w:w="1701"/>
      </w:tblGrid>
      <w:tr w:rsidR="004865EF" w:rsidRPr="004865EF" w14:paraId="70D0BA8B" w14:textId="77777777" w:rsidTr="00593D63">
        <w:trPr>
          <w:trHeight w:val="397"/>
        </w:trPr>
        <w:tc>
          <w:tcPr>
            <w:tcW w:w="1575" w:type="dxa"/>
            <w:shd w:val="clear" w:color="auto" w:fill="auto"/>
            <w:noWrap/>
            <w:vAlign w:val="center"/>
            <w:hideMark/>
          </w:tcPr>
          <w:p w14:paraId="75181F58" w14:textId="77777777" w:rsidR="00593D63" w:rsidRPr="004865EF" w:rsidRDefault="00593D63" w:rsidP="00593D63">
            <w:pPr>
              <w:widowControl/>
              <w:jc w:val="center"/>
              <w:rPr>
                <w:rFonts w:ascii="楷体" w:eastAsia="楷体" w:hAnsi="楷体" w:cs="Times New Roman"/>
                <w:b/>
                <w:bCs/>
                <w:kern w:val="0"/>
                <w:szCs w:val="21"/>
              </w:rPr>
            </w:pPr>
            <w:r w:rsidRPr="004865EF">
              <w:rPr>
                <w:rFonts w:ascii="楷体" w:eastAsia="楷体" w:hAnsi="楷体" w:cs="Times New Roman" w:hint="eastAsia"/>
                <w:b/>
                <w:bCs/>
                <w:kern w:val="0"/>
                <w:szCs w:val="21"/>
              </w:rPr>
              <w:t>项目</w:t>
            </w:r>
          </w:p>
        </w:tc>
        <w:tc>
          <w:tcPr>
            <w:tcW w:w="1701" w:type="dxa"/>
            <w:shd w:val="clear" w:color="auto" w:fill="auto"/>
            <w:noWrap/>
            <w:vAlign w:val="center"/>
            <w:hideMark/>
          </w:tcPr>
          <w:p w14:paraId="397763E3" w14:textId="77777777" w:rsidR="00593D63" w:rsidRPr="004865EF" w:rsidRDefault="00593D63" w:rsidP="00593D63">
            <w:pPr>
              <w:widowControl/>
              <w:jc w:val="center"/>
              <w:rPr>
                <w:rFonts w:ascii="楷体" w:eastAsia="楷体" w:hAnsi="楷体" w:cs="Times New Roman"/>
                <w:b/>
                <w:bCs/>
                <w:kern w:val="0"/>
                <w:szCs w:val="21"/>
              </w:rPr>
            </w:pPr>
            <w:r w:rsidRPr="004865EF">
              <w:rPr>
                <w:rFonts w:ascii="楷体" w:eastAsia="楷体" w:hAnsi="楷体" w:cs="Times New Roman"/>
                <w:b/>
                <w:bCs/>
                <w:kern w:val="0"/>
                <w:szCs w:val="21"/>
              </w:rPr>
              <w:t>4KW</w:t>
            </w:r>
          </w:p>
        </w:tc>
        <w:tc>
          <w:tcPr>
            <w:tcW w:w="1701" w:type="dxa"/>
            <w:shd w:val="clear" w:color="auto" w:fill="auto"/>
            <w:noWrap/>
            <w:vAlign w:val="center"/>
            <w:hideMark/>
          </w:tcPr>
          <w:p w14:paraId="343FCB1D" w14:textId="77777777" w:rsidR="00593D63" w:rsidRPr="004865EF" w:rsidRDefault="00593D63" w:rsidP="00593D63">
            <w:pPr>
              <w:widowControl/>
              <w:jc w:val="center"/>
              <w:rPr>
                <w:rFonts w:ascii="楷体" w:eastAsia="楷体" w:hAnsi="楷体" w:cs="Times New Roman"/>
                <w:b/>
                <w:bCs/>
                <w:kern w:val="0"/>
                <w:szCs w:val="21"/>
              </w:rPr>
            </w:pPr>
            <w:r w:rsidRPr="004865EF">
              <w:rPr>
                <w:rFonts w:ascii="楷体" w:eastAsia="楷体" w:hAnsi="楷体" w:cs="Times New Roman"/>
                <w:b/>
                <w:bCs/>
                <w:kern w:val="0"/>
                <w:szCs w:val="21"/>
              </w:rPr>
              <w:t>5KW</w:t>
            </w:r>
          </w:p>
        </w:tc>
        <w:tc>
          <w:tcPr>
            <w:tcW w:w="1701" w:type="dxa"/>
            <w:shd w:val="clear" w:color="auto" w:fill="auto"/>
            <w:noWrap/>
            <w:vAlign w:val="center"/>
            <w:hideMark/>
          </w:tcPr>
          <w:p w14:paraId="0E5FF499" w14:textId="77777777" w:rsidR="00593D63" w:rsidRPr="004865EF" w:rsidRDefault="00593D63" w:rsidP="00593D63">
            <w:pPr>
              <w:widowControl/>
              <w:jc w:val="center"/>
              <w:rPr>
                <w:rFonts w:ascii="楷体" w:eastAsia="楷体" w:hAnsi="楷体" w:cs="Times New Roman"/>
                <w:b/>
                <w:bCs/>
                <w:kern w:val="0"/>
                <w:szCs w:val="21"/>
              </w:rPr>
            </w:pPr>
            <w:r w:rsidRPr="004865EF">
              <w:rPr>
                <w:rFonts w:ascii="楷体" w:eastAsia="楷体" w:hAnsi="楷体" w:cs="Times New Roman"/>
                <w:b/>
                <w:bCs/>
                <w:kern w:val="0"/>
                <w:szCs w:val="21"/>
              </w:rPr>
              <w:t>6KW</w:t>
            </w:r>
          </w:p>
        </w:tc>
        <w:tc>
          <w:tcPr>
            <w:tcW w:w="1701" w:type="dxa"/>
            <w:shd w:val="clear" w:color="auto" w:fill="auto"/>
            <w:noWrap/>
            <w:vAlign w:val="center"/>
            <w:hideMark/>
          </w:tcPr>
          <w:p w14:paraId="12375BFD" w14:textId="77777777" w:rsidR="00593D63" w:rsidRPr="004865EF" w:rsidRDefault="00593D63" w:rsidP="00593D63">
            <w:pPr>
              <w:widowControl/>
              <w:jc w:val="center"/>
              <w:rPr>
                <w:rFonts w:ascii="楷体" w:eastAsia="楷体" w:hAnsi="楷体" w:cs="Times New Roman"/>
                <w:b/>
                <w:bCs/>
                <w:kern w:val="0"/>
                <w:szCs w:val="21"/>
              </w:rPr>
            </w:pPr>
            <w:r w:rsidRPr="004865EF">
              <w:rPr>
                <w:rFonts w:ascii="楷体" w:eastAsia="楷体" w:hAnsi="楷体" w:cs="Times New Roman"/>
                <w:b/>
                <w:bCs/>
                <w:kern w:val="0"/>
                <w:szCs w:val="21"/>
              </w:rPr>
              <w:t>8KW</w:t>
            </w:r>
          </w:p>
        </w:tc>
      </w:tr>
      <w:tr w:rsidR="004865EF" w:rsidRPr="004865EF" w14:paraId="14A6027A" w14:textId="77777777" w:rsidTr="00593D63">
        <w:trPr>
          <w:trHeight w:val="397"/>
        </w:trPr>
        <w:tc>
          <w:tcPr>
            <w:tcW w:w="1575" w:type="dxa"/>
            <w:shd w:val="clear" w:color="auto" w:fill="auto"/>
            <w:noWrap/>
            <w:vAlign w:val="center"/>
            <w:hideMark/>
          </w:tcPr>
          <w:p w14:paraId="12916B32" w14:textId="77777777" w:rsidR="00593D63" w:rsidRPr="004865EF" w:rsidRDefault="00593D63" w:rsidP="00593D63">
            <w:pPr>
              <w:widowControl/>
              <w:jc w:val="center"/>
              <w:rPr>
                <w:rFonts w:ascii="楷体" w:eastAsia="楷体" w:hAnsi="楷体" w:cs="宋体"/>
                <w:b/>
                <w:kern w:val="0"/>
                <w:sz w:val="22"/>
                <w:szCs w:val="22"/>
              </w:rPr>
            </w:pPr>
            <w:r w:rsidRPr="004865EF">
              <w:rPr>
                <w:rFonts w:ascii="楷体" w:eastAsia="楷体" w:hAnsi="楷体" w:cs="宋体" w:hint="eastAsia"/>
                <w:b/>
                <w:kern w:val="0"/>
                <w:sz w:val="22"/>
                <w:szCs w:val="22"/>
              </w:rPr>
              <w:t>光环新网</w:t>
            </w:r>
          </w:p>
        </w:tc>
        <w:tc>
          <w:tcPr>
            <w:tcW w:w="1701" w:type="dxa"/>
            <w:shd w:val="clear" w:color="auto" w:fill="auto"/>
            <w:noWrap/>
            <w:vAlign w:val="center"/>
            <w:hideMark/>
          </w:tcPr>
          <w:p w14:paraId="6FCA2B03"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39E107BA" w14:textId="77777777" w:rsidR="00593D63" w:rsidRPr="004865EF" w:rsidRDefault="00593D63" w:rsidP="00593D63">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8.00</w:t>
            </w:r>
          </w:p>
        </w:tc>
        <w:tc>
          <w:tcPr>
            <w:tcW w:w="1701" w:type="dxa"/>
            <w:shd w:val="clear" w:color="auto" w:fill="auto"/>
            <w:noWrap/>
            <w:vAlign w:val="center"/>
            <w:hideMark/>
          </w:tcPr>
          <w:p w14:paraId="08F24B28" w14:textId="77777777" w:rsidR="00593D63" w:rsidRPr="004865EF" w:rsidRDefault="00593D63" w:rsidP="00593D63">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9.60</w:t>
            </w:r>
          </w:p>
        </w:tc>
        <w:tc>
          <w:tcPr>
            <w:tcW w:w="1701" w:type="dxa"/>
            <w:shd w:val="clear" w:color="auto" w:fill="auto"/>
            <w:noWrap/>
            <w:vAlign w:val="center"/>
            <w:hideMark/>
          </w:tcPr>
          <w:p w14:paraId="5239F62D" w14:textId="77777777" w:rsidR="00593D63" w:rsidRPr="004865EF" w:rsidRDefault="00593D63" w:rsidP="00593D63">
            <w:pPr>
              <w:widowControl/>
              <w:jc w:val="center"/>
              <w:rPr>
                <w:rFonts w:ascii="楷体" w:eastAsia="楷体" w:hAnsi="楷体" w:cs="Times New Roman"/>
                <w:b/>
                <w:kern w:val="0"/>
                <w:sz w:val="22"/>
                <w:szCs w:val="22"/>
              </w:rPr>
            </w:pPr>
          </w:p>
        </w:tc>
      </w:tr>
      <w:tr w:rsidR="004865EF" w:rsidRPr="004865EF" w14:paraId="2C33EBCB" w14:textId="77777777" w:rsidTr="00593D63">
        <w:trPr>
          <w:trHeight w:val="397"/>
        </w:trPr>
        <w:tc>
          <w:tcPr>
            <w:tcW w:w="1575" w:type="dxa"/>
            <w:shd w:val="clear" w:color="auto" w:fill="auto"/>
            <w:noWrap/>
            <w:vAlign w:val="center"/>
            <w:hideMark/>
          </w:tcPr>
          <w:p w14:paraId="3FB9CBE6" w14:textId="77777777" w:rsidR="00593D63" w:rsidRPr="004865EF" w:rsidRDefault="00593D63" w:rsidP="00593D63">
            <w:pPr>
              <w:widowControl/>
              <w:jc w:val="center"/>
              <w:rPr>
                <w:rFonts w:ascii="楷体" w:eastAsia="楷体" w:hAnsi="楷体" w:cs="宋体"/>
                <w:b/>
                <w:kern w:val="0"/>
                <w:sz w:val="22"/>
                <w:szCs w:val="22"/>
              </w:rPr>
            </w:pPr>
            <w:proofErr w:type="gramStart"/>
            <w:r w:rsidRPr="004865EF">
              <w:rPr>
                <w:rFonts w:ascii="楷体" w:eastAsia="楷体" w:hAnsi="楷体" w:cs="宋体" w:hint="eastAsia"/>
                <w:b/>
                <w:kern w:val="0"/>
                <w:sz w:val="22"/>
                <w:szCs w:val="22"/>
              </w:rPr>
              <w:t>数据港</w:t>
            </w:r>
            <w:proofErr w:type="gramEnd"/>
          </w:p>
        </w:tc>
        <w:tc>
          <w:tcPr>
            <w:tcW w:w="6804" w:type="dxa"/>
            <w:gridSpan w:val="4"/>
            <w:vMerge w:val="restart"/>
            <w:shd w:val="clear" w:color="auto" w:fill="auto"/>
            <w:noWrap/>
            <w:vAlign w:val="center"/>
            <w:hideMark/>
          </w:tcPr>
          <w:p w14:paraId="55D01EA1" w14:textId="77777777" w:rsidR="00593D63" w:rsidRPr="004865EF" w:rsidRDefault="00593D63" w:rsidP="00593D63">
            <w:pPr>
              <w:widowControl/>
              <w:jc w:val="center"/>
              <w:rPr>
                <w:rFonts w:ascii="楷体" w:eastAsia="楷体" w:hAnsi="楷体" w:cs="Times New Roman"/>
                <w:b/>
                <w:kern w:val="0"/>
                <w:sz w:val="22"/>
                <w:szCs w:val="22"/>
              </w:rPr>
            </w:pPr>
            <w:r w:rsidRPr="004865EF">
              <w:rPr>
                <w:rFonts w:ascii="楷体" w:eastAsia="楷体" w:hAnsi="楷体" w:cs="Times New Roman" w:hint="eastAsia"/>
                <w:b/>
                <w:kern w:val="0"/>
                <w:sz w:val="22"/>
                <w:szCs w:val="22"/>
              </w:rPr>
              <w:t>未提供机柜设计功率或销售单价信息</w:t>
            </w:r>
          </w:p>
        </w:tc>
      </w:tr>
      <w:tr w:rsidR="004865EF" w:rsidRPr="004865EF" w14:paraId="084A2C45" w14:textId="77777777" w:rsidTr="00593D63">
        <w:trPr>
          <w:trHeight w:val="397"/>
        </w:trPr>
        <w:tc>
          <w:tcPr>
            <w:tcW w:w="1575" w:type="dxa"/>
            <w:shd w:val="clear" w:color="auto" w:fill="auto"/>
            <w:noWrap/>
            <w:vAlign w:val="center"/>
            <w:hideMark/>
          </w:tcPr>
          <w:p w14:paraId="5EE99466" w14:textId="77777777" w:rsidR="00593D63" w:rsidRPr="004865EF" w:rsidRDefault="00593D63" w:rsidP="00593D63">
            <w:pPr>
              <w:widowControl/>
              <w:jc w:val="center"/>
              <w:rPr>
                <w:rFonts w:ascii="楷体" w:eastAsia="楷体" w:hAnsi="楷体" w:cs="宋体"/>
                <w:b/>
                <w:kern w:val="0"/>
                <w:sz w:val="22"/>
                <w:szCs w:val="22"/>
              </w:rPr>
            </w:pPr>
            <w:r w:rsidRPr="004865EF">
              <w:rPr>
                <w:rFonts w:ascii="楷体" w:eastAsia="楷体" w:hAnsi="楷体" w:cs="宋体" w:hint="eastAsia"/>
                <w:b/>
                <w:kern w:val="0"/>
                <w:sz w:val="22"/>
                <w:szCs w:val="22"/>
              </w:rPr>
              <w:t>宝信软件</w:t>
            </w:r>
          </w:p>
        </w:tc>
        <w:tc>
          <w:tcPr>
            <w:tcW w:w="6804" w:type="dxa"/>
            <w:gridSpan w:val="4"/>
            <w:vMerge/>
            <w:vAlign w:val="center"/>
            <w:hideMark/>
          </w:tcPr>
          <w:p w14:paraId="41EEFC19" w14:textId="77777777" w:rsidR="00593D63" w:rsidRPr="004865EF" w:rsidRDefault="00593D63" w:rsidP="00593D63">
            <w:pPr>
              <w:widowControl/>
              <w:jc w:val="center"/>
              <w:rPr>
                <w:rFonts w:ascii="楷体" w:eastAsia="楷体" w:hAnsi="楷体" w:cs="Times New Roman"/>
                <w:b/>
                <w:kern w:val="0"/>
                <w:sz w:val="22"/>
                <w:szCs w:val="22"/>
              </w:rPr>
            </w:pPr>
          </w:p>
        </w:tc>
      </w:tr>
      <w:tr w:rsidR="004865EF" w:rsidRPr="004865EF" w14:paraId="159DF26F" w14:textId="77777777" w:rsidTr="00593D63">
        <w:trPr>
          <w:trHeight w:val="397"/>
        </w:trPr>
        <w:tc>
          <w:tcPr>
            <w:tcW w:w="1575" w:type="dxa"/>
            <w:shd w:val="clear" w:color="auto" w:fill="auto"/>
            <w:noWrap/>
            <w:vAlign w:val="center"/>
            <w:hideMark/>
          </w:tcPr>
          <w:p w14:paraId="2090F6BC" w14:textId="77777777" w:rsidR="00593D63" w:rsidRPr="004865EF" w:rsidRDefault="00593D63" w:rsidP="00593D63">
            <w:pPr>
              <w:widowControl/>
              <w:jc w:val="center"/>
              <w:rPr>
                <w:rFonts w:ascii="楷体" w:eastAsia="楷体" w:hAnsi="楷体" w:cs="宋体"/>
                <w:b/>
                <w:kern w:val="0"/>
                <w:sz w:val="22"/>
                <w:szCs w:val="22"/>
              </w:rPr>
            </w:pPr>
            <w:proofErr w:type="gramStart"/>
            <w:r w:rsidRPr="004865EF">
              <w:rPr>
                <w:rFonts w:ascii="楷体" w:eastAsia="楷体" w:hAnsi="楷体" w:cs="宋体" w:hint="eastAsia"/>
                <w:b/>
                <w:kern w:val="0"/>
                <w:sz w:val="22"/>
                <w:szCs w:val="22"/>
              </w:rPr>
              <w:t>奥飞数据</w:t>
            </w:r>
            <w:proofErr w:type="gramEnd"/>
          </w:p>
        </w:tc>
        <w:tc>
          <w:tcPr>
            <w:tcW w:w="1701" w:type="dxa"/>
            <w:shd w:val="clear" w:color="auto" w:fill="auto"/>
            <w:noWrap/>
            <w:vAlign w:val="center"/>
            <w:hideMark/>
          </w:tcPr>
          <w:p w14:paraId="74564F74"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2E330815"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76C9D987"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38AB1052" w14:textId="77777777" w:rsidR="00593D63" w:rsidRPr="004865EF" w:rsidRDefault="00593D63" w:rsidP="00593D63">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12.96</w:t>
            </w:r>
          </w:p>
        </w:tc>
      </w:tr>
      <w:tr w:rsidR="004865EF" w:rsidRPr="004865EF" w14:paraId="4B8BA07F" w14:textId="77777777" w:rsidTr="00593D63">
        <w:trPr>
          <w:trHeight w:val="397"/>
        </w:trPr>
        <w:tc>
          <w:tcPr>
            <w:tcW w:w="1575" w:type="dxa"/>
            <w:shd w:val="clear" w:color="auto" w:fill="auto"/>
            <w:noWrap/>
            <w:vAlign w:val="center"/>
            <w:hideMark/>
          </w:tcPr>
          <w:p w14:paraId="676A3B3A" w14:textId="77777777" w:rsidR="00593D63" w:rsidRPr="004865EF" w:rsidRDefault="00593D63" w:rsidP="00593D63">
            <w:pPr>
              <w:widowControl/>
              <w:jc w:val="center"/>
              <w:rPr>
                <w:rFonts w:ascii="楷体" w:eastAsia="楷体" w:hAnsi="楷体" w:cs="宋体"/>
                <w:b/>
                <w:kern w:val="0"/>
                <w:sz w:val="22"/>
                <w:szCs w:val="22"/>
              </w:rPr>
            </w:pPr>
            <w:r w:rsidRPr="004865EF">
              <w:rPr>
                <w:rFonts w:ascii="楷体" w:eastAsia="楷体" w:hAnsi="楷体" w:cs="宋体" w:hint="eastAsia"/>
                <w:b/>
                <w:kern w:val="0"/>
                <w:sz w:val="22"/>
                <w:szCs w:val="22"/>
              </w:rPr>
              <w:t>南兴股份</w:t>
            </w:r>
          </w:p>
        </w:tc>
        <w:tc>
          <w:tcPr>
            <w:tcW w:w="1701" w:type="dxa"/>
            <w:shd w:val="clear" w:color="auto" w:fill="auto"/>
            <w:noWrap/>
            <w:vAlign w:val="center"/>
            <w:hideMark/>
          </w:tcPr>
          <w:p w14:paraId="716F1508" w14:textId="77777777" w:rsidR="00593D63" w:rsidRPr="004865EF" w:rsidRDefault="00593D63" w:rsidP="00593D63">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6.72</w:t>
            </w:r>
          </w:p>
        </w:tc>
        <w:tc>
          <w:tcPr>
            <w:tcW w:w="1701" w:type="dxa"/>
            <w:shd w:val="clear" w:color="auto" w:fill="auto"/>
            <w:noWrap/>
            <w:vAlign w:val="center"/>
            <w:hideMark/>
          </w:tcPr>
          <w:p w14:paraId="4D86C280"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45E0863C"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518A8E8D" w14:textId="77777777" w:rsidR="00593D63" w:rsidRPr="004865EF" w:rsidRDefault="00593D63" w:rsidP="00593D63">
            <w:pPr>
              <w:widowControl/>
              <w:jc w:val="center"/>
              <w:rPr>
                <w:rFonts w:ascii="楷体" w:eastAsia="楷体" w:hAnsi="楷体" w:cs="Times New Roman"/>
                <w:b/>
                <w:kern w:val="0"/>
                <w:sz w:val="22"/>
                <w:szCs w:val="22"/>
              </w:rPr>
            </w:pPr>
          </w:p>
        </w:tc>
      </w:tr>
      <w:tr w:rsidR="004865EF" w:rsidRPr="004865EF" w14:paraId="1A53D2A1" w14:textId="77777777" w:rsidTr="00593D63">
        <w:trPr>
          <w:trHeight w:val="397"/>
        </w:trPr>
        <w:tc>
          <w:tcPr>
            <w:tcW w:w="1575" w:type="dxa"/>
            <w:shd w:val="clear" w:color="auto" w:fill="auto"/>
            <w:noWrap/>
            <w:vAlign w:val="center"/>
            <w:hideMark/>
          </w:tcPr>
          <w:p w14:paraId="469909D8" w14:textId="77777777" w:rsidR="00593D63" w:rsidRPr="004865EF" w:rsidRDefault="00593D63" w:rsidP="00593D63">
            <w:pPr>
              <w:widowControl/>
              <w:jc w:val="center"/>
              <w:rPr>
                <w:rFonts w:ascii="楷体" w:eastAsia="楷体" w:hAnsi="楷体" w:cs="宋体"/>
                <w:b/>
                <w:kern w:val="0"/>
                <w:sz w:val="22"/>
                <w:szCs w:val="22"/>
              </w:rPr>
            </w:pPr>
            <w:r w:rsidRPr="004865EF">
              <w:rPr>
                <w:rFonts w:ascii="楷体" w:eastAsia="楷体" w:hAnsi="楷体" w:cs="宋体" w:hint="eastAsia"/>
                <w:b/>
                <w:kern w:val="0"/>
                <w:sz w:val="22"/>
                <w:szCs w:val="22"/>
              </w:rPr>
              <w:t>证通电子</w:t>
            </w:r>
          </w:p>
        </w:tc>
        <w:tc>
          <w:tcPr>
            <w:tcW w:w="1701" w:type="dxa"/>
            <w:shd w:val="clear" w:color="auto" w:fill="auto"/>
            <w:noWrap/>
            <w:vAlign w:val="center"/>
            <w:hideMark/>
          </w:tcPr>
          <w:p w14:paraId="781B77E9"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50D41AAF" w14:textId="77777777" w:rsidR="00593D63" w:rsidRPr="004865EF" w:rsidRDefault="00593D63" w:rsidP="00593D63">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9.60</w:t>
            </w:r>
          </w:p>
        </w:tc>
        <w:tc>
          <w:tcPr>
            <w:tcW w:w="1701" w:type="dxa"/>
            <w:shd w:val="clear" w:color="auto" w:fill="auto"/>
            <w:noWrap/>
            <w:vAlign w:val="center"/>
            <w:hideMark/>
          </w:tcPr>
          <w:p w14:paraId="74107AC5"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3742D78B" w14:textId="77777777" w:rsidR="00593D63" w:rsidRPr="004865EF" w:rsidRDefault="00593D63" w:rsidP="00593D63">
            <w:pPr>
              <w:widowControl/>
              <w:jc w:val="center"/>
              <w:rPr>
                <w:rFonts w:ascii="楷体" w:eastAsia="楷体" w:hAnsi="楷体" w:cs="Times New Roman"/>
                <w:b/>
                <w:kern w:val="0"/>
                <w:sz w:val="22"/>
                <w:szCs w:val="22"/>
              </w:rPr>
            </w:pPr>
          </w:p>
        </w:tc>
      </w:tr>
      <w:tr w:rsidR="004865EF" w:rsidRPr="004865EF" w14:paraId="1152A4CD" w14:textId="77777777" w:rsidTr="00593D63">
        <w:trPr>
          <w:trHeight w:val="397"/>
        </w:trPr>
        <w:tc>
          <w:tcPr>
            <w:tcW w:w="1575" w:type="dxa"/>
            <w:shd w:val="clear" w:color="auto" w:fill="auto"/>
            <w:noWrap/>
            <w:vAlign w:val="center"/>
            <w:hideMark/>
          </w:tcPr>
          <w:p w14:paraId="1CC429E1" w14:textId="77777777" w:rsidR="00593D63" w:rsidRPr="004865EF" w:rsidRDefault="00593D63" w:rsidP="00593D63">
            <w:pPr>
              <w:widowControl/>
              <w:jc w:val="center"/>
              <w:rPr>
                <w:rFonts w:ascii="楷体" w:eastAsia="楷体" w:hAnsi="楷体" w:cs="宋体"/>
                <w:b/>
                <w:kern w:val="0"/>
                <w:sz w:val="22"/>
                <w:szCs w:val="22"/>
              </w:rPr>
            </w:pPr>
            <w:r w:rsidRPr="004865EF">
              <w:rPr>
                <w:rFonts w:ascii="楷体" w:eastAsia="楷体" w:hAnsi="楷体" w:cs="宋体" w:hint="eastAsia"/>
                <w:b/>
                <w:kern w:val="0"/>
                <w:sz w:val="22"/>
                <w:szCs w:val="22"/>
              </w:rPr>
              <w:t>广东</w:t>
            </w:r>
            <w:proofErr w:type="gramStart"/>
            <w:r w:rsidRPr="004865EF">
              <w:rPr>
                <w:rFonts w:ascii="楷体" w:eastAsia="楷体" w:hAnsi="楷体" w:cs="宋体" w:hint="eastAsia"/>
                <w:b/>
                <w:kern w:val="0"/>
                <w:sz w:val="22"/>
                <w:szCs w:val="22"/>
              </w:rPr>
              <w:t>榕</w:t>
            </w:r>
            <w:proofErr w:type="gramEnd"/>
            <w:r w:rsidRPr="004865EF">
              <w:rPr>
                <w:rFonts w:ascii="楷体" w:eastAsia="楷体" w:hAnsi="楷体" w:cs="宋体" w:hint="eastAsia"/>
                <w:b/>
                <w:kern w:val="0"/>
                <w:sz w:val="22"/>
                <w:szCs w:val="22"/>
              </w:rPr>
              <w:t>泰</w:t>
            </w:r>
          </w:p>
        </w:tc>
        <w:tc>
          <w:tcPr>
            <w:tcW w:w="1701" w:type="dxa"/>
            <w:shd w:val="clear" w:color="auto" w:fill="auto"/>
            <w:noWrap/>
            <w:vAlign w:val="center"/>
            <w:hideMark/>
          </w:tcPr>
          <w:p w14:paraId="2C8769D7"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61F4336C" w14:textId="77777777" w:rsidR="00593D63" w:rsidRPr="004865EF" w:rsidRDefault="00593D63" w:rsidP="00593D63">
            <w:pPr>
              <w:widowControl/>
              <w:jc w:val="center"/>
              <w:rPr>
                <w:rFonts w:ascii="楷体" w:eastAsia="楷体" w:hAnsi="楷体" w:cs="Times New Roman"/>
                <w:b/>
                <w:kern w:val="0"/>
                <w:sz w:val="22"/>
                <w:szCs w:val="22"/>
              </w:rPr>
            </w:pPr>
            <w:r w:rsidRPr="004865EF">
              <w:rPr>
                <w:rFonts w:ascii="楷体" w:eastAsia="楷体" w:hAnsi="楷体" w:cs="Times New Roman"/>
                <w:b/>
                <w:kern w:val="0"/>
                <w:sz w:val="22"/>
                <w:szCs w:val="22"/>
              </w:rPr>
              <w:t>9.60</w:t>
            </w:r>
          </w:p>
        </w:tc>
        <w:tc>
          <w:tcPr>
            <w:tcW w:w="1701" w:type="dxa"/>
            <w:shd w:val="clear" w:color="auto" w:fill="auto"/>
            <w:noWrap/>
            <w:vAlign w:val="center"/>
            <w:hideMark/>
          </w:tcPr>
          <w:p w14:paraId="706599A9" w14:textId="77777777" w:rsidR="00593D63" w:rsidRPr="004865EF" w:rsidRDefault="00593D63" w:rsidP="00593D63">
            <w:pPr>
              <w:widowControl/>
              <w:jc w:val="center"/>
              <w:rPr>
                <w:rFonts w:ascii="楷体" w:eastAsia="楷体" w:hAnsi="楷体" w:cs="Times New Roman"/>
                <w:b/>
                <w:kern w:val="0"/>
                <w:sz w:val="22"/>
                <w:szCs w:val="22"/>
              </w:rPr>
            </w:pPr>
          </w:p>
        </w:tc>
        <w:tc>
          <w:tcPr>
            <w:tcW w:w="1701" w:type="dxa"/>
            <w:shd w:val="clear" w:color="auto" w:fill="auto"/>
            <w:noWrap/>
            <w:vAlign w:val="center"/>
            <w:hideMark/>
          </w:tcPr>
          <w:p w14:paraId="04C4EA06" w14:textId="77777777" w:rsidR="00593D63" w:rsidRPr="004865EF" w:rsidRDefault="00593D63" w:rsidP="00593D63">
            <w:pPr>
              <w:widowControl/>
              <w:jc w:val="center"/>
              <w:rPr>
                <w:rFonts w:ascii="楷体" w:eastAsia="楷体" w:hAnsi="楷体" w:cs="Times New Roman"/>
                <w:b/>
                <w:kern w:val="0"/>
                <w:sz w:val="22"/>
                <w:szCs w:val="22"/>
              </w:rPr>
            </w:pPr>
          </w:p>
        </w:tc>
      </w:tr>
    </w:tbl>
    <w:p w14:paraId="2A88FDED" w14:textId="77777777" w:rsidR="00593D63" w:rsidRPr="004865EF" w:rsidRDefault="00593D63" w:rsidP="00FE02AF">
      <w:pPr>
        <w:spacing w:beforeLines="50" w:before="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综上，公司效益预测采用的销售单价和2019年公司实际销售情况基本一致，能够客观反应国内一线城市IDC市场5-6KW机柜的市场公允售价；同时，与同行业上市公司预测采用的单价也不存在较大差异，收入单价预测具有合理性。</w:t>
      </w:r>
    </w:p>
    <w:p w14:paraId="3F5A98B8" w14:textId="5CC8AC31" w:rsidR="00593D63" w:rsidRPr="004865EF" w:rsidRDefault="00593D63" w:rsidP="00FE02AF">
      <w:pPr>
        <w:spacing w:beforeLines="50" w:before="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2、产能利用率预测的合理性</w:t>
      </w:r>
    </w:p>
    <w:p w14:paraId="021D8ABE" w14:textId="0C9C79FB" w:rsidR="00593D63" w:rsidRPr="004865EF" w:rsidRDefault="00593D63" w:rsidP="00FE02AF">
      <w:pPr>
        <w:spacing w:beforeLines="50" w:before="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公司根据不同项目的建设规模、施工周期规划完工时点，并参考公司现有</w:t>
      </w:r>
      <w:r w:rsidRPr="004865EF">
        <w:rPr>
          <w:rFonts w:ascii="楷体" w:eastAsia="楷体" w:hAnsi="楷体" w:cs="Times New Roman" w:hint="eastAsia"/>
          <w:b/>
          <w:sz w:val="24"/>
          <w:szCs w:val="22"/>
        </w:rPr>
        <w:lastRenderedPageBreak/>
        <w:t>的产能利用率、行业经验和区域市场环境预测销售进度，因此，本次</w:t>
      </w:r>
      <w:proofErr w:type="gramStart"/>
      <w:r w:rsidRPr="004865EF">
        <w:rPr>
          <w:rFonts w:ascii="楷体" w:eastAsia="楷体" w:hAnsi="楷体" w:cs="Times New Roman" w:hint="eastAsia"/>
          <w:b/>
          <w:sz w:val="24"/>
          <w:szCs w:val="22"/>
        </w:rPr>
        <w:t>募投项目</w:t>
      </w:r>
      <w:proofErr w:type="gramEnd"/>
      <w:r w:rsidRPr="004865EF">
        <w:rPr>
          <w:rFonts w:ascii="楷体" w:eastAsia="楷体" w:hAnsi="楷体" w:cs="Times New Roman" w:hint="eastAsia"/>
          <w:b/>
          <w:sz w:val="24"/>
          <w:szCs w:val="22"/>
        </w:rPr>
        <w:t>的产能利用率存在差异。公司历史运营的数据中心项目销售周期在3</w:t>
      </w:r>
      <w:r w:rsidRPr="004865EF">
        <w:rPr>
          <w:rFonts w:ascii="楷体" w:eastAsia="楷体" w:hAnsi="楷体" w:cs="Times New Roman"/>
          <w:b/>
          <w:sz w:val="24"/>
          <w:szCs w:val="22"/>
        </w:rPr>
        <w:t>-4</w:t>
      </w:r>
      <w:r w:rsidRPr="004865EF">
        <w:rPr>
          <w:rFonts w:ascii="楷体" w:eastAsia="楷体" w:hAnsi="楷体" w:cs="Times New Roman" w:hint="eastAsia"/>
          <w:b/>
          <w:sz w:val="24"/>
          <w:szCs w:val="22"/>
        </w:rPr>
        <w:t>年，与本次</w:t>
      </w:r>
      <w:proofErr w:type="gramStart"/>
      <w:r w:rsidRPr="004865EF">
        <w:rPr>
          <w:rFonts w:ascii="楷体" w:eastAsia="楷体" w:hAnsi="楷体" w:cs="Times New Roman" w:hint="eastAsia"/>
          <w:b/>
          <w:sz w:val="24"/>
          <w:szCs w:val="22"/>
        </w:rPr>
        <w:t>募投项目</w:t>
      </w:r>
      <w:proofErr w:type="gramEnd"/>
      <w:r w:rsidRPr="004865EF">
        <w:rPr>
          <w:rFonts w:ascii="楷体" w:eastAsia="楷体" w:hAnsi="楷体" w:cs="Times New Roman" w:hint="eastAsia"/>
          <w:b/>
          <w:sz w:val="24"/>
          <w:szCs w:val="22"/>
        </w:rPr>
        <w:t>的产能利用率预测基本相符；公司收集了同行业上市公司</w:t>
      </w:r>
      <w:proofErr w:type="gramStart"/>
      <w:r w:rsidRPr="004865EF">
        <w:rPr>
          <w:rFonts w:ascii="楷体" w:eastAsia="楷体" w:hAnsi="楷体" w:cs="Times New Roman" w:hint="eastAsia"/>
          <w:b/>
          <w:sz w:val="24"/>
          <w:szCs w:val="22"/>
        </w:rPr>
        <w:t>募投项目</w:t>
      </w:r>
      <w:proofErr w:type="gramEnd"/>
      <w:r w:rsidRPr="004865EF">
        <w:rPr>
          <w:rFonts w:ascii="楷体" w:eastAsia="楷体" w:hAnsi="楷体" w:cs="Times New Roman" w:hint="eastAsia"/>
          <w:b/>
          <w:sz w:val="24"/>
          <w:szCs w:val="22"/>
        </w:rPr>
        <w:t>效益测算中各年度产能利用率</w:t>
      </w:r>
      <w:r w:rsidR="007E7F87" w:rsidRPr="004865EF">
        <w:rPr>
          <w:rFonts w:ascii="楷体" w:eastAsia="楷体" w:hAnsi="楷体" w:cs="Times New Roman" w:hint="eastAsia"/>
          <w:b/>
          <w:sz w:val="24"/>
          <w:szCs w:val="22"/>
        </w:rPr>
        <w:t>进行</w:t>
      </w:r>
      <w:r w:rsidRPr="004865EF">
        <w:rPr>
          <w:rFonts w:ascii="楷体" w:eastAsia="楷体" w:hAnsi="楷体" w:cs="Times New Roman" w:hint="eastAsia"/>
          <w:b/>
          <w:sz w:val="24"/>
          <w:szCs w:val="22"/>
        </w:rPr>
        <w:t>比较，具体情况如下：</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701"/>
        <w:gridCol w:w="1417"/>
        <w:gridCol w:w="1418"/>
        <w:gridCol w:w="1417"/>
        <w:gridCol w:w="1418"/>
      </w:tblGrid>
      <w:tr w:rsidR="004865EF" w:rsidRPr="004865EF" w14:paraId="5B7F8AA3" w14:textId="77777777" w:rsidTr="00593D63">
        <w:trPr>
          <w:trHeight w:val="397"/>
        </w:trPr>
        <w:tc>
          <w:tcPr>
            <w:tcW w:w="2992" w:type="dxa"/>
            <w:gridSpan w:val="2"/>
            <w:shd w:val="clear" w:color="auto" w:fill="auto"/>
            <w:noWrap/>
            <w:vAlign w:val="center"/>
            <w:hideMark/>
          </w:tcPr>
          <w:p w14:paraId="79B77157" w14:textId="586565F9" w:rsidR="00593D63" w:rsidRPr="004865EF" w:rsidRDefault="00593D63" w:rsidP="00593D63">
            <w:pPr>
              <w:widowControl/>
              <w:jc w:val="center"/>
              <w:rPr>
                <w:rFonts w:ascii="楷体" w:eastAsia="楷体" w:hAnsi="楷体" w:cs="Times New Roman"/>
                <w:b/>
                <w:bCs/>
                <w:kern w:val="0"/>
                <w:szCs w:val="21"/>
              </w:rPr>
            </w:pPr>
            <w:r w:rsidRPr="004865EF">
              <w:rPr>
                <w:rFonts w:ascii="楷体" w:eastAsia="楷体" w:hAnsi="楷体" w:cs="Times New Roman" w:hint="eastAsia"/>
                <w:b/>
                <w:bCs/>
                <w:kern w:val="0"/>
                <w:szCs w:val="21"/>
              </w:rPr>
              <w:t>公司</w:t>
            </w:r>
            <w:r w:rsidRPr="004865EF">
              <w:rPr>
                <w:rFonts w:ascii="楷体" w:eastAsia="楷体" w:hAnsi="楷体" w:cs="Times New Roman"/>
                <w:b/>
                <w:bCs/>
                <w:kern w:val="0"/>
                <w:szCs w:val="21"/>
              </w:rPr>
              <w:t>-</w:t>
            </w:r>
            <w:r w:rsidRPr="004865EF">
              <w:rPr>
                <w:rFonts w:ascii="楷体" w:eastAsia="楷体" w:hAnsi="楷体" w:cs="Times New Roman" w:hint="eastAsia"/>
                <w:b/>
                <w:bCs/>
                <w:kern w:val="0"/>
                <w:szCs w:val="21"/>
              </w:rPr>
              <w:t>项目名称-产能利用率</w:t>
            </w:r>
          </w:p>
        </w:tc>
        <w:tc>
          <w:tcPr>
            <w:tcW w:w="1417" w:type="dxa"/>
            <w:shd w:val="clear" w:color="auto" w:fill="auto"/>
            <w:noWrap/>
            <w:vAlign w:val="center"/>
            <w:hideMark/>
          </w:tcPr>
          <w:p w14:paraId="0D8410AB"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T+1年</w:t>
            </w:r>
          </w:p>
        </w:tc>
        <w:tc>
          <w:tcPr>
            <w:tcW w:w="1418" w:type="dxa"/>
            <w:shd w:val="clear" w:color="auto" w:fill="auto"/>
            <w:noWrap/>
            <w:vAlign w:val="center"/>
            <w:hideMark/>
          </w:tcPr>
          <w:p w14:paraId="1E801F8E"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T+2年</w:t>
            </w:r>
          </w:p>
        </w:tc>
        <w:tc>
          <w:tcPr>
            <w:tcW w:w="1417" w:type="dxa"/>
            <w:shd w:val="clear" w:color="auto" w:fill="auto"/>
            <w:noWrap/>
            <w:vAlign w:val="center"/>
            <w:hideMark/>
          </w:tcPr>
          <w:p w14:paraId="34473D3D"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T+3年</w:t>
            </w:r>
          </w:p>
        </w:tc>
        <w:tc>
          <w:tcPr>
            <w:tcW w:w="1418" w:type="dxa"/>
            <w:shd w:val="clear" w:color="auto" w:fill="auto"/>
            <w:noWrap/>
            <w:vAlign w:val="center"/>
            <w:hideMark/>
          </w:tcPr>
          <w:p w14:paraId="2C051EE9"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T+4年</w:t>
            </w:r>
          </w:p>
        </w:tc>
      </w:tr>
      <w:tr w:rsidR="004865EF" w:rsidRPr="004865EF" w14:paraId="414BA989" w14:textId="77777777" w:rsidTr="00593D63">
        <w:trPr>
          <w:trHeight w:val="397"/>
        </w:trPr>
        <w:tc>
          <w:tcPr>
            <w:tcW w:w="1291" w:type="dxa"/>
            <w:vMerge w:val="restart"/>
            <w:shd w:val="clear" w:color="auto" w:fill="auto"/>
            <w:noWrap/>
            <w:vAlign w:val="center"/>
            <w:hideMark/>
          </w:tcPr>
          <w:p w14:paraId="46F67FAF"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光环新网</w:t>
            </w:r>
          </w:p>
        </w:tc>
        <w:tc>
          <w:tcPr>
            <w:tcW w:w="1701" w:type="dxa"/>
            <w:shd w:val="clear" w:color="auto" w:fill="auto"/>
            <w:noWrap/>
            <w:vAlign w:val="center"/>
            <w:hideMark/>
          </w:tcPr>
          <w:p w14:paraId="798D28B3"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房山二期</w:t>
            </w:r>
          </w:p>
        </w:tc>
        <w:tc>
          <w:tcPr>
            <w:tcW w:w="1417" w:type="dxa"/>
            <w:shd w:val="clear" w:color="auto" w:fill="auto"/>
            <w:noWrap/>
            <w:vAlign w:val="center"/>
            <w:hideMark/>
          </w:tcPr>
          <w:p w14:paraId="375F49D9"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37.50%</w:t>
            </w:r>
          </w:p>
        </w:tc>
        <w:tc>
          <w:tcPr>
            <w:tcW w:w="1418" w:type="dxa"/>
            <w:shd w:val="clear" w:color="auto" w:fill="auto"/>
            <w:noWrap/>
            <w:vAlign w:val="center"/>
            <w:hideMark/>
          </w:tcPr>
          <w:p w14:paraId="5DA0D62F"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87.50%</w:t>
            </w:r>
          </w:p>
        </w:tc>
        <w:tc>
          <w:tcPr>
            <w:tcW w:w="1417" w:type="dxa"/>
            <w:shd w:val="clear" w:color="auto" w:fill="auto"/>
            <w:noWrap/>
            <w:vAlign w:val="center"/>
            <w:hideMark/>
          </w:tcPr>
          <w:p w14:paraId="7E45A66E"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100.00%</w:t>
            </w:r>
          </w:p>
        </w:tc>
        <w:tc>
          <w:tcPr>
            <w:tcW w:w="1418" w:type="dxa"/>
            <w:shd w:val="clear" w:color="auto" w:fill="auto"/>
            <w:noWrap/>
            <w:vAlign w:val="center"/>
            <w:hideMark/>
          </w:tcPr>
          <w:p w14:paraId="510ED69A"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100.00%</w:t>
            </w:r>
          </w:p>
        </w:tc>
      </w:tr>
      <w:tr w:rsidR="004865EF" w:rsidRPr="004865EF" w14:paraId="58D20833" w14:textId="77777777" w:rsidTr="00593D63">
        <w:trPr>
          <w:trHeight w:val="397"/>
        </w:trPr>
        <w:tc>
          <w:tcPr>
            <w:tcW w:w="1291" w:type="dxa"/>
            <w:vMerge/>
            <w:vAlign w:val="center"/>
            <w:hideMark/>
          </w:tcPr>
          <w:p w14:paraId="0EB3D393" w14:textId="77777777" w:rsidR="00593D63" w:rsidRPr="004865EF" w:rsidRDefault="00593D63" w:rsidP="00593D63">
            <w:pPr>
              <w:widowControl/>
              <w:jc w:val="left"/>
              <w:rPr>
                <w:rFonts w:ascii="楷体" w:eastAsia="楷体" w:hAnsi="楷体" w:cs="Times New Roman"/>
                <w:b/>
                <w:kern w:val="0"/>
                <w:szCs w:val="21"/>
              </w:rPr>
            </w:pPr>
          </w:p>
        </w:tc>
        <w:tc>
          <w:tcPr>
            <w:tcW w:w="1701" w:type="dxa"/>
            <w:shd w:val="clear" w:color="auto" w:fill="auto"/>
            <w:noWrap/>
            <w:vAlign w:val="center"/>
            <w:hideMark/>
          </w:tcPr>
          <w:p w14:paraId="23C869F9"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嘉定二期</w:t>
            </w:r>
          </w:p>
        </w:tc>
        <w:tc>
          <w:tcPr>
            <w:tcW w:w="1417" w:type="dxa"/>
            <w:shd w:val="clear" w:color="auto" w:fill="auto"/>
            <w:noWrap/>
            <w:vAlign w:val="center"/>
            <w:hideMark/>
          </w:tcPr>
          <w:p w14:paraId="5A963871"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30.00%</w:t>
            </w:r>
          </w:p>
        </w:tc>
        <w:tc>
          <w:tcPr>
            <w:tcW w:w="1418" w:type="dxa"/>
            <w:shd w:val="clear" w:color="auto" w:fill="auto"/>
            <w:noWrap/>
            <w:vAlign w:val="center"/>
            <w:hideMark/>
          </w:tcPr>
          <w:p w14:paraId="50002FBA"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70.00%</w:t>
            </w:r>
          </w:p>
        </w:tc>
        <w:tc>
          <w:tcPr>
            <w:tcW w:w="1417" w:type="dxa"/>
            <w:shd w:val="clear" w:color="auto" w:fill="auto"/>
            <w:noWrap/>
            <w:vAlign w:val="center"/>
            <w:hideMark/>
          </w:tcPr>
          <w:p w14:paraId="3233C2E5"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100.00%</w:t>
            </w:r>
          </w:p>
        </w:tc>
        <w:tc>
          <w:tcPr>
            <w:tcW w:w="1418" w:type="dxa"/>
            <w:shd w:val="clear" w:color="auto" w:fill="auto"/>
            <w:noWrap/>
            <w:vAlign w:val="center"/>
            <w:hideMark/>
          </w:tcPr>
          <w:p w14:paraId="06C89A3F"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100.00%</w:t>
            </w:r>
          </w:p>
        </w:tc>
      </w:tr>
      <w:tr w:rsidR="004865EF" w:rsidRPr="004865EF" w14:paraId="2102EB71" w14:textId="77777777" w:rsidTr="00593D63">
        <w:trPr>
          <w:trHeight w:val="397"/>
        </w:trPr>
        <w:tc>
          <w:tcPr>
            <w:tcW w:w="1291" w:type="dxa"/>
            <w:vMerge/>
            <w:vAlign w:val="center"/>
            <w:hideMark/>
          </w:tcPr>
          <w:p w14:paraId="0C9177E7" w14:textId="77777777" w:rsidR="00593D63" w:rsidRPr="004865EF" w:rsidRDefault="00593D63" w:rsidP="00593D63">
            <w:pPr>
              <w:widowControl/>
              <w:jc w:val="left"/>
              <w:rPr>
                <w:rFonts w:ascii="楷体" w:eastAsia="楷体" w:hAnsi="楷体" w:cs="Times New Roman"/>
                <w:b/>
                <w:kern w:val="0"/>
                <w:szCs w:val="21"/>
              </w:rPr>
            </w:pPr>
          </w:p>
        </w:tc>
        <w:tc>
          <w:tcPr>
            <w:tcW w:w="1701" w:type="dxa"/>
            <w:shd w:val="clear" w:color="auto" w:fill="auto"/>
            <w:noWrap/>
            <w:vAlign w:val="center"/>
            <w:hideMark/>
          </w:tcPr>
          <w:p w14:paraId="43B1978F"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燕郊三四期</w:t>
            </w:r>
          </w:p>
        </w:tc>
        <w:tc>
          <w:tcPr>
            <w:tcW w:w="1417" w:type="dxa"/>
            <w:shd w:val="clear" w:color="auto" w:fill="auto"/>
            <w:noWrap/>
            <w:vAlign w:val="center"/>
            <w:hideMark/>
          </w:tcPr>
          <w:p w14:paraId="0F101D19"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12.50%</w:t>
            </w:r>
          </w:p>
        </w:tc>
        <w:tc>
          <w:tcPr>
            <w:tcW w:w="1418" w:type="dxa"/>
            <w:shd w:val="clear" w:color="auto" w:fill="auto"/>
            <w:noWrap/>
            <w:vAlign w:val="center"/>
            <w:hideMark/>
          </w:tcPr>
          <w:p w14:paraId="7838FAE1"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50.00%</w:t>
            </w:r>
          </w:p>
        </w:tc>
        <w:tc>
          <w:tcPr>
            <w:tcW w:w="1417" w:type="dxa"/>
            <w:shd w:val="clear" w:color="auto" w:fill="auto"/>
            <w:noWrap/>
            <w:vAlign w:val="center"/>
            <w:hideMark/>
          </w:tcPr>
          <w:p w14:paraId="3CFD8FC9"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87.50%</w:t>
            </w:r>
          </w:p>
        </w:tc>
        <w:tc>
          <w:tcPr>
            <w:tcW w:w="1418" w:type="dxa"/>
            <w:shd w:val="clear" w:color="auto" w:fill="auto"/>
            <w:noWrap/>
            <w:vAlign w:val="center"/>
            <w:hideMark/>
          </w:tcPr>
          <w:p w14:paraId="6681EA35"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100.00%</w:t>
            </w:r>
          </w:p>
        </w:tc>
      </w:tr>
      <w:tr w:rsidR="004865EF" w:rsidRPr="004865EF" w14:paraId="1041FA3C" w14:textId="77777777" w:rsidTr="00593D63">
        <w:trPr>
          <w:trHeight w:val="397"/>
        </w:trPr>
        <w:tc>
          <w:tcPr>
            <w:tcW w:w="1291" w:type="dxa"/>
            <w:vMerge/>
            <w:vAlign w:val="center"/>
            <w:hideMark/>
          </w:tcPr>
          <w:p w14:paraId="080F0F04" w14:textId="77777777" w:rsidR="00593D63" w:rsidRPr="004865EF" w:rsidRDefault="00593D63" w:rsidP="00593D63">
            <w:pPr>
              <w:widowControl/>
              <w:jc w:val="left"/>
              <w:rPr>
                <w:rFonts w:ascii="楷体" w:eastAsia="楷体" w:hAnsi="楷体" w:cs="Times New Roman"/>
                <w:b/>
                <w:kern w:val="0"/>
                <w:szCs w:val="21"/>
              </w:rPr>
            </w:pPr>
          </w:p>
        </w:tc>
        <w:tc>
          <w:tcPr>
            <w:tcW w:w="1701" w:type="dxa"/>
            <w:shd w:val="clear" w:color="auto" w:fill="auto"/>
            <w:noWrap/>
            <w:vAlign w:val="center"/>
            <w:hideMark/>
          </w:tcPr>
          <w:p w14:paraId="44BFD270"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长沙一期</w:t>
            </w:r>
          </w:p>
        </w:tc>
        <w:tc>
          <w:tcPr>
            <w:tcW w:w="1417" w:type="dxa"/>
            <w:shd w:val="clear" w:color="auto" w:fill="auto"/>
            <w:noWrap/>
            <w:vAlign w:val="center"/>
            <w:hideMark/>
          </w:tcPr>
          <w:p w14:paraId="0DF8DF31"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18.75%</w:t>
            </w:r>
          </w:p>
        </w:tc>
        <w:tc>
          <w:tcPr>
            <w:tcW w:w="1418" w:type="dxa"/>
            <w:shd w:val="clear" w:color="auto" w:fill="auto"/>
            <w:noWrap/>
            <w:vAlign w:val="center"/>
            <w:hideMark/>
          </w:tcPr>
          <w:p w14:paraId="1F971FBD"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50.00%</w:t>
            </w:r>
          </w:p>
        </w:tc>
        <w:tc>
          <w:tcPr>
            <w:tcW w:w="1417" w:type="dxa"/>
            <w:shd w:val="clear" w:color="auto" w:fill="auto"/>
            <w:noWrap/>
            <w:vAlign w:val="center"/>
            <w:hideMark/>
          </w:tcPr>
          <w:p w14:paraId="03A94D56"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93.75%</w:t>
            </w:r>
          </w:p>
        </w:tc>
        <w:tc>
          <w:tcPr>
            <w:tcW w:w="1418" w:type="dxa"/>
            <w:shd w:val="clear" w:color="auto" w:fill="auto"/>
            <w:noWrap/>
            <w:vAlign w:val="center"/>
            <w:hideMark/>
          </w:tcPr>
          <w:p w14:paraId="11088E26"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100.00%</w:t>
            </w:r>
          </w:p>
        </w:tc>
      </w:tr>
      <w:tr w:rsidR="004865EF" w:rsidRPr="004865EF" w14:paraId="207C05B0" w14:textId="77777777" w:rsidTr="00593D63">
        <w:trPr>
          <w:trHeight w:val="397"/>
        </w:trPr>
        <w:tc>
          <w:tcPr>
            <w:tcW w:w="1291" w:type="dxa"/>
            <w:vMerge w:val="restart"/>
            <w:shd w:val="clear" w:color="auto" w:fill="auto"/>
            <w:noWrap/>
            <w:vAlign w:val="center"/>
            <w:hideMark/>
          </w:tcPr>
          <w:p w14:paraId="4E298CA3" w14:textId="77777777" w:rsidR="00593D63" w:rsidRPr="004865EF" w:rsidRDefault="00593D63" w:rsidP="00593D63">
            <w:pPr>
              <w:widowControl/>
              <w:rPr>
                <w:rFonts w:ascii="楷体" w:eastAsia="楷体" w:hAnsi="楷体" w:cs="Times New Roman"/>
                <w:b/>
                <w:kern w:val="0"/>
                <w:szCs w:val="21"/>
              </w:rPr>
            </w:pPr>
            <w:r w:rsidRPr="004865EF">
              <w:rPr>
                <w:rFonts w:ascii="楷体" w:eastAsia="楷体" w:hAnsi="楷体" w:cs="Times New Roman" w:hint="eastAsia"/>
                <w:b/>
                <w:kern w:val="0"/>
                <w:szCs w:val="21"/>
              </w:rPr>
              <w:t xml:space="preserve">　</w:t>
            </w:r>
            <w:proofErr w:type="gramStart"/>
            <w:r w:rsidRPr="004865EF">
              <w:rPr>
                <w:rFonts w:ascii="楷体" w:eastAsia="楷体" w:hAnsi="楷体" w:cs="Times New Roman" w:hint="eastAsia"/>
                <w:b/>
                <w:kern w:val="0"/>
                <w:szCs w:val="21"/>
              </w:rPr>
              <w:t>数据港</w:t>
            </w:r>
            <w:proofErr w:type="gramEnd"/>
          </w:p>
        </w:tc>
        <w:tc>
          <w:tcPr>
            <w:tcW w:w="1701" w:type="dxa"/>
            <w:shd w:val="clear" w:color="auto" w:fill="auto"/>
            <w:noWrap/>
            <w:vAlign w:val="center"/>
            <w:hideMark/>
          </w:tcPr>
          <w:p w14:paraId="2B0535F0"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b/>
                <w:kern w:val="0"/>
                <w:szCs w:val="21"/>
              </w:rPr>
              <w:t>JN13-B</w:t>
            </w:r>
          </w:p>
        </w:tc>
        <w:tc>
          <w:tcPr>
            <w:tcW w:w="1417" w:type="dxa"/>
            <w:shd w:val="clear" w:color="auto" w:fill="auto"/>
            <w:noWrap/>
            <w:vAlign w:val="center"/>
            <w:hideMark/>
          </w:tcPr>
          <w:p w14:paraId="01F3012C"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19.44%</w:t>
            </w:r>
          </w:p>
        </w:tc>
        <w:tc>
          <w:tcPr>
            <w:tcW w:w="1418" w:type="dxa"/>
            <w:shd w:val="clear" w:color="auto" w:fill="auto"/>
            <w:noWrap/>
            <w:vAlign w:val="center"/>
            <w:hideMark/>
          </w:tcPr>
          <w:p w14:paraId="6280A550"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69.03%</w:t>
            </w:r>
          </w:p>
        </w:tc>
        <w:tc>
          <w:tcPr>
            <w:tcW w:w="1417" w:type="dxa"/>
            <w:shd w:val="clear" w:color="auto" w:fill="auto"/>
            <w:noWrap/>
            <w:vAlign w:val="center"/>
            <w:hideMark/>
          </w:tcPr>
          <w:p w14:paraId="7C52CDF8"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95.00%</w:t>
            </w:r>
          </w:p>
        </w:tc>
        <w:tc>
          <w:tcPr>
            <w:tcW w:w="1418" w:type="dxa"/>
            <w:shd w:val="clear" w:color="auto" w:fill="auto"/>
            <w:noWrap/>
            <w:vAlign w:val="center"/>
            <w:hideMark/>
          </w:tcPr>
          <w:p w14:paraId="0FB4A71F"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95.00%</w:t>
            </w:r>
          </w:p>
        </w:tc>
      </w:tr>
      <w:tr w:rsidR="004865EF" w:rsidRPr="004865EF" w14:paraId="0C5B5EEA" w14:textId="77777777" w:rsidTr="00593D63">
        <w:trPr>
          <w:trHeight w:val="397"/>
        </w:trPr>
        <w:tc>
          <w:tcPr>
            <w:tcW w:w="1291" w:type="dxa"/>
            <w:vMerge/>
            <w:shd w:val="clear" w:color="auto" w:fill="auto"/>
            <w:noWrap/>
            <w:vAlign w:val="center"/>
          </w:tcPr>
          <w:p w14:paraId="50F2F7F8" w14:textId="77777777" w:rsidR="00593D63" w:rsidRPr="004865EF" w:rsidRDefault="00593D63" w:rsidP="00593D63">
            <w:pPr>
              <w:widowControl/>
              <w:rPr>
                <w:rFonts w:ascii="楷体" w:eastAsia="楷体" w:hAnsi="楷体" w:cs="Times New Roman"/>
                <w:b/>
                <w:kern w:val="0"/>
                <w:szCs w:val="21"/>
              </w:rPr>
            </w:pPr>
          </w:p>
        </w:tc>
        <w:tc>
          <w:tcPr>
            <w:tcW w:w="1701" w:type="dxa"/>
            <w:shd w:val="clear" w:color="auto" w:fill="auto"/>
            <w:noWrap/>
            <w:vAlign w:val="center"/>
          </w:tcPr>
          <w:p w14:paraId="141FC66E"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b/>
                <w:kern w:val="0"/>
                <w:szCs w:val="21"/>
              </w:rPr>
              <w:t>ZH13-A</w:t>
            </w:r>
          </w:p>
        </w:tc>
        <w:tc>
          <w:tcPr>
            <w:tcW w:w="1417" w:type="dxa"/>
            <w:shd w:val="clear" w:color="auto" w:fill="auto"/>
            <w:noWrap/>
            <w:vAlign w:val="center"/>
          </w:tcPr>
          <w:p w14:paraId="220C1B91"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19.44%</w:t>
            </w:r>
          </w:p>
        </w:tc>
        <w:tc>
          <w:tcPr>
            <w:tcW w:w="1418" w:type="dxa"/>
            <w:shd w:val="clear" w:color="auto" w:fill="auto"/>
            <w:noWrap/>
            <w:vAlign w:val="center"/>
          </w:tcPr>
          <w:p w14:paraId="458A4698"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69.03%</w:t>
            </w:r>
          </w:p>
        </w:tc>
        <w:tc>
          <w:tcPr>
            <w:tcW w:w="1417" w:type="dxa"/>
            <w:shd w:val="clear" w:color="auto" w:fill="auto"/>
            <w:noWrap/>
            <w:vAlign w:val="center"/>
          </w:tcPr>
          <w:p w14:paraId="64C3028B"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95.00%</w:t>
            </w:r>
          </w:p>
        </w:tc>
        <w:tc>
          <w:tcPr>
            <w:tcW w:w="1418" w:type="dxa"/>
            <w:shd w:val="clear" w:color="auto" w:fill="auto"/>
            <w:noWrap/>
            <w:vAlign w:val="center"/>
          </w:tcPr>
          <w:p w14:paraId="284579B8"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95.00%</w:t>
            </w:r>
          </w:p>
        </w:tc>
      </w:tr>
      <w:tr w:rsidR="004865EF" w:rsidRPr="004865EF" w14:paraId="15D3137B" w14:textId="77777777" w:rsidTr="00593D63">
        <w:trPr>
          <w:trHeight w:val="397"/>
        </w:trPr>
        <w:tc>
          <w:tcPr>
            <w:tcW w:w="1291" w:type="dxa"/>
            <w:vMerge/>
            <w:shd w:val="clear" w:color="auto" w:fill="auto"/>
            <w:noWrap/>
            <w:vAlign w:val="center"/>
          </w:tcPr>
          <w:p w14:paraId="2854ED08" w14:textId="77777777" w:rsidR="00593D63" w:rsidRPr="004865EF" w:rsidRDefault="00593D63" w:rsidP="00593D63">
            <w:pPr>
              <w:widowControl/>
              <w:jc w:val="center"/>
              <w:rPr>
                <w:rFonts w:ascii="楷体" w:eastAsia="楷体" w:hAnsi="楷体" w:cs="Times New Roman"/>
                <w:b/>
                <w:kern w:val="0"/>
                <w:szCs w:val="21"/>
              </w:rPr>
            </w:pPr>
          </w:p>
        </w:tc>
        <w:tc>
          <w:tcPr>
            <w:tcW w:w="1701" w:type="dxa"/>
            <w:shd w:val="clear" w:color="auto" w:fill="auto"/>
            <w:noWrap/>
            <w:vAlign w:val="center"/>
          </w:tcPr>
          <w:p w14:paraId="5D162452" w14:textId="77777777" w:rsidR="00593D63" w:rsidRPr="004865EF" w:rsidRDefault="00593D63" w:rsidP="00593D63">
            <w:pPr>
              <w:widowControl/>
              <w:jc w:val="center"/>
              <w:rPr>
                <w:rFonts w:ascii="楷体" w:eastAsia="楷体" w:hAnsi="楷体" w:cs="Times New Roman"/>
                <w:b/>
                <w:kern w:val="0"/>
                <w:szCs w:val="21"/>
              </w:rPr>
            </w:pPr>
            <w:bookmarkStart w:id="3" w:name="a44"/>
            <w:proofErr w:type="gramStart"/>
            <w:r w:rsidRPr="004865EF">
              <w:rPr>
                <w:rFonts w:ascii="楷体" w:eastAsia="楷体" w:hAnsi="楷体" w:cs="Times New Roman" w:hint="eastAsia"/>
                <w:b/>
                <w:kern w:val="0"/>
                <w:szCs w:val="21"/>
              </w:rPr>
              <w:t>云创互通</w:t>
            </w:r>
            <w:bookmarkEnd w:id="3"/>
            <w:proofErr w:type="gramEnd"/>
          </w:p>
        </w:tc>
        <w:tc>
          <w:tcPr>
            <w:tcW w:w="1417" w:type="dxa"/>
            <w:shd w:val="clear" w:color="auto" w:fill="auto"/>
            <w:noWrap/>
            <w:vAlign w:val="center"/>
          </w:tcPr>
          <w:p w14:paraId="357C4484"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宋体" w:eastAsia="宋体" w:hAnsi="宋体" w:cs="宋体" w:hint="eastAsia"/>
                <w:b/>
                <w:kern w:val="0"/>
                <w:sz w:val="22"/>
                <w:szCs w:val="22"/>
              </w:rPr>
              <w:t> </w:t>
            </w:r>
            <w:r w:rsidRPr="004865EF">
              <w:rPr>
                <w:rFonts w:ascii="楷体" w:eastAsia="楷体" w:hAnsi="楷体" w:cs="Times New Roman"/>
                <w:b/>
                <w:kern w:val="0"/>
                <w:sz w:val="22"/>
                <w:szCs w:val="22"/>
              </w:rPr>
              <w:t>10.99%</w:t>
            </w:r>
          </w:p>
        </w:tc>
        <w:tc>
          <w:tcPr>
            <w:tcW w:w="1418" w:type="dxa"/>
            <w:shd w:val="clear" w:color="auto" w:fill="auto"/>
            <w:noWrap/>
            <w:vAlign w:val="center"/>
          </w:tcPr>
          <w:p w14:paraId="7B5D56EA"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61.51%</w:t>
            </w:r>
          </w:p>
        </w:tc>
        <w:tc>
          <w:tcPr>
            <w:tcW w:w="1417" w:type="dxa"/>
            <w:shd w:val="clear" w:color="auto" w:fill="auto"/>
            <w:noWrap/>
            <w:vAlign w:val="center"/>
          </w:tcPr>
          <w:p w14:paraId="46DC3C7A"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95.00%</w:t>
            </w:r>
          </w:p>
        </w:tc>
        <w:tc>
          <w:tcPr>
            <w:tcW w:w="1418" w:type="dxa"/>
            <w:shd w:val="clear" w:color="auto" w:fill="auto"/>
            <w:noWrap/>
            <w:vAlign w:val="center"/>
          </w:tcPr>
          <w:p w14:paraId="0A08FCB3"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95.00%</w:t>
            </w:r>
          </w:p>
        </w:tc>
      </w:tr>
      <w:tr w:rsidR="004865EF" w:rsidRPr="004865EF" w14:paraId="004248FE" w14:textId="77777777" w:rsidTr="00593D63">
        <w:trPr>
          <w:trHeight w:val="397"/>
        </w:trPr>
        <w:tc>
          <w:tcPr>
            <w:tcW w:w="1291" w:type="dxa"/>
            <w:shd w:val="clear" w:color="auto" w:fill="auto"/>
            <w:noWrap/>
            <w:vAlign w:val="center"/>
            <w:hideMark/>
          </w:tcPr>
          <w:p w14:paraId="5D9F0EDA" w14:textId="77777777" w:rsidR="00593D63" w:rsidRPr="004865EF" w:rsidRDefault="00593D63" w:rsidP="00593D63">
            <w:pPr>
              <w:widowControl/>
              <w:jc w:val="center"/>
              <w:rPr>
                <w:rFonts w:ascii="楷体" w:eastAsia="楷体" w:hAnsi="楷体" w:cs="Times New Roman"/>
                <w:b/>
                <w:kern w:val="0"/>
                <w:szCs w:val="21"/>
              </w:rPr>
            </w:pPr>
            <w:proofErr w:type="gramStart"/>
            <w:r w:rsidRPr="004865EF">
              <w:rPr>
                <w:rFonts w:ascii="楷体" w:eastAsia="楷体" w:hAnsi="楷体" w:cs="Times New Roman" w:hint="eastAsia"/>
                <w:b/>
                <w:kern w:val="0"/>
                <w:szCs w:val="21"/>
              </w:rPr>
              <w:t>奥飞数据</w:t>
            </w:r>
            <w:proofErr w:type="gramEnd"/>
          </w:p>
        </w:tc>
        <w:tc>
          <w:tcPr>
            <w:tcW w:w="1701" w:type="dxa"/>
            <w:shd w:val="clear" w:color="auto" w:fill="auto"/>
            <w:noWrap/>
            <w:vAlign w:val="center"/>
            <w:hideMark/>
          </w:tcPr>
          <w:p w14:paraId="3A09B1BD" w14:textId="77777777" w:rsidR="00593D63" w:rsidRPr="004865EF" w:rsidRDefault="00593D63" w:rsidP="00593D63">
            <w:pPr>
              <w:widowControl/>
              <w:jc w:val="center"/>
              <w:rPr>
                <w:rFonts w:ascii="楷体" w:eastAsia="楷体" w:hAnsi="楷体" w:cs="Times New Roman"/>
                <w:b/>
                <w:kern w:val="0"/>
                <w:szCs w:val="21"/>
              </w:rPr>
            </w:pPr>
            <w:proofErr w:type="gramStart"/>
            <w:r w:rsidRPr="004865EF">
              <w:rPr>
                <w:rFonts w:ascii="楷体" w:eastAsia="楷体" w:hAnsi="楷体" w:cs="Times New Roman" w:hint="eastAsia"/>
                <w:b/>
                <w:kern w:val="0"/>
                <w:szCs w:val="21"/>
              </w:rPr>
              <w:t>廊坊讯云</w:t>
            </w:r>
            <w:proofErr w:type="gramEnd"/>
          </w:p>
        </w:tc>
        <w:tc>
          <w:tcPr>
            <w:tcW w:w="1417" w:type="dxa"/>
            <w:shd w:val="clear" w:color="auto" w:fill="auto"/>
            <w:noWrap/>
            <w:vAlign w:val="center"/>
            <w:hideMark/>
          </w:tcPr>
          <w:p w14:paraId="20F472C2"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50.00%</w:t>
            </w:r>
          </w:p>
        </w:tc>
        <w:tc>
          <w:tcPr>
            <w:tcW w:w="1418" w:type="dxa"/>
            <w:shd w:val="clear" w:color="auto" w:fill="auto"/>
            <w:noWrap/>
            <w:vAlign w:val="center"/>
            <w:hideMark/>
          </w:tcPr>
          <w:p w14:paraId="5CE340CF"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70.00%</w:t>
            </w:r>
          </w:p>
        </w:tc>
        <w:tc>
          <w:tcPr>
            <w:tcW w:w="1417" w:type="dxa"/>
            <w:shd w:val="clear" w:color="auto" w:fill="auto"/>
            <w:noWrap/>
            <w:vAlign w:val="center"/>
            <w:hideMark/>
          </w:tcPr>
          <w:p w14:paraId="153A3838"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90.00%</w:t>
            </w:r>
          </w:p>
        </w:tc>
        <w:tc>
          <w:tcPr>
            <w:tcW w:w="1418" w:type="dxa"/>
            <w:shd w:val="clear" w:color="auto" w:fill="auto"/>
            <w:noWrap/>
            <w:vAlign w:val="center"/>
            <w:hideMark/>
          </w:tcPr>
          <w:p w14:paraId="758B68D9"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90.00%</w:t>
            </w:r>
          </w:p>
        </w:tc>
      </w:tr>
      <w:tr w:rsidR="004865EF" w:rsidRPr="004865EF" w14:paraId="16FD5A4E" w14:textId="77777777" w:rsidTr="00593D63">
        <w:trPr>
          <w:trHeight w:val="397"/>
        </w:trPr>
        <w:tc>
          <w:tcPr>
            <w:tcW w:w="1291" w:type="dxa"/>
            <w:vMerge w:val="restart"/>
            <w:shd w:val="clear" w:color="auto" w:fill="auto"/>
            <w:noWrap/>
            <w:vAlign w:val="center"/>
            <w:hideMark/>
          </w:tcPr>
          <w:p w14:paraId="09F6EB01"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宝信软件</w:t>
            </w:r>
          </w:p>
        </w:tc>
        <w:tc>
          <w:tcPr>
            <w:tcW w:w="1701" w:type="dxa"/>
            <w:shd w:val="clear" w:color="auto" w:fill="auto"/>
            <w:noWrap/>
            <w:vAlign w:val="center"/>
          </w:tcPr>
          <w:p w14:paraId="60A237B7"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宝之云IDC四期</w:t>
            </w:r>
          </w:p>
        </w:tc>
        <w:tc>
          <w:tcPr>
            <w:tcW w:w="1417" w:type="dxa"/>
            <w:shd w:val="clear" w:color="auto" w:fill="auto"/>
            <w:noWrap/>
            <w:vAlign w:val="center"/>
          </w:tcPr>
          <w:p w14:paraId="4A405218"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90.00%</w:t>
            </w:r>
          </w:p>
        </w:tc>
        <w:tc>
          <w:tcPr>
            <w:tcW w:w="1418" w:type="dxa"/>
            <w:shd w:val="clear" w:color="auto" w:fill="auto"/>
            <w:noWrap/>
            <w:vAlign w:val="center"/>
          </w:tcPr>
          <w:p w14:paraId="209A3F7B"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99.00%</w:t>
            </w:r>
          </w:p>
        </w:tc>
        <w:tc>
          <w:tcPr>
            <w:tcW w:w="1417" w:type="dxa"/>
            <w:shd w:val="clear" w:color="auto" w:fill="auto"/>
            <w:noWrap/>
            <w:vAlign w:val="center"/>
          </w:tcPr>
          <w:p w14:paraId="58822694"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100.00%</w:t>
            </w:r>
          </w:p>
        </w:tc>
        <w:tc>
          <w:tcPr>
            <w:tcW w:w="1418" w:type="dxa"/>
            <w:shd w:val="clear" w:color="auto" w:fill="auto"/>
            <w:noWrap/>
            <w:vAlign w:val="center"/>
          </w:tcPr>
          <w:p w14:paraId="140ECDE4"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100.00%</w:t>
            </w:r>
          </w:p>
        </w:tc>
      </w:tr>
      <w:tr w:rsidR="004865EF" w:rsidRPr="004865EF" w14:paraId="4A1C6DBA" w14:textId="77777777" w:rsidTr="00593D63">
        <w:trPr>
          <w:trHeight w:val="397"/>
        </w:trPr>
        <w:tc>
          <w:tcPr>
            <w:tcW w:w="1291" w:type="dxa"/>
            <w:vMerge/>
            <w:shd w:val="clear" w:color="auto" w:fill="auto"/>
            <w:noWrap/>
            <w:vAlign w:val="center"/>
            <w:hideMark/>
          </w:tcPr>
          <w:p w14:paraId="107E17D7" w14:textId="77777777" w:rsidR="00593D63" w:rsidRPr="004865EF" w:rsidRDefault="00593D63" w:rsidP="00593D63">
            <w:pPr>
              <w:widowControl/>
              <w:jc w:val="center"/>
              <w:rPr>
                <w:rFonts w:ascii="楷体" w:eastAsia="楷体" w:hAnsi="楷体" w:cs="Times New Roman"/>
                <w:b/>
                <w:kern w:val="0"/>
                <w:szCs w:val="21"/>
              </w:rPr>
            </w:pPr>
          </w:p>
        </w:tc>
        <w:tc>
          <w:tcPr>
            <w:tcW w:w="1701" w:type="dxa"/>
            <w:shd w:val="clear" w:color="auto" w:fill="auto"/>
            <w:noWrap/>
            <w:vAlign w:val="center"/>
            <w:hideMark/>
          </w:tcPr>
          <w:p w14:paraId="50653ABE" w14:textId="77777777" w:rsidR="00593D63" w:rsidRPr="004865EF" w:rsidRDefault="00593D63" w:rsidP="00593D63">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宝之云IDC三期</w:t>
            </w:r>
          </w:p>
        </w:tc>
        <w:tc>
          <w:tcPr>
            <w:tcW w:w="1417" w:type="dxa"/>
            <w:shd w:val="clear" w:color="auto" w:fill="auto"/>
            <w:noWrap/>
            <w:vAlign w:val="center"/>
            <w:hideMark/>
          </w:tcPr>
          <w:p w14:paraId="568B683C"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60.00%</w:t>
            </w:r>
          </w:p>
        </w:tc>
        <w:tc>
          <w:tcPr>
            <w:tcW w:w="1418" w:type="dxa"/>
            <w:shd w:val="clear" w:color="auto" w:fill="auto"/>
            <w:noWrap/>
            <w:vAlign w:val="center"/>
            <w:hideMark/>
          </w:tcPr>
          <w:p w14:paraId="3D2A9E23"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95.00%</w:t>
            </w:r>
          </w:p>
        </w:tc>
        <w:tc>
          <w:tcPr>
            <w:tcW w:w="1417" w:type="dxa"/>
            <w:shd w:val="clear" w:color="auto" w:fill="auto"/>
            <w:noWrap/>
            <w:vAlign w:val="center"/>
            <w:hideMark/>
          </w:tcPr>
          <w:p w14:paraId="2701847A"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100.00%</w:t>
            </w:r>
          </w:p>
        </w:tc>
        <w:tc>
          <w:tcPr>
            <w:tcW w:w="1418" w:type="dxa"/>
            <w:shd w:val="clear" w:color="auto" w:fill="auto"/>
            <w:noWrap/>
            <w:vAlign w:val="center"/>
            <w:hideMark/>
          </w:tcPr>
          <w:p w14:paraId="0043F50C" w14:textId="77777777" w:rsidR="00593D63" w:rsidRPr="004865EF" w:rsidRDefault="00593D63" w:rsidP="00593D63">
            <w:pPr>
              <w:widowControl/>
              <w:jc w:val="right"/>
              <w:rPr>
                <w:rFonts w:ascii="楷体" w:eastAsia="楷体" w:hAnsi="楷体" w:cs="Times New Roman"/>
                <w:b/>
                <w:kern w:val="0"/>
                <w:sz w:val="22"/>
                <w:szCs w:val="22"/>
              </w:rPr>
            </w:pPr>
            <w:r w:rsidRPr="004865EF">
              <w:rPr>
                <w:rFonts w:ascii="楷体" w:eastAsia="楷体" w:hAnsi="楷体" w:cs="Times New Roman" w:hint="eastAsia"/>
                <w:b/>
                <w:kern w:val="0"/>
                <w:sz w:val="22"/>
                <w:szCs w:val="22"/>
              </w:rPr>
              <w:t xml:space="preserve">　100.00%</w:t>
            </w:r>
          </w:p>
        </w:tc>
      </w:tr>
    </w:tbl>
    <w:p w14:paraId="3FAA6465" w14:textId="64057D68" w:rsidR="00593D63" w:rsidRPr="004865EF" w:rsidRDefault="00593D63" w:rsidP="00FE02AF">
      <w:pPr>
        <w:spacing w:beforeLines="50" w:before="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根据上表，公司</w:t>
      </w:r>
      <w:proofErr w:type="gramStart"/>
      <w:r w:rsidRPr="004865EF">
        <w:rPr>
          <w:rFonts w:ascii="楷体" w:eastAsia="楷体" w:hAnsi="楷体" w:cs="Times New Roman" w:hint="eastAsia"/>
          <w:b/>
          <w:sz w:val="24"/>
          <w:szCs w:val="22"/>
        </w:rPr>
        <w:t>募投项目</w:t>
      </w:r>
      <w:proofErr w:type="gramEnd"/>
      <w:r w:rsidRPr="004865EF">
        <w:rPr>
          <w:rFonts w:ascii="楷体" w:eastAsia="楷体" w:hAnsi="楷体" w:cs="Times New Roman" w:hint="eastAsia"/>
          <w:b/>
          <w:sz w:val="24"/>
          <w:szCs w:val="22"/>
        </w:rPr>
        <w:t>中房山二期和嘉定二期项目T+1、T+2年的产能利用率略高，主要由于项目地理位置优越，销售预期较好；燕郊三四期和长沙一期规模较大，产能利用率爬坡周期较长。总体比较，产能利用率的预测与同行业上市公司不存在较大差异。</w:t>
      </w:r>
    </w:p>
    <w:p w14:paraId="06DA472B" w14:textId="77777777" w:rsidR="00593D63" w:rsidRPr="004865EF" w:rsidRDefault="00593D63" w:rsidP="00593D63">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零售型</w:t>
      </w:r>
      <w:r w:rsidRPr="004865EF">
        <w:rPr>
          <w:rFonts w:ascii="Times New Roman" w:eastAsia="宋体" w:hAnsi="Times New Roman" w:cs="Times New Roman"/>
          <w:sz w:val="24"/>
          <w:szCs w:val="22"/>
        </w:rPr>
        <w:t>IDC</w:t>
      </w:r>
      <w:r w:rsidRPr="004865EF">
        <w:rPr>
          <w:rFonts w:ascii="Times New Roman" w:eastAsia="宋体" w:hAnsi="Times New Roman" w:cs="Times New Roman" w:hint="eastAsia"/>
          <w:sz w:val="24"/>
          <w:szCs w:val="22"/>
        </w:rPr>
        <w:t>在建设前通常不存在确定客户，因此项目的建设、销售均呈滚动增加状态，即发行人既需要保持一定已建成机柜的数量冗余，保证当期的销售推广，同时精准把控机柜建设进度和资金投入，优化库存管理，报告期内发行人可供运营机柜和实际销售机柜数量均呈同步增加趋势，综合上架率在</w:t>
      </w:r>
      <w:r w:rsidRPr="004865EF">
        <w:rPr>
          <w:rFonts w:ascii="Times New Roman" w:eastAsia="宋体" w:hAnsi="Times New Roman" w:cs="Times New Roman"/>
          <w:sz w:val="24"/>
          <w:szCs w:val="22"/>
        </w:rPr>
        <w:t>75%-80%</w:t>
      </w:r>
      <w:r w:rsidRPr="004865EF">
        <w:rPr>
          <w:rFonts w:ascii="Times New Roman" w:eastAsia="宋体" w:hAnsi="Times New Roman" w:cs="Times New Roman" w:hint="eastAsia"/>
          <w:sz w:val="24"/>
          <w:szCs w:val="22"/>
        </w:rPr>
        <w:t>之间。从单体数据中心项目运营分析，亦庄、中</w:t>
      </w:r>
      <w:proofErr w:type="gramStart"/>
      <w:r w:rsidRPr="004865EF">
        <w:rPr>
          <w:rFonts w:ascii="Times New Roman" w:eastAsia="宋体" w:hAnsi="Times New Roman" w:cs="Times New Roman" w:hint="eastAsia"/>
          <w:sz w:val="24"/>
          <w:szCs w:val="22"/>
        </w:rPr>
        <w:t>金云网一期</w:t>
      </w:r>
      <w:proofErr w:type="gramEnd"/>
      <w:r w:rsidRPr="004865EF">
        <w:rPr>
          <w:rFonts w:ascii="Times New Roman" w:eastAsia="宋体" w:hAnsi="Times New Roman" w:cs="Times New Roman" w:hint="eastAsia"/>
          <w:sz w:val="24"/>
          <w:szCs w:val="22"/>
        </w:rPr>
        <w:t>机柜已</w:t>
      </w:r>
      <w:r w:rsidRPr="004865EF">
        <w:rPr>
          <w:rFonts w:ascii="Times New Roman" w:eastAsia="宋体" w:hAnsi="Times New Roman" w:cs="Times New Roman"/>
          <w:sz w:val="24"/>
          <w:szCs w:val="22"/>
        </w:rPr>
        <w:t>100%</w:t>
      </w:r>
      <w:r w:rsidRPr="004865EF">
        <w:rPr>
          <w:rFonts w:ascii="Times New Roman" w:eastAsia="宋体" w:hAnsi="Times New Roman" w:cs="Times New Roman" w:hint="eastAsia"/>
          <w:sz w:val="24"/>
          <w:szCs w:val="22"/>
        </w:rPr>
        <w:t>运营，酒仙桥、燕郊一二期机柜已基本全部签约销售。综上，发行人</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的产能利用率均存在</w:t>
      </w:r>
      <w:r w:rsidRPr="004865EF">
        <w:rPr>
          <w:rFonts w:ascii="Times New Roman" w:eastAsia="宋体" w:hAnsi="Times New Roman" w:cs="Times New Roman"/>
          <w:sz w:val="24"/>
          <w:szCs w:val="22"/>
        </w:rPr>
        <w:t>2-3</w:t>
      </w:r>
      <w:r w:rsidRPr="004865EF">
        <w:rPr>
          <w:rFonts w:ascii="Times New Roman" w:eastAsia="宋体" w:hAnsi="Times New Roman" w:cs="Times New Roman" w:hint="eastAsia"/>
          <w:sz w:val="24"/>
          <w:szCs w:val="22"/>
        </w:rPr>
        <w:t>年上升期间，并在第</w:t>
      </w:r>
      <w:r w:rsidRPr="004865EF">
        <w:rPr>
          <w:rFonts w:ascii="Times New Roman" w:eastAsia="宋体" w:hAnsi="Times New Roman" w:cs="Times New Roman"/>
          <w:sz w:val="24"/>
          <w:szCs w:val="22"/>
        </w:rPr>
        <w:t>3-4</w:t>
      </w:r>
      <w:r w:rsidRPr="004865EF">
        <w:rPr>
          <w:rFonts w:ascii="Times New Roman" w:eastAsia="宋体" w:hAnsi="Times New Roman" w:cs="Times New Roman" w:hint="eastAsia"/>
          <w:sz w:val="24"/>
          <w:szCs w:val="22"/>
        </w:rPr>
        <w:t>年进入稳定运营期，稳定运营期产能利用率为</w:t>
      </w:r>
      <w:r w:rsidRPr="004865EF">
        <w:rPr>
          <w:rFonts w:ascii="Times New Roman" w:eastAsia="宋体" w:hAnsi="Times New Roman" w:cs="Times New Roman"/>
          <w:sz w:val="24"/>
          <w:szCs w:val="22"/>
        </w:rPr>
        <w:t>100%</w:t>
      </w:r>
      <w:r w:rsidRPr="004865EF">
        <w:rPr>
          <w:rFonts w:ascii="Times New Roman" w:eastAsia="宋体" w:hAnsi="Times New Roman" w:cs="Times New Roman" w:hint="eastAsia"/>
          <w:sz w:val="24"/>
          <w:szCs w:val="22"/>
        </w:rPr>
        <w:t>，产能变动趋势和利用比例与发行人数据中心实际运营情况一致；由于机柜在运营初期分段建设交付，</w:t>
      </w:r>
      <w:r w:rsidRPr="004865EF">
        <w:rPr>
          <w:rFonts w:ascii="Times New Roman" w:eastAsia="宋体" w:hAnsi="Times New Roman" w:cs="Times New Roman"/>
          <w:sz w:val="24"/>
          <w:szCs w:val="22"/>
        </w:rPr>
        <w:t>理论上</w:t>
      </w:r>
      <w:r w:rsidRPr="004865EF">
        <w:rPr>
          <w:rFonts w:ascii="Times New Roman" w:eastAsia="宋体" w:hAnsi="Times New Roman" w:cs="Times New Roman" w:hint="eastAsia"/>
          <w:sz w:val="24"/>
          <w:szCs w:val="22"/>
        </w:rPr>
        <w:t>在</w:t>
      </w:r>
      <w:r w:rsidRPr="004865EF">
        <w:rPr>
          <w:rFonts w:ascii="Times New Roman" w:eastAsia="宋体" w:hAnsi="Times New Roman" w:cs="Times New Roman"/>
          <w:sz w:val="24"/>
          <w:szCs w:val="22"/>
        </w:rPr>
        <w:t>T+11</w:t>
      </w:r>
      <w:r w:rsidRPr="004865EF">
        <w:rPr>
          <w:rFonts w:ascii="Times New Roman" w:eastAsia="宋体" w:hAnsi="Times New Roman" w:cs="Times New Roman"/>
          <w:sz w:val="24"/>
          <w:szCs w:val="22"/>
        </w:rPr>
        <w:t>、</w:t>
      </w:r>
      <w:r w:rsidRPr="004865EF">
        <w:rPr>
          <w:rFonts w:ascii="Times New Roman" w:eastAsia="宋体" w:hAnsi="Times New Roman" w:cs="Times New Roman"/>
          <w:sz w:val="24"/>
          <w:szCs w:val="22"/>
        </w:rPr>
        <w:t>T+12</w:t>
      </w:r>
      <w:r w:rsidRPr="004865EF">
        <w:rPr>
          <w:rFonts w:ascii="Times New Roman" w:eastAsia="宋体" w:hAnsi="Times New Roman" w:cs="Times New Roman"/>
          <w:sz w:val="24"/>
          <w:szCs w:val="22"/>
        </w:rPr>
        <w:t>年仍能产生</w:t>
      </w:r>
      <w:r w:rsidRPr="004865EF">
        <w:rPr>
          <w:rFonts w:ascii="Times New Roman" w:eastAsia="宋体" w:hAnsi="Times New Roman" w:cs="Times New Roman" w:hint="eastAsia"/>
          <w:sz w:val="24"/>
          <w:szCs w:val="22"/>
        </w:rPr>
        <w:t>较高</w:t>
      </w:r>
      <w:r w:rsidRPr="004865EF">
        <w:rPr>
          <w:rFonts w:ascii="Times New Roman" w:eastAsia="宋体" w:hAnsi="Times New Roman" w:cs="Times New Roman"/>
          <w:sz w:val="24"/>
          <w:szCs w:val="22"/>
        </w:rPr>
        <w:t>效益，</w:t>
      </w:r>
      <w:r w:rsidRPr="004865EF">
        <w:rPr>
          <w:rFonts w:ascii="Times New Roman" w:eastAsia="宋体" w:hAnsi="Times New Roman" w:cs="Times New Roman" w:hint="eastAsia"/>
          <w:sz w:val="24"/>
          <w:szCs w:val="22"/>
        </w:rPr>
        <w:t>同时单机柜售价未考虑通货膨胀等因素在预测期进行调整，因此</w:t>
      </w:r>
      <w:r w:rsidRPr="004865EF">
        <w:rPr>
          <w:rFonts w:ascii="Times New Roman" w:eastAsia="宋体" w:hAnsi="Times New Roman" w:cs="Times New Roman"/>
          <w:sz w:val="24"/>
          <w:szCs w:val="22"/>
        </w:rPr>
        <w:t>发行人按照</w:t>
      </w:r>
      <w:r w:rsidRPr="004865EF">
        <w:rPr>
          <w:rFonts w:ascii="Times New Roman" w:eastAsia="宋体" w:hAnsi="Times New Roman" w:cs="Times New Roman"/>
          <w:sz w:val="24"/>
          <w:szCs w:val="22"/>
        </w:rPr>
        <w:t>10</w:t>
      </w:r>
      <w:r w:rsidRPr="004865EF">
        <w:rPr>
          <w:rFonts w:ascii="Times New Roman" w:eastAsia="宋体" w:hAnsi="Times New Roman" w:cs="Times New Roman"/>
          <w:sz w:val="24"/>
          <w:szCs w:val="22"/>
        </w:rPr>
        <w:t>年运营期</w:t>
      </w:r>
      <w:r w:rsidRPr="004865EF">
        <w:rPr>
          <w:rFonts w:ascii="Times New Roman" w:eastAsia="宋体" w:hAnsi="Times New Roman" w:cs="Times New Roman" w:hint="eastAsia"/>
          <w:sz w:val="24"/>
          <w:szCs w:val="22"/>
        </w:rPr>
        <w:t>和</w:t>
      </w:r>
      <w:r w:rsidRPr="004865EF">
        <w:rPr>
          <w:rFonts w:ascii="Times New Roman" w:eastAsia="宋体" w:hAnsi="Times New Roman" w:cs="Times New Roman"/>
          <w:sz w:val="24"/>
          <w:szCs w:val="22"/>
        </w:rPr>
        <w:t>100%</w:t>
      </w:r>
      <w:r w:rsidRPr="004865EF">
        <w:rPr>
          <w:rFonts w:ascii="Times New Roman" w:eastAsia="宋体" w:hAnsi="Times New Roman" w:cs="Times New Roman" w:hint="eastAsia"/>
          <w:sz w:val="24"/>
          <w:szCs w:val="22"/>
        </w:rPr>
        <w:t>产能利用率</w:t>
      </w:r>
      <w:r w:rsidRPr="004865EF">
        <w:rPr>
          <w:rFonts w:ascii="Times New Roman" w:eastAsia="宋体" w:hAnsi="Times New Roman" w:cs="Times New Roman"/>
          <w:sz w:val="24"/>
          <w:szCs w:val="22"/>
        </w:rPr>
        <w:t>对四个</w:t>
      </w:r>
      <w:proofErr w:type="gramStart"/>
      <w:r w:rsidRPr="004865EF">
        <w:rPr>
          <w:rFonts w:ascii="Times New Roman" w:eastAsia="宋体" w:hAnsi="Times New Roman" w:cs="Times New Roman"/>
          <w:sz w:val="24"/>
          <w:szCs w:val="22"/>
        </w:rPr>
        <w:t>募投项目</w:t>
      </w:r>
      <w:proofErr w:type="gramEnd"/>
      <w:r w:rsidRPr="004865EF">
        <w:rPr>
          <w:rFonts w:ascii="Times New Roman" w:eastAsia="宋体" w:hAnsi="Times New Roman" w:cs="Times New Roman"/>
          <w:sz w:val="24"/>
          <w:szCs w:val="22"/>
        </w:rPr>
        <w:t>进行效益测算</w:t>
      </w:r>
      <w:r w:rsidRPr="004865EF">
        <w:rPr>
          <w:rFonts w:ascii="Times New Roman" w:eastAsia="宋体" w:hAnsi="Times New Roman" w:cs="Times New Roman" w:hint="eastAsia"/>
          <w:sz w:val="24"/>
          <w:szCs w:val="22"/>
        </w:rPr>
        <w:t>具有</w:t>
      </w:r>
      <w:r w:rsidRPr="004865EF">
        <w:rPr>
          <w:rFonts w:ascii="Times New Roman" w:eastAsia="宋体" w:hAnsi="Times New Roman" w:cs="Times New Roman"/>
          <w:sz w:val="24"/>
          <w:szCs w:val="22"/>
        </w:rPr>
        <w:t>谨慎性；</w:t>
      </w:r>
      <w:r w:rsidRPr="004865EF">
        <w:rPr>
          <w:rFonts w:ascii="Times New Roman" w:eastAsia="宋体" w:hAnsi="Times New Roman" w:cs="Times New Roman" w:hint="eastAsia"/>
          <w:sz w:val="24"/>
          <w:szCs w:val="22"/>
        </w:rPr>
        <w:t>经查询同行业上市公司案例，宝信软件、广东荣泰等</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的产能利用率假设与发行</w:t>
      </w:r>
      <w:r w:rsidRPr="004865EF">
        <w:rPr>
          <w:rFonts w:ascii="Times New Roman" w:eastAsia="宋体" w:hAnsi="Times New Roman" w:cs="Times New Roman" w:hint="eastAsia"/>
          <w:sz w:val="24"/>
          <w:szCs w:val="22"/>
        </w:rPr>
        <w:lastRenderedPageBreak/>
        <w:t>人一致，因此本次</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效益测算假设合理。</w:t>
      </w:r>
    </w:p>
    <w:p w14:paraId="715E9E59" w14:textId="5EFAE170" w:rsidR="00593D63" w:rsidRPr="004865EF" w:rsidRDefault="00593D63" w:rsidP="00FE02AF">
      <w:pPr>
        <w:spacing w:beforeLines="50" w:before="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3、成本预测的合理性</w:t>
      </w:r>
    </w:p>
    <w:p w14:paraId="55EDA83A" w14:textId="77777777" w:rsidR="00593D63" w:rsidRPr="004865EF" w:rsidRDefault="00593D63" w:rsidP="00FE02AF">
      <w:pPr>
        <w:spacing w:beforeLines="50" w:before="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报告期内，发行人</w:t>
      </w:r>
      <w:r w:rsidRPr="004865EF">
        <w:rPr>
          <w:rFonts w:ascii="楷体" w:eastAsia="楷体" w:hAnsi="楷体" w:cs="Times New Roman"/>
          <w:b/>
          <w:sz w:val="24"/>
          <w:szCs w:val="22"/>
        </w:rPr>
        <w:t>IDC</w:t>
      </w:r>
      <w:r w:rsidRPr="004865EF">
        <w:rPr>
          <w:rFonts w:ascii="楷体" w:eastAsia="楷体" w:hAnsi="楷体" w:cs="Times New Roman" w:hint="eastAsia"/>
          <w:b/>
          <w:sz w:val="24"/>
          <w:szCs w:val="22"/>
        </w:rPr>
        <w:t>及其增值服务各项成本占收入的比例与</w:t>
      </w:r>
      <w:proofErr w:type="gramStart"/>
      <w:r w:rsidRPr="004865EF">
        <w:rPr>
          <w:rFonts w:ascii="楷体" w:eastAsia="楷体" w:hAnsi="楷体" w:cs="Times New Roman" w:hint="eastAsia"/>
          <w:b/>
          <w:sz w:val="24"/>
          <w:szCs w:val="22"/>
        </w:rPr>
        <w:t>募投项目</w:t>
      </w:r>
      <w:proofErr w:type="gramEnd"/>
      <w:r w:rsidRPr="004865EF">
        <w:rPr>
          <w:rFonts w:ascii="楷体" w:eastAsia="楷体" w:hAnsi="楷体" w:cs="Times New Roman" w:hint="eastAsia"/>
          <w:b/>
          <w:sz w:val="24"/>
          <w:szCs w:val="22"/>
        </w:rPr>
        <w:t>效益预测情况对比如下：</w:t>
      </w:r>
    </w:p>
    <w:tbl>
      <w:tblPr>
        <w:tblW w:w="85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7"/>
        <w:gridCol w:w="1417"/>
        <w:gridCol w:w="1417"/>
        <w:gridCol w:w="1417"/>
      </w:tblGrid>
      <w:tr w:rsidR="004865EF" w:rsidRPr="004865EF" w14:paraId="1F8089A5" w14:textId="77777777" w:rsidTr="00BF021C">
        <w:trPr>
          <w:trHeight w:val="397"/>
        </w:trPr>
        <w:tc>
          <w:tcPr>
            <w:tcW w:w="1417" w:type="dxa"/>
            <w:shd w:val="clear" w:color="auto" w:fill="auto"/>
            <w:noWrap/>
            <w:vAlign w:val="center"/>
            <w:hideMark/>
          </w:tcPr>
          <w:p w14:paraId="195BA87E" w14:textId="77777777" w:rsidR="00593D63" w:rsidRPr="004865EF" w:rsidRDefault="00593D63" w:rsidP="00BF021C">
            <w:pPr>
              <w:widowControl/>
              <w:jc w:val="center"/>
              <w:rPr>
                <w:rFonts w:ascii="楷体" w:eastAsia="楷体" w:hAnsi="楷体" w:cs="Times New Roman"/>
                <w:b/>
                <w:bCs/>
                <w:kern w:val="0"/>
                <w:sz w:val="22"/>
                <w:szCs w:val="22"/>
              </w:rPr>
            </w:pPr>
            <w:r w:rsidRPr="004865EF">
              <w:rPr>
                <w:rFonts w:ascii="楷体" w:eastAsia="楷体" w:hAnsi="楷体" w:cs="Times New Roman" w:hint="eastAsia"/>
                <w:b/>
                <w:bCs/>
                <w:kern w:val="0"/>
                <w:sz w:val="22"/>
                <w:szCs w:val="22"/>
              </w:rPr>
              <w:t>成本项目</w:t>
            </w:r>
          </w:p>
        </w:tc>
        <w:tc>
          <w:tcPr>
            <w:tcW w:w="1417" w:type="dxa"/>
            <w:shd w:val="clear" w:color="auto" w:fill="auto"/>
            <w:noWrap/>
            <w:vAlign w:val="center"/>
            <w:hideMark/>
          </w:tcPr>
          <w:p w14:paraId="6C5BA111" w14:textId="77777777" w:rsidR="00593D63" w:rsidRPr="004865EF" w:rsidRDefault="00593D63" w:rsidP="00BF021C">
            <w:pPr>
              <w:widowControl/>
              <w:jc w:val="center"/>
              <w:rPr>
                <w:rFonts w:ascii="楷体" w:eastAsia="楷体" w:hAnsi="楷体" w:cs="Times New Roman"/>
                <w:b/>
                <w:bCs/>
                <w:kern w:val="0"/>
                <w:szCs w:val="21"/>
              </w:rPr>
            </w:pPr>
            <w:r w:rsidRPr="004865EF">
              <w:rPr>
                <w:rFonts w:ascii="楷体" w:eastAsia="楷体" w:hAnsi="楷体" w:cs="Times New Roman"/>
                <w:b/>
                <w:bCs/>
                <w:kern w:val="0"/>
                <w:szCs w:val="21"/>
              </w:rPr>
              <w:t>2019</w:t>
            </w:r>
            <w:r w:rsidRPr="004865EF">
              <w:rPr>
                <w:rFonts w:ascii="楷体" w:eastAsia="楷体" w:hAnsi="楷体" w:cs="Times New Roman" w:hint="eastAsia"/>
                <w:b/>
                <w:bCs/>
                <w:kern w:val="0"/>
                <w:szCs w:val="21"/>
              </w:rPr>
              <w:t>年</w:t>
            </w:r>
          </w:p>
        </w:tc>
        <w:tc>
          <w:tcPr>
            <w:tcW w:w="1417" w:type="dxa"/>
            <w:shd w:val="clear" w:color="auto" w:fill="auto"/>
            <w:noWrap/>
            <w:vAlign w:val="center"/>
            <w:hideMark/>
          </w:tcPr>
          <w:p w14:paraId="123F0B54" w14:textId="77777777" w:rsidR="00593D63" w:rsidRPr="004865EF" w:rsidRDefault="00593D63" w:rsidP="00BF021C">
            <w:pPr>
              <w:widowControl/>
              <w:jc w:val="center"/>
              <w:rPr>
                <w:rFonts w:ascii="楷体" w:eastAsia="楷体" w:hAnsi="楷体" w:cs="Times New Roman"/>
                <w:b/>
                <w:bCs/>
                <w:kern w:val="0"/>
                <w:szCs w:val="21"/>
              </w:rPr>
            </w:pPr>
            <w:r w:rsidRPr="004865EF">
              <w:rPr>
                <w:rFonts w:ascii="楷体" w:eastAsia="楷体" w:hAnsi="楷体" w:cs="Times New Roman"/>
                <w:b/>
                <w:bCs/>
                <w:kern w:val="0"/>
                <w:szCs w:val="21"/>
              </w:rPr>
              <w:t>2018</w:t>
            </w:r>
            <w:r w:rsidRPr="004865EF">
              <w:rPr>
                <w:rFonts w:ascii="楷体" w:eastAsia="楷体" w:hAnsi="楷体" w:cs="Times New Roman" w:hint="eastAsia"/>
                <w:b/>
                <w:bCs/>
                <w:kern w:val="0"/>
                <w:szCs w:val="21"/>
              </w:rPr>
              <w:t>年</w:t>
            </w:r>
          </w:p>
        </w:tc>
        <w:tc>
          <w:tcPr>
            <w:tcW w:w="1417" w:type="dxa"/>
            <w:shd w:val="clear" w:color="auto" w:fill="auto"/>
            <w:noWrap/>
            <w:vAlign w:val="center"/>
            <w:hideMark/>
          </w:tcPr>
          <w:p w14:paraId="17A25CA0" w14:textId="77777777" w:rsidR="00593D63" w:rsidRPr="004865EF" w:rsidRDefault="00593D63" w:rsidP="00BF021C">
            <w:pPr>
              <w:widowControl/>
              <w:jc w:val="center"/>
              <w:rPr>
                <w:rFonts w:ascii="楷体" w:eastAsia="楷体" w:hAnsi="楷体" w:cs="Times New Roman"/>
                <w:b/>
                <w:bCs/>
                <w:kern w:val="0"/>
                <w:szCs w:val="21"/>
              </w:rPr>
            </w:pPr>
            <w:r w:rsidRPr="004865EF">
              <w:rPr>
                <w:rFonts w:ascii="楷体" w:eastAsia="楷体" w:hAnsi="楷体" w:cs="Times New Roman"/>
                <w:b/>
                <w:bCs/>
                <w:kern w:val="0"/>
                <w:szCs w:val="21"/>
              </w:rPr>
              <w:t>2017</w:t>
            </w:r>
            <w:r w:rsidRPr="004865EF">
              <w:rPr>
                <w:rFonts w:ascii="楷体" w:eastAsia="楷体" w:hAnsi="楷体" w:cs="Times New Roman" w:hint="eastAsia"/>
                <w:b/>
                <w:bCs/>
                <w:kern w:val="0"/>
                <w:szCs w:val="21"/>
              </w:rPr>
              <w:t>年</w:t>
            </w:r>
          </w:p>
        </w:tc>
        <w:tc>
          <w:tcPr>
            <w:tcW w:w="1417" w:type="dxa"/>
            <w:shd w:val="clear" w:color="auto" w:fill="auto"/>
            <w:noWrap/>
            <w:vAlign w:val="center"/>
            <w:hideMark/>
          </w:tcPr>
          <w:p w14:paraId="4AC82810" w14:textId="77777777" w:rsidR="00593D63" w:rsidRPr="004865EF" w:rsidRDefault="00593D63" w:rsidP="00BF021C">
            <w:pPr>
              <w:widowControl/>
              <w:jc w:val="center"/>
              <w:rPr>
                <w:rFonts w:ascii="楷体" w:eastAsia="楷体" w:hAnsi="楷体" w:cs="Times New Roman"/>
                <w:b/>
                <w:bCs/>
                <w:kern w:val="0"/>
                <w:szCs w:val="21"/>
              </w:rPr>
            </w:pPr>
            <w:r w:rsidRPr="004865EF">
              <w:rPr>
                <w:rFonts w:ascii="楷体" w:eastAsia="楷体" w:hAnsi="楷体" w:cs="Times New Roman" w:hint="eastAsia"/>
                <w:b/>
                <w:bCs/>
                <w:kern w:val="0"/>
                <w:szCs w:val="21"/>
              </w:rPr>
              <w:t>报告期内</w:t>
            </w:r>
          </w:p>
          <w:p w14:paraId="7BB5C1A7" w14:textId="77777777" w:rsidR="00593D63" w:rsidRPr="004865EF" w:rsidRDefault="00593D63" w:rsidP="00BF021C">
            <w:pPr>
              <w:widowControl/>
              <w:jc w:val="center"/>
              <w:rPr>
                <w:rFonts w:ascii="楷体" w:eastAsia="楷体" w:hAnsi="楷体" w:cs="Times New Roman"/>
                <w:b/>
                <w:bCs/>
                <w:kern w:val="0"/>
                <w:szCs w:val="21"/>
              </w:rPr>
            </w:pPr>
            <w:r w:rsidRPr="004865EF">
              <w:rPr>
                <w:rFonts w:ascii="楷体" w:eastAsia="楷体" w:hAnsi="楷体" w:cs="Times New Roman" w:hint="eastAsia"/>
                <w:b/>
                <w:bCs/>
                <w:kern w:val="0"/>
                <w:szCs w:val="21"/>
              </w:rPr>
              <w:t>平均水平</w:t>
            </w:r>
          </w:p>
        </w:tc>
        <w:tc>
          <w:tcPr>
            <w:tcW w:w="1417" w:type="dxa"/>
            <w:shd w:val="clear" w:color="auto" w:fill="auto"/>
            <w:noWrap/>
            <w:vAlign w:val="center"/>
            <w:hideMark/>
          </w:tcPr>
          <w:p w14:paraId="06D32DB1" w14:textId="77777777" w:rsidR="00593D63" w:rsidRPr="004865EF" w:rsidRDefault="00593D63" w:rsidP="00BF021C">
            <w:pPr>
              <w:widowControl/>
              <w:jc w:val="center"/>
              <w:rPr>
                <w:rFonts w:ascii="楷体" w:eastAsia="楷体" w:hAnsi="楷体" w:cs="Times New Roman"/>
                <w:b/>
                <w:bCs/>
                <w:kern w:val="0"/>
                <w:szCs w:val="21"/>
              </w:rPr>
            </w:pPr>
            <w:proofErr w:type="gramStart"/>
            <w:r w:rsidRPr="004865EF">
              <w:rPr>
                <w:rFonts w:ascii="楷体" w:eastAsia="楷体" w:hAnsi="楷体" w:cs="Times New Roman" w:hint="eastAsia"/>
                <w:b/>
                <w:bCs/>
                <w:kern w:val="0"/>
                <w:szCs w:val="21"/>
              </w:rPr>
              <w:t>募投项目</w:t>
            </w:r>
            <w:proofErr w:type="gramEnd"/>
          </w:p>
          <w:p w14:paraId="6E8C82BD" w14:textId="77777777" w:rsidR="00593D63" w:rsidRPr="004865EF" w:rsidRDefault="00593D63" w:rsidP="00BF021C">
            <w:pPr>
              <w:widowControl/>
              <w:jc w:val="center"/>
              <w:rPr>
                <w:rFonts w:ascii="楷体" w:eastAsia="楷体" w:hAnsi="楷体" w:cs="Times New Roman"/>
                <w:b/>
                <w:bCs/>
                <w:kern w:val="0"/>
                <w:szCs w:val="21"/>
              </w:rPr>
            </w:pPr>
            <w:r w:rsidRPr="004865EF">
              <w:rPr>
                <w:rFonts w:ascii="楷体" w:eastAsia="楷体" w:hAnsi="楷体" w:cs="Times New Roman" w:hint="eastAsia"/>
                <w:b/>
                <w:bCs/>
                <w:kern w:val="0"/>
                <w:szCs w:val="21"/>
              </w:rPr>
              <w:t>加权平均</w:t>
            </w:r>
          </w:p>
        </w:tc>
      </w:tr>
      <w:tr w:rsidR="004865EF" w:rsidRPr="004865EF" w14:paraId="52D1E2D7" w14:textId="77777777" w:rsidTr="00BF021C">
        <w:trPr>
          <w:trHeight w:val="397"/>
        </w:trPr>
        <w:tc>
          <w:tcPr>
            <w:tcW w:w="1417" w:type="dxa"/>
            <w:shd w:val="clear" w:color="auto" w:fill="auto"/>
            <w:noWrap/>
            <w:vAlign w:val="center"/>
            <w:hideMark/>
          </w:tcPr>
          <w:p w14:paraId="212D3185" w14:textId="77777777" w:rsidR="00593D63" w:rsidRPr="004865EF" w:rsidRDefault="00593D63" w:rsidP="00BF021C">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折旧摊销</w:t>
            </w:r>
          </w:p>
        </w:tc>
        <w:tc>
          <w:tcPr>
            <w:tcW w:w="1417" w:type="dxa"/>
            <w:shd w:val="clear" w:color="auto" w:fill="auto"/>
            <w:noWrap/>
            <w:vAlign w:val="center"/>
            <w:hideMark/>
          </w:tcPr>
          <w:p w14:paraId="5DD18618"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15.85%</w:t>
            </w:r>
          </w:p>
        </w:tc>
        <w:tc>
          <w:tcPr>
            <w:tcW w:w="1417" w:type="dxa"/>
            <w:shd w:val="clear" w:color="auto" w:fill="auto"/>
            <w:noWrap/>
            <w:vAlign w:val="center"/>
            <w:hideMark/>
          </w:tcPr>
          <w:p w14:paraId="4A122B33"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12.57%</w:t>
            </w:r>
          </w:p>
        </w:tc>
        <w:tc>
          <w:tcPr>
            <w:tcW w:w="1417" w:type="dxa"/>
            <w:shd w:val="clear" w:color="auto" w:fill="auto"/>
            <w:noWrap/>
            <w:vAlign w:val="center"/>
            <w:hideMark/>
          </w:tcPr>
          <w:p w14:paraId="36100D42"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15.38%</w:t>
            </w:r>
          </w:p>
        </w:tc>
        <w:tc>
          <w:tcPr>
            <w:tcW w:w="1417" w:type="dxa"/>
            <w:shd w:val="clear" w:color="auto" w:fill="auto"/>
            <w:noWrap/>
            <w:vAlign w:val="center"/>
            <w:hideMark/>
          </w:tcPr>
          <w:p w14:paraId="20D96CA1"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14.60%</w:t>
            </w:r>
          </w:p>
        </w:tc>
        <w:tc>
          <w:tcPr>
            <w:tcW w:w="1417" w:type="dxa"/>
            <w:shd w:val="clear" w:color="auto" w:fill="auto"/>
            <w:noWrap/>
            <w:vAlign w:val="center"/>
            <w:hideMark/>
          </w:tcPr>
          <w:p w14:paraId="5029132F"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18.08%</w:t>
            </w:r>
          </w:p>
        </w:tc>
      </w:tr>
      <w:tr w:rsidR="004865EF" w:rsidRPr="004865EF" w14:paraId="0ACFD013" w14:textId="77777777" w:rsidTr="00BF021C">
        <w:trPr>
          <w:trHeight w:val="397"/>
        </w:trPr>
        <w:tc>
          <w:tcPr>
            <w:tcW w:w="1417" w:type="dxa"/>
            <w:shd w:val="clear" w:color="auto" w:fill="auto"/>
            <w:noWrap/>
            <w:vAlign w:val="center"/>
            <w:hideMark/>
          </w:tcPr>
          <w:p w14:paraId="58F83A1B" w14:textId="77777777" w:rsidR="00593D63" w:rsidRPr="004865EF" w:rsidRDefault="00593D63" w:rsidP="00BF021C">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水电带宽</w:t>
            </w:r>
          </w:p>
        </w:tc>
        <w:tc>
          <w:tcPr>
            <w:tcW w:w="1417" w:type="dxa"/>
            <w:shd w:val="clear" w:color="auto" w:fill="auto"/>
            <w:noWrap/>
            <w:vAlign w:val="center"/>
            <w:hideMark/>
          </w:tcPr>
          <w:p w14:paraId="45D9FC25"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23.79%</w:t>
            </w:r>
          </w:p>
        </w:tc>
        <w:tc>
          <w:tcPr>
            <w:tcW w:w="1417" w:type="dxa"/>
            <w:shd w:val="clear" w:color="auto" w:fill="auto"/>
            <w:noWrap/>
            <w:vAlign w:val="center"/>
            <w:hideMark/>
          </w:tcPr>
          <w:p w14:paraId="56AAE537"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23.75%</w:t>
            </w:r>
          </w:p>
        </w:tc>
        <w:tc>
          <w:tcPr>
            <w:tcW w:w="1417" w:type="dxa"/>
            <w:shd w:val="clear" w:color="auto" w:fill="auto"/>
            <w:noWrap/>
            <w:vAlign w:val="center"/>
            <w:hideMark/>
          </w:tcPr>
          <w:p w14:paraId="75285DA6"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21.47%</w:t>
            </w:r>
          </w:p>
        </w:tc>
        <w:tc>
          <w:tcPr>
            <w:tcW w:w="1417" w:type="dxa"/>
            <w:shd w:val="clear" w:color="auto" w:fill="auto"/>
            <w:noWrap/>
            <w:vAlign w:val="center"/>
            <w:hideMark/>
          </w:tcPr>
          <w:p w14:paraId="289D8E03"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23.23%</w:t>
            </w:r>
          </w:p>
        </w:tc>
        <w:tc>
          <w:tcPr>
            <w:tcW w:w="1417" w:type="dxa"/>
            <w:shd w:val="clear" w:color="auto" w:fill="auto"/>
            <w:noWrap/>
            <w:vAlign w:val="center"/>
            <w:hideMark/>
          </w:tcPr>
          <w:p w14:paraId="3F5DC15D"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34.84%</w:t>
            </w:r>
          </w:p>
        </w:tc>
      </w:tr>
      <w:tr w:rsidR="004865EF" w:rsidRPr="004865EF" w14:paraId="13BE068D" w14:textId="77777777" w:rsidTr="00BF021C">
        <w:trPr>
          <w:trHeight w:val="397"/>
        </w:trPr>
        <w:tc>
          <w:tcPr>
            <w:tcW w:w="1417" w:type="dxa"/>
            <w:shd w:val="clear" w:color="auto" w:fill="auto"/>
            <w:noWrap/>
            <w:vAlign w:val="center"/>
            <w:hideMark/>
          </w:tcPr>
          <w:p w14:paraId="616E20B9" w14:textId="77777777" w:rsidR="00593D63" w:rsidRPr="004865EF" w:rsidRDefault="00593D63" w:rsidP="00BF021C">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运</w:t>
            </w:r>
            <w:proofErr w:type="gramStart"/>
            <w:r w:rsidRPr="004865EF">
              <w:rPr>
                <w:rFonts w:ascii="楷体" w:eastAsia="楷体" w:hAnsi="楷体" w:cs="Times New Roman" w:hint="eastAsia"/>
                <w:b/>
                <w:kern w:val="0"/>
                <w:szCs w:val="21"/>
              </w:rPr>
              <w:t>维成本</w:t>
            </w:r>
            <w:proofErr w:type="gramEnd"/>
          </w:p>
        </w:tc>
        <w:tc>
          <w:tcPr>
            <w:tcW w:w="1417" w:type="dxa"/>
            <w:shd w:val="clear" w:color="auto" w:fill="auto"/>
            <w:noWrap/>
            <w:vAlign w:val="center"/>
            <w:hideMark/>
          </w:tcPr>
          <w:p w14:paraId="58EA3F68"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1.32%</w:t>
            </w:r>
          </w:p>
        </w:tc>
        <w:tc>
          <w:tcPr>
            <w:tcW w:w="1417" w:type="dxa"/>
            <w:shd w:val="clear" w:color="auto" w:fill="auto"/>
            <w:noWrap/>
            <w:vAlign w:val="center"/>
            <w:hideMark/>
          </w:tcPr>
          <w:p w14:paraId="2D8F6FB2"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1.97%</w:t>
            </w:r>
          </w:p>
        </w:tc>
        <w:tc>
          <w:tcPr>
            <w:tcW w:w="1417" w:type="dxa"/>
            <w:shd w:val="clear" w:color="auto" w:fill="auto"/>
            <w:noWrap/>
            <w:vAlign w:val="center"/>
            <w:hideMark/>
          </w:tcPr>
          <w:p w14:paraId="72BCBD41"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3.20%</w:t>
            </w:r>
          </w:p>
        </w:tc>
        <w:tc>
          <w:tcPr>
            <w:tcW w:w="1417" w:type="dxa"/>
            <w:shd w:val="clear" w:color="auto" w:fill="auto"/>
            <w:noWrap/>
            <w:vAlign w:val="center"/>
            <w:hideMark/>
          </w:tcPr>
          <w:p w14:paraId="4DB54C4A"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1.98%</w:t>
            </w:r>
          </w:p>
        </w:tc>
        <w:tc>
          <w:tcPr>
            <w:tcW w:w="1417" w:type="dxa"/>
            <w:shd w:val="clear" w:color="auto" w:fill="auto"/>
            <w:noWrap/>
            <w:vAlign w:val="center"/>
            <w:hideMark/>
          </w:tcPr>
          <w:p w14:paraId="3F3C9F74"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1.81%</w:t>
            </w:r>
          </w:p>
        </w:tc>
      </w:tr>
      <w:tr w:rsidR="004865EF" w:rsidRPr="004865EF" w14:paraId="67E4C63A" w14:textId="77777777" w:rsidTr="00BF021C">
        <w:trPr>
          <w:trHeight w:val="397"/>
        </w:trPr>
        <w:tc>
          <w:tcPr>
            <w:tcW w:w="1417" w:type="dxa"/>
            <w:shd w:val="clear" w:color="auto" w:fill="auto"/>
            <w:noWrap/>
            <w:vAlign w:val="center"/>
            <w:hideMark/>
          </w:tcPr>
          <w:p w14:paraId="7C0E07CA" w14:textId="77777777" w:rsidR="00593D63" w:rsidRPr="004865EF" w:rsidRDefault="00593D63" w:rsidP="00BF021C">
            <w:pPr>
              <w:widowControl/>
              <w:jc w:val="center"/>
              <w:rPr>
                <w:rFonts w:ascii="楷体" w:eastAsia="楷体" w:hAnsi="楷体" w:cs="Times New Roman"/>
                <w:b/>
                <w:kern w:val="0"/>
                <w:szCs w:val="21"/>
              </w:rPr>
            </w:pPr>
            <w:r w:rsidRPr="004865EF">
              <w:rPr>
                <w:rFonts w:ascii="楷体" w:eastAsia="楷体" w:hAnsi="楷体" w:cs="Times New Roman" w:hint="eastAsia"/>
                <w:b/>
                <w:kern w:val="0"/>
                <w:szCs w:val="21"/>
              </w:rPr>
              <w:t>人工成本</w:t>
            </w:r>
          </w:p>
        </w:tc>
        <w:tc>
          <w:tcPr>
            <w:tcW w:w="1417" w:type="dxa"/>
            <w:shd w:val="clear" w:color="auto" w:fill="auto"/>
            <w:noWrap/>
            <w:vAlign w:val="center"/>
            <w:hideMark/>
          </w:tcPr>
          <w:p w14:paraId="414DD5E8"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2.27%</w:t>
            </w:r>
          </w:p>
        </w:tc>
        <w:tc>
          <w:tcPr>
            <w:tcW w:w="1417" w:type="dxa"/>
            <w:shd w:val="clear" w:color="auto" w:fill="auto"/>
            <w:noWrap/>
            <w:vAlign w:val="center"/>
            <w:hideMark/>
          </w:tcPr>
          <w:p w14:paraId="6213F2FB"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2.17%</w:t>
            </w:r>
          </w:p>
        </w:tc>
        <w:tc>
          <w:tcPr>
            <w:tcW w:w="1417" w:type="dxa"/>
            <w:shd w:val="clear" w:color="auto" w:fill="auto"/>
            <w:noWrap/>
            <w:vAlign w:val="center"/>
            <w:hideMark/>
          </w:tcPr>
          <w:p w14:paraId="325D6EE3"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2.82%</w:t>
            </w:r>
          </w:p>
        </w:tc>
        <w:tc>
          <w:tcPr>
            <w:tcW w:w="1417" w:type="dxa"/>
            <w:shd w:val="clear" w:color="auto" w:fill="auto"/>
            <w:noWrap/>
            <w:vAlign w:val="center"/>
            <w:hideMark/>
          </w:tcPr>
          <w:p w14:paraId="4573BCED"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2.36%</w:t>
            </w:r>
          </w:p>
        </w:tc>
        <w:tc>
          <w:tcPr>
            <w:tcW w:w="1417" w:type="dxa"/>
            <w:shd w:val="clear" w:color="auto" w:fill="auto"/>
            <w:noWrap/>
            <w:vAlign w:val="center"/>
            <w:hideMark/>
          </w:tcPr>
          <w:p w14:paraId="0423AE5D" w14:textId="77777777" w:rsidR="00593D63" w:rsidRPr="004865EF" w:rsidRDefault="00593D63" w:rsidP="00BF021C">
            <w:pPr>
              <w:widowControl/>
              <w:jc w:val="right"/>
              <w:rPr>
                <w:rFonts w:ascii="楷体" w:eastAsia="楷体" w:hAnsi="楷体" w:cs="Times New Roman"/>
                <w:b/>
                <w:kern w:val="0"/>
                <w:sz w:val="22"/>
                <w:szCs w:val="22"/>
              </w:rPr>
            </w:pPr>
            <w:r w:rsidRPr="004865EF">
              <w:rPr>
                <w:rFonts w:ascii="楷体" w:eastAsia="楷体" w:hAnsi="楷体" w:cs="Times New Roman"/>
                <w:b/>
                <w:kern w:val="0"/>
                <w:sz w:val="22"/>
                <w:szCs w:val="22"/>
              </w:rPr>
              <w:t>1.19%</w:t>
            </w:r>
          </w:p>
        </w:tc>
      </w:tr>
    </w:tbl>
    <w:p w14:paraId="4E9591DC" w14:textId="77777777" w:rsidR="00593D63" w:rsidRPr="004865EF" w:rsidRDefault="00593D63" w:rsidP="00FE02AF">
      <w:pPr>
        <w:spacing w:beforeLines="50" w:before="120" w:line="360" w:lineRule="auto"/>
        <w:ind w:firstLineChars="200" w:firstLine="482"/>
        <w:rPr>
          <w:rFonts w:ascii="Times New Roman" w:eastAsia="宋体" w:hAnsi="Times New Roman" w:cs="Times New Roman"/>
          <w:sz w:val="24"/>
          <w:szCs w:val="22"/>
        </w:rPr>
      </w:pPr>
      <w:r w:rsidRPr="004865EF">
        <w:rPr>
          <w:rFonts w:ascii="楷体" w:eastAsia="楷体" w:hAnsi="楷体" w:cs="Times New Roman" w:hint="eastAsia"/>
          <w:b/>
          <w:sz w:val="24"/>
          <w:szCs w:val="22"/>
        </w:rPr>
        <w:t>本次</w:t>
      </w:r>
      <w:proofErr w:type="gramStart"/>
      <w:r w:rsidRPr="004865EF">
        <w:rPr>
          <w:rFonts w:ascii="楷体" w:eastAsia="楷体" w:hAnsi="楷体" w:cs="Times New Roman" w:hint="eastAsia"/>
          <w:b/>
          <w:sz w:val="24"/>
          <w:szCs w:val="22"/>
        </w:rPr>
        <w:t>募投项目</w:t>
      </w:r>
      <w:proofErr w:type="gramEnd"/>
      <w:r w:rsidRPr="004865EF">
        <w:rPr>
          <w:rFonts w:ascii="楷体" w:eastAsia="楷体" w:hAnsi="楷体" w:cs="Times New Roman" w:hint="eastAsia"/>
          <w:b/>
          <w:sz w:val="24"/>
          <w:szCs w:val="22"/>
        </w:rPr>
        <w:t>预计的折旧摊销、运</w:t>
      </w:r>
      <w:proofErr w:type="gramStart"/>
      <w:r w:rsidRPr="004865EF">
        <w:rPr>
          <w:rFonts w:ascii="楷体" w:eastAsia="楷体" w:hAnsi="楷体" w:cs="Times New Roman" w:hint="eastAsia"/>
          <w:b/>
          <w:sz w:val="24"/>
          <w:szCs w:val="22"/>
        </w:rPr>
        <w:t>维成本</w:t>
      </w:r>
      <w:proofErr w:type="gramEnd"/>
      <w:r w:rsidRPr="004865EF">
        <w:rPr>
          <w:rFonts w:ascii="楷体" w:eastAsia="楷体" w:hAnsi="楷体" w:cs="Times New Roman" w:hint="eastAsia"/>
          <w:b/>
          <w:sz w:val="24"/>
          <w:szCs w:val="22"/>
        </w:rPr>
        <w:t>占收入比例与报告期内发行人数据中心实际运营情况接近，水电带宽成本占营业收入比例较高，主要由于发行人预计了较高的单机柜运营用电系数，并充分考虑了电力</w:t>
      </w:r>
      <w:proofErr w:type="gramStart"/>
      <w:r w:rsidRPr="004865EF">
        <w:rPr>
          <w:rFonts w:ascii="楷体" w:eastAsia="楷体" w:hAnsi="楷体" w:cs="Times New Roman" w:hint="eastAsia"/>
          <w:b/>
          <w:sz w:val="24"/>
          <w:szCs w:val="22"/>
        </w:rPr>
        <w:t>占容费用</w:t>
      </w:r>
      <w:proofErr w:type="gramEnd"/>
      <w:r w:rsidRPr="004865EF">
        <w:rPr>
          <w:rFonts w:ascii="楷体" w:eastAsia="楷体" w:hAnsi="楷体" w:cs="Times New Roman" w:hint="eastAsia"/>
          <w:b/>
          <w:sz w:val="24"/>
          <w:szCs w:val="22"/>
        </w:rPr>
        <w:t>的影响；人工成本占收入比例较小，</w:t>
      </w:r>
      <w:proofErr w:type="gramStart"/>
      <w:r w:rsidRPr="004865EF">
        <w:rPr>
          <w:rFonts w:ascii="楷体" w:eastAsia="楷体" w:hAnsi="楷体" w:cs="Times New Roman" w:hint="eastAsia"/>
          <w:b/>
          <w:sz w:val="24"/>
          <w:szCs w:val="22"/>
        </w:rPr>
        <w:t>募投项目</w:t>
      </w:r>
      <w:proofErr w:type="gramEnd"/>
      <w:r w:rsidRPr="004865EF">
        <w:rPr>
          <w:rFonts w:ascii="楷体" w:eastAsia="楷体" w:hAnsi="楷体" w:cs="Times New Roman" w:hint="eastAsia"/>
          <w:b/>
          <w:sz w:val="24"/>
          <w:szCs w:val="22"/>
        </w:rPr>
        <w:t>低于报告期平均水平主要因数据中心设计标准提高，项目故障冗余度增加，日常运营维护人员减少导致。</w:t>
      </w:r>
    </w:p>
    <w:p w14:paraId="30801D24" w14:textId="5C9EDE92" w:rsidR="003D043C" w:rsidRPr="004865EF" w:rsidRDefault="00593D63" w:rsidP="0014561B">
      <w:pPr>
        <w:spacing w:beforeLines="50" w:before="120" w:afterLines="50" w:after="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4</w:t>
      </w:r>
      <w:r w:rsidR="003D043C" w:rsidRPr="004865EF">
        <w:rPr>
          <w:rFonts w:ascii="Times New Roman" w:eastAsia="宋体" w:hAnsi="Times New Roman" w:cs="Times New Roman" w:hint="eastAsia"/>
          <w:sz w:val="24"/>
        </w:rPr>
        <w:t>、毛利率测算的合理性</w:t>
      </w:r>
    </w:p>
    <w:tbl>
      <w:tblPr>
        <w:tblW w:w="8369" w:type="dxa"/>
        <w:tblInd w:w="103" w:type="dxa"/>
        <w:tblLook w:val="04A0" w:firstRow="1" w:lastRow="0" w:firstColumn="1" w:lastColumn="0" w:noHBand="0" w:noVBand="1"/>
      </w:tblPr>
      <w:tblGrid>
        <w:gridCol w:w="1990"/>
        <w:gridCol w:w="1701"/>
        <w:gridCol w:w="1559"/>
        <w:gridCol w:w="1559"/>
        <w:gridCol w:w="1560"/>
      </w:tblGrid>
      <w:tr w:rsidR="004865EF" w:rsidRPr="004865EF" w14:paraId="25DF0F6B" w14:textId="77777777" w:rsidTr="00675378">
        <w:trPr>
          <w:trHeight w:val="454"/>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F89C2" w14:textId="6D758A7F" w:rsidR="00602898" w:rsidRPr="004865EF" w:rsidRDefault="00200E90"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毛利率</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34A6D3"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房山二期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6F0EB35"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嘉定二期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7C2214"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燕郊三四期</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C341A3A"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长沙一期</w:t>
            </w:r>
          </w:p>
        </w:tc>
      </w:tr>
      <w:tr w:rsidR="004865EF" w:rsidRPr="004865EF" w14:paraId="5E297126" w14:textId="77777777" w:rsidTr="00675378">
        <w:trPr>
          <w:trHeight w:val="454"/>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14:paraId="795F485F"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T+1</w:t>
            </w:r>
            <w:r w:rsidRPr="004865EF">
              <w:rPr>
                <w:rFonts w:ascii="Times New Roman" w:eastAsia="宋体" w:hAnsi="Times New Roman" w:cs="Times New Roman"/>
                <w:kern w:val="0"/>
                <w:szCs w:val="21"/>
              </w:rPr>
              <w:t>年</w:t>
            </w:r>
          </w:p>
        </w:tc>
        <w:tc>
          <w:tcPr>
            <w:tcW w:w="1701" w:type="dxa"/>
            <w:tcBorders>
              <w:top w:val="nil"/>
              <w:left w:val="nil"/>
              <w:bottom w:val="single" w:sz="4" w:space="0" w:color="auto"/>
              <w:right w:val="single" w:sz="4" w:space="0" w:color="auto"/>
            </w:tcBorders>
            <w:shd w:val="clear" w:color="auto" w:fill="auto"/>
            <w:noWrap/>
            <w:vAlign w:val="center"/>
            <w:hideMark/>
          </w:tcPr>
          <w:p w14:paraId="57684FCF"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32.95%</w:t>
            </w:r>
          </w:p>
        </w:tc>
        <w:tc>
          <w:tcPr>
            <w:tcW w:w="1559" w:type="dxa"/>
            <w:tcBorders>
              <w:top w:val="nil"/>
              <w:left w:val="nil"/>
              <w:bottom w:val="single" w:sz="4" w:space="0" w:color="auto"/>
              <w:right w:val="single" w:sz="4" w:space="0" w:color="auto"/>
            </w:tcBorders>
            <w:shd w:val="clear" w:color="auto" w:fill="auto"/>
            <w:noWrap/>
            <w:vAlign w:val="center"/>
            <w:hideMark/>
          </w:tcPr>
          <w:p w14:paraId="57CA963C"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41.87%</w:t>
            </w:r>
          </w:p>
        </w:tc>
        <w:tc>
          <w:tcPr>
            <w:tcW w:w="1559" w:type="dxa"/>
            <w:tcBorders>
              <w:top w:val="nil"/>
              <w:left w:val="nil"/>
              <w:bottom w:val="single" w:sz="4" w:space="0" w:color="auto"/>
              <w:right w:val="single" w:sz="4" w:space="0" w:color="auto"/>
            </w:tcBorders>
            <w:shd w:val="clear" w:color="auto" w:fill="auto"/>
            <w:noWrap/>
            <w:vAlign w:val="center"/>
            <w:hideMark/>
          </w:tcPr>
          <w:p w14:paraId="11F2541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18.70%</w:t>
            </w:r>
          </w:p>
        </w:tc>
        <w:tc>
          <w:tcPr>
            <w:tcW w:w="1560" w:type="dxa"/>
            <w:tcBorders>
              <w:top w:val="nil"/>
              <w:left w:val="nil"/>
              <w:bottom w:val="single" w:sz="4" w:space="0" w:color="auto"/>
              <w:right w:val="single" w:sz="4" w:space="0" w:color="auto"/>
            </w:tcBorders>
            <w:shd w:val="clear" w:color="auto" w:fill="auto"/>
            <w:noWrap/>
            <w:vAlign w:val="center"/>
            <w:hideMark/>
          </w:tcPr>
          <w:p w14:paraId="188FC29B"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31.45%</w:t>
            </w:r>
          </w:p>
        </w:tc>
      </w:tr>
      <w:tr w:rsidR="004865EF" w:rsidRPr="004865EF" w14:paraId="32C04E2F" w14:textId="77777777" w:rsidTr="00675378">
        <w:trPr>
          <w:trHeight w:val="454"/>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14:paraId="76E6AB86"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T+2</w:t>
            </w:r>
            <w:r w:rsidRPr="004865EF">
              <w:rPr>
                <w:rFonts w:ascii="Times New Roman" w:eastAsia="宋体" w:hAnsi="Times New Roman" w:cs="Times New Roman"/>
                <w:kern w:val="0"/>
                <w:szCs w:val="21"/>
              </w:rPr>
              <w:t>年</w:t>
            </w:r>
          </w:p>
        </w:tc>
        <w:tc>
          <w:tcPr>
            <w:tcW w:w="1701" w:type="dxa"/>
            <w:tcBorders>
              <w:top w:val="nil"/>
              <w:left w:val="nil"/>
              <w:bottom w:val="single" w:sz="4" w:space="0" w:color="auto"/>
              <w:right w:val="single" w:sz="4" w:space="0" w:color="auto"/>
            </w:tcBorders>
            <w:shd w:val="clear" w:color="auto" w:fill="auto"/>
            <w:noWrap/>
            <w:vAlign w:val="center"/>
            <w:hideMark/>
          </w:tcPr>
          <w:p w14:paraId="0A4F2307"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38.13%</w:t>
            </w:r>
          </w:p>
        </w:tc>
        <w:tc>
          <w:tcPr>
            <w:tcW w:w="1559" w:type="dxa"/>
            <w:tcBorders>
              <w:top w:val="nil"/>
              <w:left w:val="nil"/>
              <w:bottom w:val="single" w:sz="4" w:space="0" w:color="auto"/>
              <w:right w:val="single" w:sz="4" w:space="0" w:color="auto"/>
            </w:tcBorders>
            <w:shd w:val="clear" w:color="auto" w:fill="auto"/>
            <w:noWrap/>
            <w:vAlign w:val="center"/>
            <w:hideMark/>
          </w:tcPr>
          <w:p w14:paraId="18FF73E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35.70%</w:t>
            </w:r>
          </w:p>
        </w:tc>
        <w:tc>
          <w:tcPr>
            <w:tcW w:w="1559" w:type="dxa"/>
            <w:tcBorders>
              <w:top w:val="nil"/>
              <w:left w:val="nil"/>
              <w:bottom w:val="single" w:sz="4" w:space="0" w:color="auto"/>
              <w:right w:val="single" w:sz="4" w:space="0" w:color="auto"/>
            </w:tcBorders>
            <w:shd w:val="clear" w:color="auto" w:fill="auto"/>
            <w:noWrap/>
            <w:vAlign w:val="center"/>
            <w:hideMark/>
          </w:tcPr>
          <w:p w14:paraId="1B0D11EC"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35.30%</w:t>
            </w:r>
          </w:p>
        </w:tc>
        <w:tc>
          <w:tcPr>
            <w:tcW w:w="1560" w:type="dxa"/>
            <w:tcBorders>
              <w:top w:val="nil"/>
              <w:left w:val="nil"/>
              <w:bottom w:val="single" w:sz="4" w:space="0" w:color="auto"/>
              <w:right w:val="single" w:sz="4" w:space="0" w:color="auto"/>
            </w:tcBorders>
            <w:shd w:val="clear" w:color="auto" w:fill="auto"/>
            <w:noWrap/>
            <w:vAlign w:val="center"/>
            <w:hideMark/>
          </w:tcPr>
          <w:p w14:paraId="5F755164"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34.84%</w:t>
            </w:r>
          </w:p>
        </w:tc>
      </w:tr>
      <w:tr w:rsidR="004865EF" w:rsidRPr="004865EF" w14:paraId="2D6DDE27" w14:textId="77777777" w:rsidTr="00675378">
        <w:trPr>
          <w:trHeight w:val="454"/>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14:paraId="1684274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T+3</w:t>
            </w:r>
            <w:r w:rsidRPr="004865EF">
              <w:rPr>
                <w:rFonts w:ascii="Times New Roman" w:eastAsia="宋体" w:hAnsi="Times New Roman" w:cs="Times New Roman"/>
                <w:kern w:val="0"/>
                <w:szCs w:val="21"/>
              </w:rPr>
              <w:t>年</w:t>
            </w:r>
          </w:p>
        </w:tc>
        <w:tc>
          <w:tcPr>
            <w:tcW w:w="1701" w:type="dxa"/>
            <w:tcBorders>
              <w:top w:val="nil"/>
              <w:left w:val="nil"/>
              <w:bottom w:val="single" w:sz="4" w:space="0" w:color="auto"/>
              <w:right w:val="single" w:sz="4" w:space="0" w:color="auto"/>
            </w:tcBorders>
            <w:shd w:val="clear" w:color="auto" w:fill="auto"/>
            <w:noWrap/>
            <w:vAlign w:val="center"/>
            <w:hideMark/>
          </w:tcPr>
          <w:p w14:paraId="66E3D69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40.86%</w:t>
            </w:r>
          </w:p>
        </w:tc>
        <w:tc>
          <w:tcPr>
            <w:tcW w:w="1559" w:type="dxa"/>
            <w:tcBorders>
              <w:top w:val="nil"/>
              <w:left w:val="nil"/>
              <w:bottom w:val="single" w:sz="4" w:space="0" w:color="auto"/>
              <w:right w:val="single" w:sz="4" w:space="0" w:color="auto"/>
            </w:tcBorders>
            <w:shd w:val="clear" w:color="auto" w:fill="auto"/>
            <w:noWrap/>
            <w:vAlign w:val="center"/>
            <w:hideMark/>
          </w:tcPr>
          <w:p w14:paraId="4DAB313F"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44.10%</w:t>
            </w:r>
          </w:p>
        </w:tc>
        <w:tc>
          <w:tcPr>
            <w:tcW w:w="1559" w:type="dxa"/>
            <w:tcBorders>
              <w:top w:val="nil"/>
              <w:left w:val="nil"/>
              <w:bottom w:val="single" w:sz="4" w:space="0" w:color="auto"/>
              <w:right w:val="single" w:sz="4" w:space="0" w:color="auto"/>
            </w:tcBorders>
            <w:shd w:val="clear" w:color="auto" w:fill="auto"/>
            <w:noWrap/>
            <w:vAlign w:val="center"/>
            <w:hideMark/>
          </w:tcPr>
          <w:p w14:paraId="3B8D1D0C"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42.19%</w:t>
            </w:r>
          </w:p>
        </w:tc>
        <w:tc>
          <w:tcPr>
            <w:tcW w:w="1560" w:type="dxa"/>
            <w:tcBorders>
              <w:top w:val="nil"/>
              <w:left w:val="nil"/>
              <w:bottom w:val="single" w:sz="4" w:space="0" w:color="auto"/>
              <w:right w:val="single" w:sz="4" w:space="0" w:color="auto"/>
            </w:tcBorders>
            <w:shd w:val="clear" w:color="auto" w:fill="auto"/>
            <w:noWrap/>
            <w:vAlign w:val="center"/>
            <w:hideMark/>
          </w:tcPr>
          <w:p w14:paraId="2FA0231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43.54%</w:t>
            </w:r>
          </w:p>
        </w:tc>
      </w:tr>
      <w:tr w:rsidR="004865EF" w:rsidRPr="004865EF" w14:paraId="75395C0B" w14:textId="77777777" w:rsidTr="00675378">
        <w:trPr>
          <w:trHeight w:val="454"/>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14:paraId="6AF040A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T+4</w:t>
            </w:r>
            <w:r w:rsidRPr="004865EF">
              <w:rPr>
                <w:rFonts w:ascii="Times New Roman" w:eastAsia="宋体" w:hAnsi="Times New Roman" w:cs="Times New Roman"/>
                <w:kern w:val="0"/>
                <w:szCs w:val="21"/>
              </w:rPr>
              <w:t>年</w:t>
            </w:r>
          </w:p>
        </w:tc>
        <w:tc>
          <w:tcPr>
            <w:tcW w:w="1701" w:type="dxa"/>
            <w:tcBorders>
              <w:top w:val="nil"/>
              <w:left w:val="nil"/>
              <w:bottom w:val="single" w:sz="4" w:space="0" w:color="auto"/>
              <w:right w:val="single" w:sz="4" w:space="0" w:color="auto"/>
            </w:tcBorders>
            <w:shd w:val="clear" w:color="auto" w:fill="auto"/>
            <w:noWrap/>
            <w:vAlign w:val="center"/>
            <w:hideMark/>
          </w:tcPr>
          <w:p w14:paraId="1DEC3EC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40.86%</w:t>
            </w:r>
          </w:p>
        </w:tc>
        <w:tc>
          <w:tcPr>
            <w:tcW w:w="1559" w:type="dxa"/>
            <w:tcBorders>
              <w:top w:val="nil"/>
              <w:left w:val="nil"/>
              <w:bottom w:val="single" w:sz="4" w:space="0" w:color="auto"/>
              <w:right w:val="single" w:sz="4" w:space="0" w:color="auto"/>
            </w:tcBorders>
            <w:shd w:val="clear" w:color="auto" w:fill="auto"/>
            <w:noWrap/>
            <w:vAlign w:val="center"/>
            <w:hideMark/>
          </w:tcPr>
          <w:p w14:paraId="0B30129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44.10%</w:t>
            </w:r>
          </w:p>
        </w:tc>
        <w:tc>
          <w:tcPr>
            <w:tcW w:w="1559" w:type="dxa"/>
            <w:tcBorders>
              <w:top w:val="nil"/>
              <w:left w:val="nil"/>
              <w:bottom w:val="single" w:sz="4" w:space="0" w:color="auto"/>
              <w:right w:val="single" w:sz="4" w:space="0" w:color="auto"/>
            </w:tcBorders>
            <w:shd w:val="clear" w:color="auto" w:fill="auto"/>
            <w:noWrap/>
            <w:vAlign w:val="center"/>
            <w:hideMark/>
          </w:tcPr>
          <w:p w14:paraId="4E44C46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44.65%</w:t>
            </w:r>
          </w:p>
        </w:tc>
        <w:tc>
          <w:tcPr>
            <w:tcW w:w="1560" w:type="dxa"/>
            <w:tcBorders>
              <w:top w:val="nil"/>
              <w:left w:val="nil"/>
              <w:bottom w:val="single" w:sz="4" w:space="0" w:color="auto"/>
              <w:right w:val="single" w:sz="4" w:space="0" w:color="auto"/>
            </w:tcBorders>
            <w:shd w:val="clear" w:color="auto" w:fill="auto"/>
            <w:noWrap/>
            <w:vAlign w:val="center"/>
            <w:hideMark/>
          </w:tcPr>
          <w:p w14:paraId="3F2E7B34"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44.74%</w:t>
            </w:r>
          </w:p>
        </w:tc>
      </w:tr>
      <w:tr w:rsidR="004865EF" w:rsidRPr="004865EF" w14:paraId="1EF09CA2" w14:textId="77777777" w:rsidTr="00675378">
        <w:trPr>
          <w:trHeight w:val="454"/>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14:paraId="348D1040"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年度</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B543A4" w14:textId="77777777" w:rsidR="00602898" w:rsidRPr="004865EF" w:rsidRDefault="00602898" w:rsidP="0060289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IDC</w:t>
            </w:r>
            <w:r w:rsidRPr="004865EF">
              <w:rPr>
                <w:rFonts w:ascii="Times New Roman" w:eastAsia="宋体" w:hAnsi="Times New Roman" w:cs="Times New Roman"/>
                <w:b/>
                <w:bCs/>
                <w:kern w:val="0"/>
                <w:szCs w:val="21"/>
              </w:rPr>
              <w:t>及其增值服务毛利率</w:t>
            </w:r>
          </w:p>
        </w:tc>
      </w:tr>
      <w:tr w:rsidR="004865EF" w:rsidRPr="004865EF" w14:paraId="1B3B4E06" w14:textId="77777777" w:rsidTr="00675378">
        <w:trPr>
          <w:trHeight w:val="454"/>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14:paraId="0FB5B338"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2017</w:t>
            </w:r>
            <w:r w:rsidRPr="004865EF">
              <w:rPr>
                <w:rFonts w:ascii="Times New Roman" w:eastAsia="宋体" w:hAnsi="Times New Roman" w:cs="Times New Roman"/>
                <w:kern w:val="0"/>
                <w:szCs w:val="21"/>
              </w:rPr>
              <w:t>年</w:t>
            </w:r>
          </w:p>
        </w:tc>
        <w:tc>
          <w:tcPr>
            <w:tcW w:w="6379" w:type="dxa"/>
            <w:gridSpan w:val="4"/>
            <w:tcBorders>
              <w:top w:val="nil"/>
              <w:left w:val="nil"/>
              <w:bottom w:val="single" w:sz="4" w:space="0" w:color="auto"/>
              <w:right w:val="single" w:sz="4" w:space="0" w:color="auto"/>
            </w:tcBorders>
            <w:shd w:val="clear" w:color="auto" w:fill="auto"/>
            <w:noWrap/>
            <w:vAlign w:val="center"/>
            <w:hideMark/>
          </w:tcPr>
          <w:p w14:paraId="48A91FF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55.18%</w:t>
            </w:r>
          </w:p>
        </w:tc>
      </w:tr>
      <w:tr w:rsidR="004865EF" w:rsidRPr="004865EF" w14:paraId="547994AD" w14:textId="77777777" w:rsidTr="00675378">
        <w:trPr>
          <w:trHeight w:val="454"/>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14:paraId="4D2CFE1E"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2018</w:t>
            </w:r>
            <w:r w:rsidRPr="004865EF">
              <w:rPr>
                <w:rFonts w:ascii="Times New Roman" w:eastAsia="宋体" w:hAnsi="Times New Roman" w:cs="Times New Roman"/>
                <w:kern w:val="0"/>
                <w:szCs w:val="21"/>
              </w:rPr>
              <w:t>年</w:t>
            </w:r>
          </w:p>
        </w:tc>
        <w:tc>
          <w:tcPr>
            <w:tcW w:w="6379" w:type="dxa"/>
            <w:gridSpan w:val="4"/>
            <w:tcBorders>
              <w:top w:val="nil"/>
              <w:left w:val="nil"/>
              <w:bottom w:val="single" w:sz="4" w:space="0" w:color="auto"/>
              <w:right w:val="single" w:sz="4" w:space="0" w:color="auto"/>
            </w:tcBorders>
            <w:shd w:val="clear" w:color="auto" w:fill="auto"/>
            <w:noWrap/>
            <w:vAlign w:val="center"/>
            <w:hideMark/>
          </w:tcPr>
          <w:p w14:paraId="521D98BE"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56.70%</w:t>
            </w:r>
          </w:p>
        </w:tc>
      </w:tr>
      <w:tr w:rsidR="004865EF" w:rsidRPr="004865EF" w14:paraId="713DA47A" w14:textId="77777777" w:rsidTr="00675378">
        <w:trPr>
          <w:trHeight w:val="454"/>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14:paraId="5749A104"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2019</w:t>
            </w:r>
            <w:r w:rsidRPr="004865EF">
              <w:rPr>
                <w:rFonts w:ascii="Times New Roman" w:eastAsia="宋体" w:hAnsi="Times New Roman" w:cs="Times New Roman"/>
                <w:kern w:val="0"/>
                <w:szCs w:val="21"/>
              </w:rPr>
              <w:t>年</w:t>
            </w:r>
          </w:p>
        </w:tc>
        <w:tc>
          <w:tcPr>
            <w:tcW w:w="6379" w:type="dxa"/>
            <w:gridSpan w:val="4"/>
            <w:tcBorders>
              <w:top w:val="nil"/>
              <w:left w:val="nil"/>
              <w:bottom w:val="single" w:sz="4" w:space="0" w:color="auto"/>
              <w:right w:val="single" w:sz="4" w:space="0" w:color="auto"/>
            </w:tcBorders>
            <w:shd w:val="clear" w:color="auto" w:fill="auto"/>
            <w:noWrap/>
            <w:vAlign w:val="center"/>
            <w:hideMark/>
          </w:tcPr>
          <w:p w14:paraId="3EB2ED12"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54.46%</w:t>
            </w:r>
          </w:p>
        </w:tc>
      </w:tr>
    </w:tbl>
    <w:p w14:paraId="5D4D2596" w14:textId="7E5EADC7" w:rsidR="007F1506" w:rsidRPr="004865EF" w:rsidRDefault="005C456E" w:rsidP="007F1506">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发行人</w:t>
      </w:r>
      <w:r w:rsidR="000A1577" w:rsidRPr="004865EF">
        <w:rPr>
          <w:rFonts w:ascii="Times New Roman" w:eastAsia="宋体" w:hAnsi="Times New Roman" w:cs="Times New Roman" w:hint="eastAsia"/>
          <w:sz w:val="24"/>
          <w:szCs w:val="22"/>
        </w:rPr>
        <w:t>于</w:t>
      </w:r>
      <w:r w:rsidR="000A1577" w:rsidRPr="004865EF">
        <w:rPr>
          <w:rFonts w:ascii="Times New Roman" w:eastAsia="宋体" w:hAnsi="Times New Roman" w:cs="Times New Roman"/>
          <w:sz w:val="24"/>
          <w:szCs w:val="22"/>
        </w:rPr>
        <w:t>2016</w:t>
      </w:r>
      <w:r w:rsidR="000A1577" w:rsidRPr="004865EF">
        <w:rPr>
          <w:rFonts w:ascii="Times New Roman" w:eastAsia="宋体" w:hAnsi="Times New Roman" w:cs="Times New Roman" w:hint="eastAsia"/>
          <w:sz w:val="24"/>
          <w:szCs w:val="22"/>
        </w:rPr>
        <w:t>年非公开发行股份购买资产并募集配套资金，用于</w:t>
      </w:r>
      <w:r w:rsidR="000A1577" w:rsidRPr="004865EF">
        <w:rPr>
          <w:rFonts w:ascii="Times New Roman" w:eastAsia="宋体" w:hAnsi="Times New Roman" w:cs="Times New Roman"/>
          <w:sz w:val="24"/>
          <w:szCs w:val="22"/>
        </w:rPr>
        <w:t>燕郊绿色</w:t>
      </w:r>
      <w:proofErr w:type="gramStart"/>
      <w:r w:rsidR="000A1577" w:rsidRPr="004865EF">
        <w:rPr>
          <w:rFonts w:ascii="Times New Roman" w:eastAsia="宋体" w:hAnsi="Times New Roman" w:cs="Times New Roman"/>
          <w:sz w:val="24"/>
          <w:szCs w:val="22"/>
        </w:rPr>
        <w:t>云计算</w:t>
      </w:r>
      <w:proofErr w:type="gramEnd"/>
      <w:r w:rsidR="000A1577" w:rsidRPr="004865EF">
        <w:rPr>
          <w:rFonts w:ascii="Times New Roman" w:eastAsia="宋体" w:hAnsi="Times New Roman" w:cs="Times New Roman"/>
          <w:sz w:val="24"/>
          <w:szCs w:val="22"/>
        </w:rPr>
        <w:t>基地二期项目</w:t>
      </w:r>
      <w:r w:rsidR="000A1577" w:rsidRPr="004865EF">
        <w:rPr>
          <w:rFonts w:ascii="Times New Roman" w:eastAsia="宋体" w:hAnsi="Times New Roman" w:cs="Times New Roman" w:hint="eastAsia"/>
          <w:sz w:val="24"/>
          <w:szCs w:val="22"/>
        </w:rPr>
        <w:t>（以下简称“燕郊二期”）</w:t>
      </w:r>
      <w:r w:rsidR="000A1577" w:rsidRPr="004865EF">
        <w:rPr>
          <w:rFonts w:ascii="Times New Roman" w:eastAsia="宋体" w:hAnsi="Times New Roman" w:cs="Times New Roman"/>
          <w:sz w:val="24"/>
          <w:szCs w:val="22"/>
        </w:rPr>
        <w:t>、上海嘉定绿色</w:t>
      </w:r>
      <w:proofErr w:type="gramStart"/>
      <w:r w:rsidR="000A1577" w:rsidRPr="004865EF">
        <w:rPr>
          <w:rFonts w:ascii="Times New Roman" w:eastAsia="宋体" w:hAnsi="Times New Roman" w:cs="Times New Roman"/>
          <w:sz w:val="24"/>
          <w:szCs w:val="22"/>
        </w:rPr>
        <w:t>云计算</w:t>
      </w:r>
      <w:proofErr w:type="gramEnd"/>
      <w:r w:rsidR="000A1577" w:rsidRPr="004865EF">
        <w:rPr>
          <w:rFonts w:ascii="Times New Roman" w:eastAsia="宋体" w:hAnsi="Times New Roman" w:cs="Times New Roman"/>
          <w:sz w:val="24"/>
          <w:szCs w:val="22"/>
        </w:rPr>
        <w:t>基地一期项目</w:t>
      </w:r>
      <w:r w:rsidR="000A1577" w:rsidRPr="004865EF">
        <w:rPr>
          <w:rFonts w:ascii="Times New Roman" w:eastAsia="宋体" w:hAnsi="Times New Roman" w:cs="Times New Roman" w:hint="eastAsia"/>
          <w:sz w:val="24"/>
          <w:szCs w:val="22"/>
        </w:rPr>
        <w:t>（以下简称“嘉定一期”）和</w:t>
      </w:r>
      <w:r w:rsidR="000A1577" w:rsidRPr="004865EF">
        <w:rPr>
          <w:rFonts w:ascii="Times New Roman" w:eastAsia="宋体" w:hAnsi="Times New Roman" w:cs="Times New Roman"/>
          <w:sz w:val="24"/>
          <w:szCs w:val="22"/>
        </w:rPr>
        <w:t>房山绿色</w:t>
      </w:r>
      <w:proofErr w:type="gramStart"/>
      <w:r w:rsidR="000A1577" w:rsidRPr="004865EF">
        <w:rPr>
          <w:rFonts w:ascii="Times New Roman" w:eastAsia="宋体" w:hAnsi="Times New Roman" w:cs="Times New Roman"/>
          <w:sz w:val="24"/>
          <w:szCs w:val="22"/>
        </w:rPr>
        <w:t>云计算</w:t>
      </w:r>
      <w:proofErr w:type="gramEnd"/>
      <w:r w:rsidR="000A1577" w:rsidRPr="004865EF">
        <w:rPr>
          <w:rFonts w:ascii="Times New Roman" w:eastAsia="宋体" w:hAnsi="Times New Roman" w:cs="Times New Roman"/>
          <w:sz w:val="24"/>
          <w:szCs w:val="22"/>
        </w:rPr>
        <w:t>基地一期项目</w:t>
      </w:r>
      <w:r w:rsidR="000A1577" w:rsidRPr="004865EF">
        <w:rPr>
          <w:rFonts w:ascii="Times New Roman" w:eastAsia="宋体" w:hAnsi="Times New Roman" w:cs="Times New Roman" w:hint="eastAsia"/>
          <w:sz w:val="24"/>
          <w:szCs w:val="22"/>
        </w:rPr>
        <w:t>（以下简称“房山一期”）</w:t>
      </w:r>
      <w:r w:rsidR="001E40E8" w:rsidRPr="004865EF">
        <w:rPr>
          <w:rFonts w:ascii="Times New Roman" w:eastAsia="宋体" w:hAnsi="Times New Roman" w:cs="Times New Roman" w:hint="eastAsia"/>
          <w:sz w:val="24"/>
          <w:szCs w:val="22"/>
        </w:rPr>
        <w:t>建设。</w:t>
      </w:r>
      <w:proofErr w:type="gramStart"/>
      <w:r w:rsidR="001E40E8" w:rsidRPr="004865EF">
        <w:rPr>
          <w:rFonts w:ascii="Times New Roman" w:eastAsia="宋体" w:hAnsi="Times New Roman" w:cs="Times New Roman" w:hint="eastAsia"/>
          <w:sz w:val="24"/>
          <w:szCs w:val="22"/>
        </w:rPr>
        <w:t>除燕郊</w:t>
      </w:r>
      <w:proofErr w:type="gramEnd"/>
      <w:r w:rsidR="001E40E8" w:rsidRPr="004865EF">
        <w:rPr>
          <w:rFonts w:ascii="Times New Roman" w:eastAsia="宋体" w:hAnsi="Times New Roman" w:cs="Times New Roman" w:hint="eastAsia"/>
          <w:sz w:val="24"/>
          <w:szCs w:val="22"/>
        </w:rPr>
        <w:t>二期项目外（燕郊一二期项目统一核算，无法统计单一项</w:t>
      </w:r>
      <w:r w:rsidR="001E40E8" w:rsidRPr="004865EF">
        <w:rPr>
          <w:rFonts w:ascii="Times New Roman" w:eastAsia="宋体" w:hAnsi="Times New Roman" w:cs="Times New Roman" w:hint="eastAsia"/>
          <w:sz w:val="24"/>
          <w:szCs w:val="22"/>
        </w:rPr>
        <w:lastRenderedPageBreak/>
        <w:t>目毛利率水平），</w:t>
      </w:r>
      <w:r w:rsidR="000A1577" w:rsidRPr="004865EF">
        <w:rPr>
          <w:rFonts w:ascii="Times New Roman" w:eastAsia="宋体" w:hAnsi="Times New Roman" w:cs="Times New Roman" w:hint="eastAsia"/>
          <w:sz w:val="24"/>
          <w:szCs w:val="22"/>
        </w:rPr>
        <w:t>报告期内嘉定一期项目的毛利率分别为</w:t>
      </w:r>
      <w:r w:rsidR="000A1577" w:rsidRPr="004865EF">
        <w:rPr>
          <w:rFonts w:ascii="Times New Roman" w:eastAsia="宋体" w:hAnsi="Times New Roman" w:cs="Times New Roman"/>
          <w:sz w:val="24"/>
          <w:szCs w:val="22"/>
        </w:rPr>
        <w:t>27.94%</w:t>
      </w:r>
      <w:r w:rsidR="000A1577" w:rsidRPr="004865EF">
        <w:rPr>
          <w:rFonts w:ascii="Times New Roman" w:eastAsia="宋体" w:hAnsi="Times New Roman" w:cs="Times New Roman" w:hint="eastAsia"/>
          <w:sz w:val="24"/>
          <w:szCs w:val="22"/>
        </w:rPr>
        <w:t>、</w:t>
      </w:r>
      <w:r w:rsidR="000A1577" w:rsidRPr="004865EF">
        <w:rPr>
          <w:rFonts w:ascii="Times New Roman" w:eastAsia="宋体" w:hAnsi="Times New Roman" w:cs="Times New Roman"/>
          <w:sz w:val="24"/>
          <w:szCs w:val="22"/>
        </w:rPr>
        <w:t>34.28%</w:t>
      </w:r>
      <w:r w:rsidR="000A1577" w:rsidRPr="004865EF">
        <w:rPr>
          <w:rFonts w:ascii="Times New Roman" w:eastAsia="宋体" w:hAnsi="Times New Roman" w:cs="Times New Roman" w:hint="eastAsia"/>
          <w:sz w:val="24"/>
          <w:szCs w:val="22"/>
        </w:rPr>
        <w:t>和</w:t>
      </w:r>
      <w:r w:rsidR="000A1577" w:rsidRPr="004865EF">
        <w:rPr>
          <w:rFonts w:ascii="Times New Roman" w:eastAsia="宋体" w:hAnsi="Times New Roman" w:cs="Times New Roman"/>
          <w:sz w:val="24"/>
          <w:szCs w:val="22"/>
        </w:rPr>
        <w:t>56.07%</w:t>
      </w:r>
      <w:r w:rsidR="000A1577" w:rsidRPr="004865EF">
        <w:rPr>
          <w:rFonts w:ascii="Times New Roman" w:eastAsia="宋体" w:hAnsi="Times New Roman" w:cs="Times New Roman" w:hint="eastAsia"/>
          <w:sz w:val="24"/>
          <w:szCs w:val="22"/>
        </w:rPr>
        <w:t>，房山一期项目</w:t>
      </w:r>
      <w:r w:rsidR="00CB3BB7" w:rsidRPr="004865EF">
        <w:rPr>
          <w:rFonts w:ascii="Times New Roman" w:eastAsia="宋体" w:hAnsi="Times New Roman" w:cs="Times New Roman" w:hint="eastAsia"/>
          <w:sz w:val="24"/>
          <w:szCs w:val="22"/>
        </w:rPr>
        <w:t>（</w:t>
      </w:r>
      <w:r w:rsidR="00CB3BB7" w:rsidRPr="004865EF">
        <w:rPr>
          <w:rFonts w:ascii="Times New Roman" w:eastAsia="宋体" w:hAnsi="Times New Roman" w:cs="Times New Roman"/>
          <w:sz w:val="24"/>
          <w:szCs w:val="22"/>
        </w:rPr>
        <w:t>2019</w:t>
      </w:r>
      <w:r w:rsidR="00CB3BB7" w:rsidRPr="004865EF">
        <w:rPr>
          <w:rFonts w:ascii="Times New Roman" w:eastAsia="宋体" w:hAnsi="Times New Roman" w:cs="Times New Roman" w:hint="eastAsia"/>
          <w:sz w:val="24"/>
          <w:szCs w:val="22"/>
        </w:rPr>
        <w:t>年开始投入运营）</w:t>
      </w:r>
      <w:r w:rsidR="000A1577" w:rsidRPr="004865EF">
        <w:rPr>
          <w:rFonts w:ascii="Times New Roman" w:eastAsia="宋体" w:hAnsi="Times New Roman" w:cs="Times New Roman" w:hint="eastAsia"/>
          <w:sz w:val="24"/>
          <w:szCs w:val="22"/>
        </w:rPr>
        <w:t>的毛利率为</w:t>
      </w:r>
      <w:r w:rsidR="00CB3BB7" w:rsidRPr="004865EF">
        <w:rPr>
          <w:rFonts w:ascii="Times New Roman" w:eastAsia="宋体" w:hAnsi="Times New Roman" w:cs="Times New Roman"/>
          <w:sz w:val="24"/>
          <w:szCs w:val="22"/>
        </w:rPr>
        <w:t>24.87%</w:t>
      </w:r>
      <w:r w:rsidR="007F1506" w:rsidRPr="004865EF">
        <w:rPr>
          <w:rFonts w:ascii="Times New Roman" w:eastAsia="宋体" w:hAnsi="Times New Roman" w:cs="Times New Roman" w:hint="eastAsia"/>
          <w:sz w:val="24"/>
          <w:szCs w:val="22"/>
        </w:rPr>
        <w:t>。</w:t>
      </w:r>
      <w:r w:rsidR="00CB3BB7" w:rsidRPr="004865EF">
        <w:rPr>
          <w:rFonts w:ascii="Times New Roman" w:eastAsia="宋体" w:hAnsi="Times New Roman" w:cs="Times New Roman" w:hint="eastAsia"/>
          <w:sz w:val="24"/>
          <w:szCs w:val="22"/>
        </w:rPr>
        <w:t>项目运营初期毛利率较低，主要由于数据中心</w:t>
      </w:r>
      <w:r w:rsidR="003419B8" w:rsidRPr="004865EF">
        <w:rPr>
          <w:rFonts w:ascii="Times New Roman" w:eastAsia="宋体" w:hAnsi="Times New Roman" w:cs="Times New Roman" w:hint="eastAsia"/>
          <w:sz w:val="24"/>
          <w:szCs w:val="22"/>
        </w:rPr>
        <w:t>全部</w:t>
      </w:r>
      <w:r w:rsidR="00CB3BB7" w:rsidRPr="004865EF">
        <w:rPr>
          <w:rFonts w:ascii="Times New Roman" w:eastAsia="宋体" w:hAnsi="Times New Roman" w:cs="Times New Roman" w:hint="eastAsia"/>
          <w:sz w:val="24"/>
          <w:szCs w:val="22"/>
        </w:rPr>
        <w:t>楼宇</w:t>
      </w:r>
      <w:r w:rsidR="003419B8" w:rsidRPr="004865EF">
        <w:rPr>
          <w:rFonts w:ascii="Times New Roman" w:eastAsia="宋体" w:hAnsi="Times New Roman" w:cs="Times New Roman" w:hint="eastAsia"/>
          <w:sz w:val="24"/>
          <w:szCs w:val="22"/>
        </w:rPr>
        <w:t>建设完工，部分楼宇的</w:t>
      </w:r>
      <w:r w:rsidR="00CB3BB7" w:rsidRPr="004865EF">
        <w:rPr>
          <w:rFonts w:ascii="Times New Roman" w:eastAsia="宋体" w:hAnsi="Times New Roman" w:cs="Times New Roman" w:hint="eastAsia"/>
          <w:sz w:val="24"/>
          <w:szCs w:val="22"/>
        </w:rPr>
        <w:t>机电、消防等公用设施</w:t>
      </w:r>
      <w:r w:rsidR="003419B8" w:rsidRPr="004865EF">
        <w:rPr>
          <w:rFonts w:ascii="Times New Roman" w:eastAsia="宋体" w:hAnsi="Times New Roman" w:cs="Times New Roman" w:hint="eastAsia"/>
          <w:sz w:val="24"/>
          <w:szCs w:val="22"/>
        </w:rPr>
        <w:t>投入使用，上述资产折旧摊销金额较大，而机柜上架率仍处于攀升阶段</w:t>
      </w:r>
      <w:r w:rsidR="007819D1" w:rsidRPr="004865EF">
        <w:rPr>
          <w:rFonts w:ascii="Times New Roman" w:eastAsia="宋体" w:hAnsi="Times New Roman" w:cs="Times New Roman" w:hint="eastAsia"/>
          <w:sz w:val="24"/>
          <w:szCs w:val="22"/>
        </w:rPr>
        <w:t>，基础电费金额较高，尚未形成规模效应</w:t>
      </w:r>
      <w:r w:rsidR="003419B8" w:rsidRPr="004865EF">
        <w:rPr>
          <w:rFonts w:ascii="Times New Roman" w:eastAsia="宋体" w:hAnsi="Times New Roman" w:cs="Times New Roman" w:hint="eastAsia"/>
          <w:sz w:val="24"/>
          <w:szCs w:val="22"/>
        </w:rPr>
        <w:t>；随着机柜销售进度的增加，毛利率呈逐年上升趋势。发行人本次</w:t>
      </w:r>
      <w:proofErr w:type="gramStart"/>
      <w:r w:rsidR="003419B8" w:rsidRPr="004865EF">
        <w:rPr>
          <w:rFonts w:ascii="Times New Roman" w:eastAsia="宋体" w:hAnsi="Times New Roman" w:cs="Times New Roman" w:hint="eastAsia"/>
          <w:sz w:val="24"/>
          <w:szCs w:val="22"/>
        </w:rPr>
        <w:t>募投项目</w:t>
      </w:r>
      <w:proofErr w:type="gramEnd"/>
      <w:r w:rsidR="003419B8" w:rsidRPr="004865EF">
        <w:rPr>
          <w:rFonts w:ascii="Times New Roman" w:eastAsia="宋体" w:hAnsi="Times New Roman" w:cs="Times New Roman" w:hint="eastAsia"/>
          <w:sz w:val="24"/>
          <w:szCs w:val="22"/>
        </w:rPr>
        <w:t>的毛利率波动原因，与实际运营情况一致，均呈由低到高的趋势</w:t>
      </w:r>
      <w:r w:rsidR="000B7B4E" w:rsidRPr="004865EF">
        <w:rPr>
          <w:rFonts w:ascii="Times New Roman" w:eastAsia="宋体" w:hAnsi="Times New Roman" w:cs="Times New Roman" w:hint="eastAsia"/>
          <w:sz w:val="24"/>
          <w:szCs w:val="22"/>
        </w:rPr>
        <w:t>。</w:t>
      </w:r>
      <w:r w:rsidR="0066323D" w:rsidRPr="004865EF">
        <w:rPr>
          <w:rFonts w:ascii="楷体" w:eastAsia="楷体" w:hAnsi="楷体" w:cs="Times New Roman" w:hint="eastAsia"/>
          <w:b/>
          <w:sz w:val="24"/>
          <w:szCs w:val="22"/>
        </w:rPr>
        <w:t>上海嘉定二期项目</w:t>
      </w:r>
      <w:r w:rsidR="0066323D" w:rsidRPr="004865EF">
        <w:rPr>
          <w:rFonts w:ascii="楷体" w:eastAsia="楷体" w:hAnsi="楷体" w:cs="Times New Roman"/>
          <w:b/>
          <w:sz w:val="24"/>
          <w:szCs w:val="22"/>
        </w:rPr>
        <w:t>T+2年</w:t>
      </w:r>
      <w:r w:rsidR="0066323D" w:rsidRPr="004865EF">
        <w:rPr>
          <w:rFonts w:ascii="楷体" w:eastAsia="楷体" w:hAnsi="楷体" w:cs="Times New Roman" w:hint="eastAsia"/>
          <w:b/>
          <w:sz w:val="24"/>
          <w:szCs w:val="22"/>
        </w:rPr>
        <w:t>毛利率为</w:t>
      </w:r>
      <w:r w:rsidR="0066323D" w:rsidRPr="004865EF">
        <w:rPr>
          <w:rFonts w:ascii="楷体" w:eastAsia="楷体" w:hAnsi="楷体" w:cs="Times New Roman"/>
          <w:b/>
          <w:sz w:val="24"/>
          <w:szCs w:val="22"/>
        </w:rPr>
        <w:t>35.70%，</w:t>
      </w:r>
      <w:r w:rsidR="0066323D" w:rsidRPr="004865EF">
        <w:rPr>
          <w:rFonts w:ascii="楷体" w:eastAsia="楷体" w:hAnsi="楷体" w:cs="Times New Roman" w:hint="eastAsia"/>
          <w:b/>
          <w:sz w:val="24"/>
          <w:szCs w:val="22"/>
        </w:rPr>
        <w:t>低于T+1年的毛利率水平，主要系嘉定项目T+2年机柜仍处于逐步上架过程，全年度加权平均上架率为70%，而全部机柜预计于T+1年末完工结转，T+2年计提了全年的资产折旧摊销，因此拉低了</w:t>
      </w:r>
      <w:r w:rsidR="0066323D" w:rsidRPr="004865EF">
        <w:rPr>
          <w:rFonts w:ascii="楷体" w:eastAsia="楷体" w:hAnsi="楷体" w:cs="Times New Roman"/>
          <w:b/>
          <w:sz w:val="24"/>
          <w:szCs w:val="22"/>
        </w:rPr>
        <w:t>T+2年</w:t>
      </w:r>
      <w:r w:rsidR="0066323D" w:rsidRPr="004865EF">
        <w:rPr>
          <w:rFonts w:ascii="楷体" w:eastAsia="楷体" w:hAnsi="楷体" w:cs="Times New Roman" w:hint="eastAsia"/>
          <w:b/>
          <w:sz w:val="24"/>
          <w:szCs w:val="22"/>
        </w:rPr>
        <w:t>的毛利率水平。</w:t>
      </w:r>
    </w:p>
    <w:p w14:paraId="056815E8" w14:textId="7072142F" w:rsidR="000B7B4E" w:rsidRPr="004865EF" w:rsidRDefault="007F1506" w:rsidP="00E87AF9">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项目运营初期毛利率受多因素影响，因此稳定运营期间的毛利率具有较高可比性。报告期内，发行人</w:t>
      </w:r>
      <w:r w:rsidRPr="004865EF">
        <w:rPr>
          <w:rFonts w:ascii="Times New Roman" w:eastAsia="宋体" w:hAnsi="Times New Roman" w:cs="Times New Roman"/>
          <w:sz w:val="24"/>
          <w:szCs w:val="22"/>
        </w:rPr>
        <w:t>IDC</w:t>
      </w:r>
      <w:r w:rsidRPr="004865EF">
        <w:rPr>
          <w:rFonts w:ascii="Times New Roman" w:eastAsia="宋体" w:hAnsi="Times New Roman" w:cs="Times New Roman" w:hint="eastAsia"/>
          <w:sz w:val="24"/>
          <w:szCs w:val="22"/>
        </w:rPr>
        <w:t>及其增值服务毛利率分别为</w:t>
      </w:r>
      <w:r w:rsidRPr="004865EF">
        <w:rPr>
          <w:rFonts w:ascii="Times New Roman" w:eastAsia="宋体" w:hAnsi="Times New Roman" w:cs="Times New Roman"/>
          <w:sz w:val="24"/>
          <w:szCs w:val="22"/>
        </w:rPr>
        <w:t>55.18%</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sz w:val="24"/>
          <w:szCs w:val="22"/>
        </w:rPr>
        <w:t>56.70%</w:t>
      </w:r>
      <w:r w:rsidRPr="004865EF">
        <w:rPr>
          <w:rFonts w:ascii="Times New Roman" w:eastAsia="宋体" w:hAnsi="Times New Roman" w:cs="Times New Roman" w:hint="eastAsia"/>
          <w:sz w:val="24"/>
          <w:szCs w:val="22"/>
        </w:rPr>
        <w:t>和</w:t>
      </w:r>
      <w:r w:rsidRPr="004865EF">
        <w:rPr>
          <w:rFonts w:ascii="Times New Roman" w:eastAsia="宋体" w:hAnsi="Times New Roman" w:cs="Times New Roman"/>
          <w:sz w:val="24"/>
          <w:szCs w:val="22"/>
        </w:rPr>
        <w:t>54.46%</w:t>
      </w:r>
      <w:r w:rsidRPr="004865EF">
        <w:rPr>
          <w:rFonts w:ascii="Times New Roman" w:eastAsia="宋体" w:hAnsi="Times New Roman" w:cs="Times New Roman" w:hint="eastAsia"/>
          <w:sz w:val="24"/>
          <w:szCs w:val="22"/>
        </w:rPr>
        <w:t>，毛利率水平较高且较为稳定。本次四个</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毛利率水平在</w:t>
      </w:r>
      <w:r w:rsidRPr="004865EF">
        <w:rPr>
          <w:rFonts w:ascii="Times New Roman" w:eastAsia="宋体" w:hAnsi="Times New Roman" w:cs="Times New Roman"/>
          <w:sz w:val="24"/>
          <w:szCs w:val="22"/>
        </w:rPr>
        <w:t>T+4</w:t>
      </w:r>
      <w:r w:rsidRPr="004865EF">
        <w:rPr>
          <w:rFonts w:ascii="Times New Roman" w:eastAsia="宋体" w:hAnsi="Times New Roman" w:cs="Times New Roman" w:hint="eastAsia"/>
          <w:sz w:val="24"/>
          <w:szCs w:val="22"/>
        </w:rPr>
        <w:t>年达到稳定，毛利率水平在</w:t>
      </w:r>
      <w:r w:rsidRPr="004865EF">
        <w:rPr>
          <w:rFonts w:ascii="Times New Roman" w:eastAsia="宋体" w:hAnsi="Times New Roman" w:cs="Times New Roman"/>
          <w:sz w:val="24"/>
          <w:szCs w:val="22"/>
        </w:rPr>
        <w:t>40%-45%</w:t>
      </w:r>
      <w:r w:rsidRPr="004865EF">
        <w:rPr>
          <w:rFonts w:ascii="Times New Roman" w:eastAsia="宋体" w:hAnsi="Times New Roman" w:cs="Times New Roman" w:hint="eastAsia"/>
          <w:sz w:val="24"/>
          <w:szCs w:val="22"/>
        </w:rPr>
        <w:t>区间内，低于发行人</w:t>
      </w:r>
      <w:r w:rsidRPr="004865EF">
        <w:rPr>
          <w:rFonts w:ascii="Times New Roman" w:eastAsia="宋体" w:hAnsi="Times New Roman" w:cs="Times New Roman"/>
          <w:sz w:val="24"/>
          <w:szCs w:val="22"/>
        </w:rPr>
        <w:t>IDC</w:t>
      </w:r>
      <w:r w:rsidRPr="004865EF">
        <w:rPr>
          <w:rFonts w:ascii="Times New Roman" w:eastAsia="宋体" w:hAnsi="Times New Roman" w:cs="Times New Roman" w:hint="eastAsia"/>
          <w:sz w:val="24"/>
          <w:szCs w:val="22"/>
        </w:rPr>
        <w:t>及其增值服务历史毛利率水平，效益测算较为谨慎。</w:t>
      </w:r>
    </w:p>
    <w:p w14:paraId="7B01943F" w14:textId="6F7F1134" w:rsidR="003D043C" w:rsidRPr="004865EF" w:rsidRDefault="00593D63" w:rsidP="00E87AF9">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5</w:t>
      </w:r>
      <w:r w:rsidR="003D043C" w:rsidRPr="004865EF">
        <w:rPr>
          <w:rFonts w:ascii="Times New Roman" w:eastAsia="宋体" w:hAnsi="Times New Roman" w:cs="Times New Roman" w:hint="eastAsia"/>
          <w:sz w:val="24"/>
          <w:szCs w:val="22"/>
        </w:rPr>
        <w:t>、回报周期和收益率预测的合理性</w:t>
      </w:r>
    </w:p>
    <w:p w14:paraId="4C84BEDD" w14:textId="77777777" w:rsidR="007F1506" w:rsidRPr="004865EF" w:rsidRDefault="007F1506" w:rsidP="00E87AF9">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报告期内，发行人的主要数据中心运营主体均为高新技术企业，预计本次</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运营主体在投入运营的第二年能够取得高新技术企业资质，因此第一年运营期适用</w:t>
      </w:r>
      <w:r w:rsidRPr="004865EF">
        <w:rPr>
          <w:rFonts w:ascii="Times New Roman" w:eastAsia="宋体" w:hAnsi="Times New Roman" w:cs="Times New Roman"/>
          <w:sz w:val="24"/>
          <w:szCs w:val="22"/>
        </w:rPr>
        <w:t>25%</w:t>
      </w:r>
      <w:r w:rsidRPr="004865EF">
        <w:rPr>
          <w:rFonts w:ascii="Times New Roman" w:eastAsia="宋体" w:hAnsi="Times New Roman" w:cs="Times New Roman" w:hint="eastAsia"/>
          <w:sz w:val="24"/>
          <w:szCs w:val="22"/>
        </w:rPr>
        <w:t>所得税率，第二年及以后适用</w:t>
      </w:r>
      <w:r w:rsidRPr="004865EF">
        <w:rPr>
          <w:rFonts w:ascii="Times New Roman" w:eastAsia="宋体" w:hAnsi="Times New Roman" w:cs="Times New Roman"/>
          <w:sz w:val="24"/>
          <w:szCs w:val="22"/>
        </w:rPr>
        <w:t>15%</w:t>
      </w:r>
      <w:r w:rsidRPr="004865EF">
        <w:rPr>
          <w:rFonts w:ascii="Times New Roman" w:eastAsia="宋体" w:hAnsi="Times New Roman" w:cs="Times New Roman" w:hint="eastAsia"/>
          <w:sz w:val="24"/>
          <w:szCs w:val="22"/>
        </w:rPr>
        <w:t>所得税率。</w:t>
      </w:r>
    </w:p>
    <w:p w14:paraId="3ED0AEED" w14:textId="1B9B01E0" w:rsidR="007F1506" w:rsidRPr="004865EF" w:rsidRDefault="007F1506" w:rsidP="007F1506">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根据行业经验，数据中心一般在</w:t>
      </w:r>
      <w:r w:rsidRPr="004865EF">
        <w:rPr>
          <w:rFonts w:ascii="Times New Roman" w:eastAsia="宋体" w:hAnsi="Times New Roman" w:cs="Times New Roman"/>
          <w:sz w:val="24"/>
          <w:szCs w:val="22"/>
        </w:rPr>
        <w:t>40%-50%</w:t>
      </w:r>
      <w:r w:rsidRPr="004865EF">
        <w:rPr>
          <w:rFonts w:ascii="Times New Roman" w:eastAsia="宋体" w:hAnsi="Times New Roman" w:cs="Times New Roman" w:hint="eastAsia"/>
          <w:sz w:val="24"/>
          <w:szCs w:val="22"/>
        </w:rPr>
        <w:t>的上架率时点达到盈亏平衡，该盈亏平衡点的假设基础为数据中心机柜全部建成投产（不考虑实际销售进度），相关资产的折旧摊销全部计入当期损益。本次</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属于零售型</w:t>
      </w:r>
      <w:r w:rsidRPr="004865EF">
        <w:rPr>
          <w:rFonts w:ascii="Times New Roman" w:eastAsia="宋体" w:hAnsi="Times New Roman" w:cs="Times New Roman"/>
          <w:sz w:val="24"/>
          <w:szCs w:val="22"/>
        </w:rPr>
        <w:t>IDC</w:t>
      </w:r>
      <w:r w:rsidRPr="004865EF">
        <w:rPr>
          <w:rFonts w:ascii="Times New Roman" w:eastAsia="宋体" w:hAnsi="Times New Roman" w:cs="Times New Roman" w:hint="eastAsia"/>
          <w:sz w:val="24"/>
          <w:szCs w:val="22"/>
        </w:rPr>
        <w:t>，存在相对较长的销售周期，发行人根据机柜库存冗余并结合实际销售情况，把控数据中心投产进度，将建设和销售环节同步实施，分批次完工结转资产，缩短数据中心完工和实现销售之间的时间周期，保证项目在运营初期即实现盈利。</w:t>
      </w:r>
    </w:p>
    <w:tbl>
      <w:tblPr>
        <w:tblW w:w="837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6"/>
        <w:gridCol w:w="3260"/>
        <w:gridCol w:w="1985"/>
        <w:gridCol w:w="1701"/>
      </w:tblGrid>
      <w:tr w:rsidR="004865EF" w:rsidRPr="004865EF" w14:paraId="43A2FCDD" w14:textId="77777777" w:rsidTr="00602898">
        <w:trPr>
          <w:trHeight w:val="420"/>
        </w:trPr>
        <w:tc>
          <w:tcPr>
            <w:tcW w:w="1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660C58"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公司名称</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F47C0F"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项目名称</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484177"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投资回收期（年）</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0428EE" w14:textId="77777777" w:rsidR="00602898" w:rsidRPr="004865EF" w:rsidRDefault="00602898" w:rsidP="00602898">
            <w:pPr>
              <w:widowControl/>
              <w:jc w:val="center"/>
              <w:rPr>
                <w:rFonts w:ascii="Times New Roman" w:eastAsia="宋体" w:hAnsi="Times New Roman" w:cs="Times New Roman"/>
                <w:b/>
                <w:kern w:val="0"/>
                <w:szCs w:val="21"/>
              </w:rPr>
            </w:pPr>
            <w:r w:rsidRPr="004865EF">
              <w:rPr>
                <w:rFonts w:ascii="Times New Roman" w:eastAsia="宋体" w:hAnsi="Times New Roman" w:cs="Times New Roman"/>
                <w:b/>
                <w:kern w:val="0"/>
                <w:szCs w:val="21"/>
              </w:rPr>
              <w:t>内部收益率</w:t>
            </w:r>
          </w:p>
        </w:tc>
      </w:tr>
      <w:tr w:rsidR="004865EF" w:rsidRPr="004865EF" w14:paraId="5F630D90" w14:textId="77777777" w:rsidTr="00602898">
        <w:trPr>
          <w:trHeight w:val="420"/>
        </w:trPr>
        <w:tc>
          <w:tcPr>
            <w:tcW w:w="142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CB9249" w14:textId="77777777" w:rsidR="00602898" w:rsidRPr="004865EF" w:rsidRDefault="00602898" w:rsidP="00602898">
            <w:pPr>
              <w:widowControl/>
              <w:jc w:val="center"/>
              <w:rPr>
                <w:rFonts w:ascii="Times New Roman" w:eastAsia="宋体" w:hAnsi="Times New Roman" w:cs="Times New Roman"/>
                <w:kern w:val="0"/>
                <w:szCs w:val="21"/>
              </w:rPr>
            </w:pPr>
            <w:proofErr w:type="gramStart"/>
            <w:r w:rsidRPr="004865EF">
              <w:rPr>
                <w:rFonts w:ascii="Times New Roman" w:eastAsia="宋体" w:hAnsi="Times New Roman" w:cs="Times New Roman"/>
                <w:kern w:val="0"/>
                <w:szCs w:val="21"/>
              </w:rPr>
              <w:t>数据港</w:t>
            </w:r>
            <w:proofErr w:type="gramEnd"/>
          </w:p>
        </w:tc>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B7D8DB"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JN13-B</w:t>
            </w:r>
            <w:proofErr w:type="gramStart"/>
            <w:r w:rsidRPr="004865EF">
              <w:rPr>
                <w:rFonts w:ascii="Times New Roman" w:eastAsia="宋体" w:hAnsi="Times New Roman" w:cs="Times New Roman"/>
                <w:kern w:val="0"/>
                <w:szCs w:val="21"/>
              </w:rPr>
              <w:t>云计算</w:t>
            </w:r>
            <w:proofErr w:type="gramEnd"/>
            <w:r w:rsidRPr="004865EF">
              <w:rPr>
                <w:rFonts w:ascii="Times New Roman" w:eastAsia="宋体" w:hAnsi="Times New Roman" w:cs="Times New Roman"/>
                <w:kern w:val="0"/>
                <w:szCs w:val="21"/>
              </w:rPr>
              <w:t>数据中心项目</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071756"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7.02</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17068D"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10.09%</w:t>
            </w:r>
          </w:p>
        </w:tc>
      </w:tr>
      <w:tr w:rsidR="004865EF" w:rsidRPr="004865EF" w14:paraId="2C96CE28" w14:textId="77777777" w:rsidTr="00602898">
        <w:trPr>
          <w:trHeight w:val="420"/>
        </w:trPr>
        <w:tc>
          <w:tcPr>
            <w:tcW w:w="14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0C2BF2" w14:textId="77777777" w:rsidR="00602898" w:rsidRPr="004865EF" w:rsidRDefault="00602898" w:rsidP="00602898">
            <w:pPr>
              <w:widowControl/>
              <w:jc w:val="left"/>
              <w:rPr>
                <w:rFonts w:ascii="Times New Roman" w:eastAsia="宋体" w:hAnsi="Times New Roman" w:cs="Times New Roman"/>
                <w:kern w:val="0"/>
                <w:szCs w:val="21"/>
              </w:rPr>
            </w:pP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FECC9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ZH13-A</w:t>
            </w:r>
            <w:proofErr w:type="gramStart"/>
            <w:r w:rsidRPr="004865EF">
              <w:rPr>
                <w:rFonts w:ascii="Times New Roman" w:eastAsia="宋体" w:hAnsi="Times New Roman" w:cs="Times New Roman"/>
                <w:kern w:val="0"/>
                <w:szCs w:val="21"/>
              </w:rPr>
              <w:t>云计算</w:t>
            </w:r>
            <w:proofErr w:type="gramEnd"/>
            <w:r w:rsidRPr="004865EF">
              <w:rPr>
                <w:rFonts w:ascii="Times New Roman" w:eastAsia="宋体" w:hAnsi="Times New Roman" w:cs="Times New Roman"/>
                <w:kern w:val="0"/>
                <w:szCs w:val="21"/>
              </w:rPr>
              <w:t>数据中心项目</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FA8E8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7.18</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398458"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10.03%</w:t>
            </w:r>
          </w:p>
        </w:tc>
      </w:tr>
      <w:tr w:rsidR="004865EF" w:rsidRPr="004865EF" w14:paraId="3B2CB925" w14:textId="77777777" w:rsidTr="00602898">
        <w:trPr>
          <w:trHeight w:val="420"/>
        </w:trPr>
        <w:tc>
          <w:tcPr>
            <w:tcW w:w="14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6F9220" w14:textId="77777777" w:rsidR="00602898" w:rsidRPr="004865EF" w:rsidRDefault="00602898" w:rsidP="00602898">
            <w:pPr>
              <w:widowControl/>
              <w:jc w:val="left"/>
              <w:rPr>
                <w:rFonts w:ascii="Times New Roman" w:eastAsia="宋体" w:hAnsi="Times New Roman" w:cs="Times New Roman"/>
                <w:kern w:val="0"/>
                <w:szCs w:val="21"/>
              </w:rPr>
            </w:pP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4594F1" w14:textId="77777777" w:rsidR="00602898" w:rsidRPr="004865EF" w:rsidRDefault="00602898" w:rsidP="00602898">
            <w:pPr>
              <w:widowControl/>
              <w:jc w:val="center"/>
              <w:rPr>
                <w:rFonts w:ascii="Times New Roman" w:eastAsia="宋体" w:hAnsi="Times New Roman" w:cs="Times New Roman"/>
                <w:kern w:val="0"/>
                <w:szCs w:val="21"/>
              </w:rPr>
            </w:pPr>
            <w:proofErr w:type="gramStart"/>
            <w:r w:rsidRPr="004865EF">
              <w:rPr>
                <w:rFonts w:ascii="Times New Roman" w:eastAsia="宋体" w:hAnsi="Times New Roman" w:cs="Times New Roman"/>
                <w:kern w:val="0"/>
                <w:szCs w:val="21"/>
              </w:rPr>
              <w:t>云创互通云计算</w:t>
            </w:r>
            <w:proofErr w:type="gramEnd"/>
            <w:r w:rsidRPr="004865EF">
              <w:rPr>
                <w:rFonts w:ascii="Times New Roman" w:eastAsia="宋体" w:hAnsi="Times New Roman" w:cs="Times New Roman"/>
                <w:kern w:val="0"/>
                <w:szCs w:val="21"/>
              </w:rPr>
              <w:t>数据中心项目</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6FA7AF"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7.16</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80BF03"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10.15%</w:t>
            </w:r>
          </w:p>
        </w:tc>
      </w:tr>
      <w:tr w:rsidR="004865EF" w:rsidRPr="004865EF" w14:paraId="41D3C1D5" w14:textId="77777777" w:rsidTr="00602898">
        <w:trPr>
          <w:trHeight w:val="420"/>
        </w:trPr>
        <w:tc>
          <w:tcPr>
            <w:tcW w:w="1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C79F3A" w14:textId="77777777" w:rsidR="00602898" w:rsidRPr="004865EF" w:rsidRDefault="00602898" w:rsidP="00602898">
            <w:pPr>
              <w:widowControl/>
              <w:jc w:val="center"/>
              <w:rPr>
                <w:rFonts w:ascii="Times New Roman" w:eastAsia="宋体" w:hAnsi="Times New Roman" w:cs="Times New Roman"/>
                <w:kern w:val="0"/>
                <w:szCs w:val="21"/>
              </w:rPr>
            </w:pPr>
            <w:proofErr w:type="gramStart"/>
            <w:r w:rsidRPr="004865EF">
              <w:rPr>
                <w:rFonts w:ascii="Times New Roman" w:eastAsia="宋体" w:hAnsi="Times New Roman" w:cs="Times New Roman"/>
                <w:kern w:val="0"/>
                <w:szCs w:val="21"/>
              </w:rPr>
              <w:t>奥飞数据</w:t>
            </w:r>
            <w:proofErr w:type="gramEnd"/>
          </w:p>
        </w:tc>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34454B"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廊坊</w:t>
            </w:r>
            <w:proofErr w:type="gramStart"/>
            <w:r w:rsidRPr="004865EF">
              <w:rPr>
                <w:rFonts w:ascii="Times New Roman" w:eastAsia="宋体" w:hAnsi="Times New Roman" w:cs="Times New Roman"/>
                <w:kern w:val="0"/>
                <w:szCs w:val="21"/>
              </w:rPr>
              <w:t>讯云数据</w:t>
            </w:r>
            <w:proofErr w:type="gramEnd"/>
            <w:r w:rsidRPr="004865EF">
              <w:rPr>
                <w:rFonts w:ascii="Times New Roman" w:eastAsia="宋体" w:hAnsi="Times New Roman" w:cs="Times New Roman"/>
                <w:kern w:val="0"/>
                <w:szCs w:val="21"/>
              </w:rPr>
              <w:t>中心二期项目</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53243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6.59</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A02C63"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15.39%</w:t>
            </w:r>
          </w:p>
        </w:tc>
      </w:tr>
      <w:tr w:rsidR="004865EF" w:rsidRPr="004865EF" w14:paraId="3B9EA8A2" w14:textId="77777777" w:rsidTr="00602898">
        <w:trPr>
          <w:trHeight w:val="420"/>
        </w:trPr>
        <w:tc>
          <w:tcPr>
            <w:tcW w:w="1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16B346C" w14:textId="451B96E9" w:rsidR="00213DBB" w:rsidRPr="004865EF" w:rsidRDefault="00213DBB"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南兴股份</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C6FC82" w14:textId="4E793526" w:rsidR="00213DBB" w:rsidRPr="004865EF" w:rsidRDefault="00213DBB"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南兴沙田绿色工业</w:t>
            </w:r>
            <w:proofErr w:type="gramStart"/>
            <w:r w:rsidRPr="004865EF">
              <w:rPr>
                <w:rFonts w:ascii="Times New Roman" w:eastAsia="宋体" w:hAnsi="Times New Roman" w:cs="Times New Roman" w:hint="eastAsia"/>
                <w:kern w:val="0"/>
                <w:szCs w:val="21"/>
              </w:rPr>
              <w:t>云数据</w:t>
            </w:r>
            <w:proofErr w:type="gramEnd"/>
            <w:r w:rsidRPr="004865EF">
              <w:rPr>
                <w:rFonts w:ascii="Times New Roman" w:eastAsia="宋体" w:hAnsi="Times New Roman" w:cs="Times New Roman" w:hint="eastAsia"/>
                <w:kern w:val="0"/>
                <w:szCs w:val="21"/>
              </w:rPr>
              <w:t>产业基地项目</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4D1E902" w14:textId="1AF8CEBF" w:rsidR="00213DBB" w:rsidRPr="004865EF" w:rsidRDefault="00213DBB"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7.49</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E4CD24" w14:textId="562023FE" w:rsidR="00213DBB" w:rsidRPr="004865EF" w:rsidRDefault="00213DBB"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15.18%</w:t>
            </w:r>
          </w:p>
        </w:tc>
      </w:tr>
      <w:tr w:rsidR="004865EF" w:rsidRPr="004865EF" w14:paraId="757361F9" w14:textId="77777777" w:rsidTr="00602898">
        <w:trPr>
          <w:trHeight w:val="420"/>
        </w:trPr>
        <w:tc>
          <w:tcPr>
            <w:tcW w:w="1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F3156F0" w14:textId="2A11A05D" w:rsidR="00213DBB" w:rsidRPr="004865EF" w:rsidRDefault="00213DBB"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宝信软件</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2E0ED62" w14:textId="0141E881" w:rsidR="00213DBB" w:rsidRPr="004865EF" w:rsidRDefault="00213DBB"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宝之云</w:t>
            </w:r>
            <w:r w:rsidRPr="004865EF">
              <w:rPr>
                <w:rFonts w:ascii="Times New Roman" w:eastAsia="宋体" w:hAnsi="Times New Roman" w:cs="Times New Roman"/>
                <w:kern w:val="0"/>
                <w:szCs w:val="21"/>
              </w:rPr>
              <w:t xml:space="preserve"> IDC </w:t>
            </w:r>
            <w:r w:rsidRPr="004865EF">
              <w:rPr>
                <w:rFonts w:ascii="Times New Roman" w:eastAsia="宋体" w:hAnsi="Times New Roman" w:cs="Times New Roman"/>
                <w:kern w:val="0"/>
                <w:szCs w:val="21"/>
              </w:rPr>
              <w:t>四期项目</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9FFB6C9" w14:textId="588152BC" w:rsidR="00213DBB" w:rsidRPr="004865EF" w:rsidRDefault="00213DBB"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6.51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140793" w14:textId="744FE723" w:rsidR="00213DBB" w:rsidRPr="004865EF" w:rsidRDefault="00213DBB"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18.54%</w:t>
            </w:r>
          </w:p>
        </w:tc>
      </w:tr>
      <w:tr w:rsidR="004865EF" w:rsidRPr="004865EF" w14:paraId="55BDAA3B" w14:textId="77777777" w:rsidTr="00602898">
        <w:trPr>
          <w:trHeight w:val="420"/>
        </w:trPr>
        <w:tc>
          <w:tcPr>
            <w:tcW w:w="468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BFE97C"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房山二期</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6D237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8.40</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F6A25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14.07%</w:t>
            </w:r>
          </w:p>
        </w:tc>
      </w:tr>
      <w:tr w:rsidR="004865EF" w:rsidRPr="004865EF" w14:paraId="5CD3CC72" w14:textId="77777777" w:rsidTr="00602898">
        <w:trPr>
          <w:trHeight w:val="420"/>
        </w:trPr>
        <w:tc>
          <w:tcPr>
            <w:tcW w:w="46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8388B1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嘉定二期</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3D2CF9"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8.05</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F34611"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12.01%</w:t>
            </w:r>
          </w:p>
        </w:tc>
      </w:tr>
      <w:tr w:rsidR="004865EF" w:rsidRPr="004865EF" w14:paraId="689D09B1" w14:textId="77777777" w:rsidTr="00602898">
        <w:trPr>
          <w:trHeight w:val="420"/>
        </w:trPr>
        <w:tc>
          <w:tcPr>
            <w:tcW w:w="46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4571C3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燕郊三四期</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E1310E"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8.76</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23DB33"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13.74%</w:t>
            </w:r>
          </w:p>
        </w:tc>
      </w:tr>
      <w:tr w:rsidR="004865EF" w:rsidRPr="004865EF" w14:paraId="1EE3D15D" w14:textId="77777777" w:rsidTr="00602898">
        <w:trPr>
          <w:trHeight w:val="420"/>
        </w:trPr>
        <w:tc>
          <w:tcPr>
            <w:tcW w:w="46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B89C728"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长沙一期</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AA2D0A"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7.92</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8E9480" w14:textId="77777777" w:rsidR="00602898" w:rsidRPr="004865EF" w:rsidRDefault="00602898" w:rsidP="00602898">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13.80%</w:t>
            </w:r>
          </w:p>
        </w:tc>
      </w:tr>
    </w:tbl>
    <w:p w14:paraId="24E38E9D" w14:textId="2CF9D38E" w:rsidR="00602898" w:rsidRPr="004865EF" w:rsidRDefault="00602898" w:rsidP="00602898">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发行人数据中心为分阶段竣工投产，</w:t>
      </w:r>
      <w:r w:rsidRPr="004865EF">
        <w:rPr>
          <w:rFonts w:ascii="Times New Roman" w:eastAsia="宋体" w:hAnsi="Times New Roman" w:cs="Times New Roman" w:hint="eastAsia"/>
          <w:sz w:val="24"/>
          <w:szCs w:val="22"/>
        </w:rPr>
        <w:t>T+1</w:t>
      </w:r>
      <w:r w:rsidRPr="004865EF">
        <w:rPr>
          <w:rFonts w:ascii="Times New Roman" w:eastAsia="宋体" w:hAnsi="Times New Roman" w:cs="Times New Roman" w:hint="eastAsia"/>
          <w:sz w:val="24"/>
          <w:szCs w:val="22"/>
        </w:rPr>
        <w:t>年、</w:t>
      </w:r>
      <w:r w:rsidRPr="004865EF">
        <w:rPr>
          <w:rFonts w:ascii="Times New Roman" w:eastAsia="宋体" w:hAnsi="Times New Roman" w:cs="Times New Roman" w:hint="eastAsia"/>
          <w:sz w:val="24"/>
          <w:szCs w:val="22"/>
        </w:rPr>
        <w:t>T+2</w:t>
      </w:r>
      <w:r w:rsidRPr="004865EF">
        <w:rPr>
          <w:rFonts w:ascii="Times New Roman" w:eastAsia="宋体" w:hAnsi="Times New Roman" w:cs="Times New Roman" w:hint="eastAsia"/>
          <w:sz w:val="24"/>
          <w:szCs w:val="22"/>
        </w:rPr>
        <w:t>年均未达到</w:t>
      </w:r>
      <w:r w:rsidRPr="004865EF">
        <w:rPr>
          <w:rFonts w:ascii="Times New Roman" w:eastAsia="宋体" w:hAnsi="Times New Roman" w:cs="Times New Roman" w:hint="eastAsia"/>
          <w:sz w:val="24"/>
          <w:szCs w:val="22"/>
        </w:rPr>
        <w:t>100%</w:t>
      </w:r>
      <w:r w:rsidRPr="004865EF">
        <w:rPr>
          <w:rFonts w:ascii="Times New Roman" w:eastAsia="宋体" w:hAnsi="Times New Roman" w:cs="Times New Roman" w:hint="eastAsia"/>
          <w:sz w:val="24"/>
          <w:szCs w:val="22"/>
        </w:rPr>
        <w:t>投入使用，理论上</w:t>
      </w:r>
      <w:r w:rsidRPr="004865EF">
        <w:rPr>
          <w:rFonts w:ascii="Times New Roman" w:eastAsia="宋体" w:hAnsi="Times New Roman" w:cs="Times New Roman" w:hint="eastAsia"/>
          <w:sz w:val="24"/>
          <w:szCs w:val="22"/>
        </w:rPr>
        <w:t>T+11</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T+12</w:t>
      </w:r>
      <w:r w:rsidRPr="004865EF">
        <w:rPr>
          <w:rFonts w:ascii="Times New Roman" w:eastAsia="宋体" w:hAnsi="Times New Roman" w:cs="Times New Roman" w:hint="eastAsia"/>
          <w:sz w:val="24"/>
          <w:szCs w:val="22"/>
        </w:rPr>
        <w:t>年仍能产生部分效益。发行人按照</w:t>
      </w:r>
      <w:r w:rsidRPr="004865EF">
        <w:rPr>
          <w:rFonts w:ascii="Times New Roman" w:eastAsia="宋体" w:hAnsi="Times New Roman" w:cs="Times New Roman" w:hint="eastAsia"/>
          <w:sz w:val="24"/>
          <w:szCs w:val="22"/>
        </w:rPr>
        <w:t>10</w:t>
      </w:r>
      <w:r w:rsidRPr="004865EF">
        <w:rPr>
          <w:rFonts w:ascii="Times New Roman" w:eastAsia="宋体" w:hAnsi="Times New Roman" w:cs="Times New Roman" w:hint="eastAsia"/>
          <w:sz w:val="24"/>
          <w:szCs w:val="22"/>
        </w:rPr>
        <w:t>年运营期对四个</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进行效益测算，已具有充分谨慎性。经查询</w:t>
      </w: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年以来同行业上市公司</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的经济效益水平，</w:t>
      </w:r>
      <w:proofErr w:type="gramStart"/>
      <w:r w:rsidRPr="004865EF">
        <w:rPr>
          <w:rFonts w:ascii="Times New Roman" w:eastAsia="宋体" w:hAnsi="Times New Roman" w:cs="Times New Roman" w:hint="eastAsia"/>
          <w:sz w:val="24"/>
          <w:szCs w:val="22"/>
        </w:rPr>
        <w:t>数据港</w:t>
      </w:r>
      <w:proofErr w:type="gramEnd"/>
      <w:r w:rsidRPr="004865EF">
        <w:rPr>
          <w:rFonts w:ascii="Times New Roman" w:eastAsia="宋体" w:hAnsi="Times New Roman" w:cs="Times New Roman" w:hint="eastAsia"/>
          <w:sz w:val="24"/>
          <w:szCs w:val="22"/>
        </w:rPr>
        <w:t>由于主要从事批发型数据中心，</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毛利率及内部收益率水平较低；</w:t>
      </w:r>
      <w:proofErr w:type="gramStart"/>
      <w:r w:rsidRPr="004865EF">
        <w:rPr>
          <w:rFonts w:ascii="Times New Roman" w:eastAsia="宋体" w:hAnsi="Times New Roman" w:cs="Times New Roman" w:hint="eastAsia"/>
          <w:sz w:val="24"/>
          <w:szCs w:val="22"/>
        </w:rPr>
        <w:t>奥飞数据</w:t>
      </w:r>
      <w:proofErr w:type="gramEnd"/>
      <w:r w:rsidR="00213DBB" w:rsidRPr="004865EF">
        <w:rPr>
          <w:rFonts w:ascii="Times New Roman" w:eastAsia="宋体" w:hAnsi="Times New Roman" w:cs="Times New Roman" w:hint="eastAsia"/>
          <w:sz w:val="24"/>
          <w:szCs w:val="22"/>
        </w:rPr>
        <w:t>、南兴股份</w:t>
      </w:r>
      <w:r w:rsidRPr="004865EF">
        <w:rPr>
          <w:rFonts w:ascii="Times New Roman" w:eastAsia="宋体" w:hAnsi="Times New Roman" w:cs="Times New Roman" w:hint="eastAsia"/>
          <w:sz w:val="24"/>
          <w:szCs w:val="22"/>
        </w:rPr>
        <w:t>与发行人的内部收益率接近；由于发行人四个</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的建设周期较长，因此投资回收期略高于同行业上市公司。综上，发行人与同行业上市公司</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的经济效益不存在重大差异，具有合理谨慎性。</w:t>
      </w:r>
    </w:p>
    <w:p w14:paraId="235EF740" w14:textId="722B89BA" w:rsidR="003D7749" w:rsidRPr="004865EF" w:rsidRDefault="00621617" w:rsidP="00675378">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（六</w:t>
      </w:r>
      <w:r w:rsidR="00633C02" w:rsidRPr="004865EF">
        <w:rPr>
          <w:rFonts w:ascii="Times New Roman" w:eastAsia="宋体" w:hAnsi="Times New Roman" w:cs="Times New Roman" w:hint="eastAsia"/>
          <w:sz w:val="24"/>
          <w:szCs w:val="22"/>
        </w:rPr>
        <w:t>）</w:t>
      </w:r>
      <w:proofErr w:type="gramStart"/>
      <w:r w:rsidR="003D7749" w:rsidRPr="004865EF">
        <w:rPr>
          <w:rFonts w:ascii="Times New Roman" w:eastAsia="宋体" w:hAnsi="Times New Roman" w:cs="Times New Roman" w:hint="eastAsia"/>
          <w:sz w:val="24"/>
          <w:szCs w:val="22"/>
        </w:rPr>
        <w:t>募投项目</w:t>
      </w:r>
      <w:proofErr w:type="gramEnd"/>
      <w:r w:rsidR="003D7749" w:rsidRPr="004865EF">
        <w:rPr>
          <w:rFonts w:ascii="Times New Roman" w:eastAsia="宋体" w:hAnsi="Times New Roman" w:cs="Times New Roman" w:hint="eastAsia"/>
          <w:sz w:val="24"/>
          <w:szCs w:val="22"/>
        </w:rPr>
        <w:t>与前期披露的可行性报告的差异</w:t>
      </w:r>
    </w:p>
    <w:p w14:paraId="0D402832" w14:textId="77777777" w:rsidR="003D7749" w:rsidRPr="004865EF" w:rsidRDefault="003D7749" w:rsidP="003D7749">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发行人分别于</w:t>
      </w:r>
      <w:r w:rsidRPr="004865EF">
        <w:rPr>
          <w:rFonts w:ascii="Times New Roman" w:eastAsia="宋体" w:hAnsi="Times New Roman" w:cs="Times New Roman"/>
          <w:sz w:val="24"/>
          <w:szCs w:val="22"/>
        </w:rPr>
        <w:t>2015</w:t>
      </w:r>
      <w:r w:rsidRPr="004865EF">
        <w:rPr>
          <w:rFonts w:ascii="Times New Roman" w:eastAsia="宋体" w:hAnsi="Times New Roman" w:cs="Times New Roman" w:hint="eastAsia"/>
          <w:sz w:val="24"/>
          <w:szCs w:val="22"/>
        </w:rPr>
        <w:t>年</w:t>
      </w:r>
      <w:r w:rsidRPr="004865EF">
        <w:rPr>
          <w:rFonts w:ascii="Times New Roman" w:eastAsia="宋体" w:hAnsi="Times New Roman" w:cs="Times New Roman"/>
          <w:sz w:val="24"/>
          <w:szCs w:val="22"/>
        </w:rPr>
        <w:t>10</w:t>
      </w:r>
      <w:r w:rsidRPr="004865EF">
        <w:rPr>
          <w:rFonts w:ascii="Times New Roman" w:eastAsia="宋体" w:hAnsi="Times New Roman" w:cs="Times New Roman" w:hint="eastAsia"/>
          <w:sz w:val="24"/>
          <w:szCs w:val="22"/>
        </w:rPr>
        <w:t>月</w:t>
      </w:r>
      <w:r w:rsidRPr="004865EF">
        <w:rPr>
          <w:rFonts w:ascii="Times New Roman" w:eastAsia="宋体" w:hAnsi="Times New Roman" w:cs="Times New Roman"/>
          <w:sz w:val="24"/>
          <w:szCs w:val="22"/>
        </w:rPr>
        <w:t>21</w:t>
      </w:r>
      <w:r w:rsidRPr="004865EF">
        <w:rPr>
          <w:rFonts w:ascii="Times New Roman" w:eastAsia="宋体" w:hAnsi="Times New Roman" w:cs="Times New Roman" w:hint="eastAsia"/>
          <w:sz w:val="24"/>
          <w:szCs w:val="22"/>
        </w:rPr>
        <w:t>日、</w:t>
      </w:r>
      <w:r w:rsidRPr="004865EF">
        <w:rPr>
          <w:rFonts w:ascii="Times New Roman" w:eastAsia="宋体" w:hAnsi="Times New Roman" w:cs="Times New Roman"/>
          <w:sz w:val="24"/>
          <w:szCs w:val="22"/>
        </w:rPr>
        <w:t>2019</w:t>
      </w:r>
      <w:r w:rsidRPr="004865EF">
        <w:rPr>
          <w:rFonts w:ascii="Times New Roman" w:eastAsia="宋体" w:hAnsi="Times New Roman" w:cs="Times New Roman" w:hint="eastAsia"/>
          <w:sz w:val="24"/>
          <w:szCs w:val="22"/>
        </w:rPr>
        <w:t>年</w:t>
      </w:r>
      <w:r w:rsidRPr="004865EF">
        <w:rPr>
          <w:rFonts w:ascii="Times New Roman" w:eastAsia="宋体" w:hAnsi="Times New Roman" w:cs="Times New Roman"/>
          <w:sz w:val="24"/>
          <w:szCs w:val="22"/>
        </w:rPr>
        <w:t>7</w:t>
      </w:r>
      <w:r w:rsidRPr="004865EF">
        <w:rPr>
          <w:rFonts w:ascii="Times New Roman" w:eastAsia="宋体" w:hAnsi="Times New Roman" w:cs="Times New Roman" w:hint="eastAsia"/>
          <w:sz w:val="24"/>
          <w:szCs w:val="22"/>
        </w:rPr>
        <w:t>月</w:t>
      </w:r>
      <w:r w:rsidRPr="004865EF">
        <w:rPr>
          <w:rFonts w:ascii="Times New Roman" w:eastAsia="宋体" w:hAnsi="Times New Roman" w:cs="Times New Roman"/>
          <w:sz w:val="24"/>
          <w:szCs w:val="22"/>
        </w:rPr>
        <w:t>16</w:t>
      </w:r>
      <w:r w:rsidRPr="004865EF">
        <w:rPr>
          <w:rFonts w:ascii="Times New Roman" w:eastAsia="宋体" w:hAnsi="Times New Roman" w:cs="Times New Roman" w:hint="eastAsia"/>
          <w:sz w:val="24"/>
          <w:szCs w:val="22"/>
        </w:rPr>
        <w:t>日分别披露了房山二期和嘉定二期项目的可行性报告，主要建设指标与项目实际备案情况存在差异，具体如下：</w:t>
      </w:r>
    </w:p>
    <w:tbl>
      <w:tblPr>
        <w:tblW w:w="83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984"/>
        <w:gridCol w:w="1701"/>
        <w:gridCol w:w="1618"/>
        <w:gridCol w:w="1642"/>
      </w:tblGrid>
      <w:tr w:rsidR="004865EF" w:rsidRPr="004865EF" w14:paraId="4A487D0E" w14:textId="77777777" w:rsidTr="00675378">
        <w:trPr>
          <w:trHeight w:val="397"/>
        </w:trPr>
        <w:tc>
          <w:tcPr>
            <w:tcW w:w="3417" w:type="dxa"/>
            <w:gridSpan w:val="2"/>
            <w:shd w:val="clear" w:color="auto" w:fill="auto"/>
            <w:noWrap/>
            <w:vAlign w:val="center"/>
            <w:hideMark/>
          </w:tcPr>
          <w:p w14:paraId="7152C6C0" w14:textId="77777777" w:rsidR="003D7749" w:rsidRPr="004865EF" w:rsidRDefault="003D7749">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项目</w:t>
            </w:r>
          </w:p>
        </w:tc>
        <w:tc>
          <w:tcPr>
            <w:tcW w:w="1701" w:type="dxa"/>
            <w:shd w:val="clear" w:color="auto" w:fill="auto"/>
            <w:noWrap/>
            <w:vAlign w:val="center"/>
            <w:hideMark/>
          </w:tcPr>
          <w:p w14:paraId="0F9FA39F" w14:textId="77777777" w:rsidR="003D7749" w:rsidRPr="004865EF" w:rsidRDefault="003D7749">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总投资（万元）</w:t>
            </w:r>
          </w:p>
        </w:tc>
        <w:tc>
          <w:tcPr>
            <w:tcW w:w="1618" w:type="dxa"/>
            <w:shd w:val="clear" w:color="auto" w:fill="auto"/>
            <w:noWrap/>
            <w:vAlign w:val="center"/>
            <w:hideMark/>
          </w:tcPr>
          <w:p w14:paraId="7A54C594" w14:textId="77777777" w:rsidR="003D7749" w:rsidRPr="004865EF" w:rsidRDefault="003D7749">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机柜数量（</w:t>
            </w:r>
            <w:proofErr w:type="gramStart"/>
            <w:r w:rsidRPr="004865EF">
              <w:rPr>
                <w:rFonts w:ascii="Times New Roman" w:eastAsia="宋体" w:hAnsi="Times New Roman" w:cs="Times New Roman" w:hint="eastAsia"/>
                <w:b/>
                <w:bCs/>
                <w:kern w:val="0"/>
                <w:szCs w:val="21"/>
              </w:rPr>
              <w:t>个</w:t>
            </w:r>
            <w:proofErr w:type="gramEnd"/>
            <w:r w:rsidRPr="004865EF">
              <w:rPr>
                <w:rFonts w:ascii="Times New Roman" w:eastAsia="宋体" w:hAnsi="Times New Roman" w:cs="Times New Roman" w:hint="eastAsia"/>
                <w:b/>
                <w:bCs/>
                <w:kern w:val="0"/>
                <w:szCs w:val="21"/>
              </w:rPr>
              <w:t>）</w:t>
            </w:r>
          </w:p>
        </w:tc>
        <w:tc>
          <w:tcPr>
            <w:tcW w:w="1642" w:type="dxa"/>
            <w:shd w:val="clear" w:color="auto" w:fill="auto"/>
            <w:noWrap/>
            <w:vAlign w:val="center"/>
            <w:hideMark/>
          </w:tcPr>
          <w:p w14:paraId="212CAF29" w14:textId="77777777" w:rsidR="003D7749" w:rsidRPr="004865EF" w:rsidRDefault="003D7749">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功率</w:t>
            </w:r>
          </w:p>
        </w:tc>
      </w:tr>
      <w:tr w:rsidR="004865EF" w:rsidRPr="004865EF" w14:paraId="379ED8FA" w14:textId="77777777" w:rsidTr="00675378">
        <w:trPr>
          <w:trHeight w:val="397"/>
        </w:trPr>
        <w:tc>
          <w:tcPr>
            <w:tcW w:w="1433" w:type="dxa"/>
            <w:vMerge w:val="restart"/>
            <w:shd w:val="clear" w:color="auto" w:fill="auto"/>
            <w:noWrap/>
            <w:vAlign w:val="center"/>
            <w:hideMark/>
          </w:tcPr>
          <w:p w14:paraId="59F24EA9" w14:textId="77777777" w:rsidR="003D7749" w:rsidRPr="004865EF" w:rsidRDefault="003D7749" w:rsidP="003D7749">
            <w:pPr>
              <w:widowControl/>
              <w:jc w:val="center"/>
              <w:rPr>
                <w:rFonts w:ascii="宋体" w:eastAsia="宋体" w:hAnsi="宋体" w:cs="宋体"/>
                <w:kern w:val="0"/>
                <w:sz w:val="22"/>
                <w:szCs w:val="22"/>
              </w:rPr>
            </w:pPr>
            <w:r w:rsidRPr="004865EF">
              <w:rPr>
                <w:rFonts w:ascii="宋体" w:eastAsia="宋体" w:hAnsi="宋体" w:cs="宋体" w:hint="eastAsia"/>
                <w:kern w:val="0"/>
                <w:sz w:val="22"/>
                <w:szCs w:val="22"/>
              </w:rPr>
              <w:t>房山二期</w:t>
            </w:r>
          </w:p>
        </w:tc>
        <w:tc>
          <w:tcPr>
            <w:tcW w:w="1984" w:type="dxa"/>
            <w:shd w:val="clear" w:color="auto" w:fill="auto"/>
            <w:noWrap/>
            <w:vAlign w:val="center"/>
            <w:hideMark/>
          </w:tcPr>
          <w:p w14:paraId="3FC09BA9" w14:textId="77777777" w:rsidR="003D7749" w:rsidRPr="004865EF" w:rsidRDefault="003D7749" w:rsidP="00675378">
            <w:pPr>
              <w:widowControl/>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可行性报告</w:t>
            </w:r>
          </w:p>
        </w:tc>
        <w:tc>
          <w:tcPr>
            <w:tcW w:w="1701" w:type="dxa"/>
            <w:shd w:val="clear" w:color="auto" w:fill="auto"/>
            <w:noWrap/>
            <w:vAlign w:val="center"/>
            <w:hideMark/>
          </w:tcPr>
          <w:p w14:paraId="5B207C4F" w14:textId="77777777" w:rsidR="003D7749" w:rsidRPr="004865EF" w:rsidRDefault="003D7749">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92,037.00</w:t>
            </w:r>
          </w:p>
        </w:tc>
        <w:tc>
          <w:tcPr>
            <w:tcW w:w="1618" w:type="dxa"/>
            <w:shd w:val="clear" w:color="auto" w:fill="auto"/>
            <w:noWrap/>
            <w:vAlign w:val="center"/>
            <w:hideMark/>
          </w:tcPr>
          <w:p w14:paraId="084DBB58" w14:textId="77777777" w:rsidR="003D7749" w:rsidRPr="004865EF" w:rsidRDefault="003D7749">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6,000</w:t>
            </w:r>
          </w:p>
        </w:tc>
        <w:tc>
          <w:tcPr>
            <w:tcW w:w="1642" w:type="dxa"/>
            <w:shd w:val="clear" w:color="auto" w:fill="auto"/>
            <w:noWrap/>
            <w:vAlign w:val="center"/>
            <w:hideMark/>
          </w:tcPr>
          <w:p w14:paraId="2918CDE0" w14:textId="77777777" w:rsidR="003D7749" w:rsidRPr="004865EF" w:rsidRDefault="003D7749">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5KVA</w:t>
            </w:r>
          </w:p>
        </w:tc>
      </w:tr>
      <w:tr w:rsidR="004865EF" w:rsidRPr="004865EF" w14:paraId="7A2E6A72" w14:textId="77777777" w:rsidTr="00675378">
        <w:trPr>
          <w:trHeight w:val="397"/>
        </w:trPr>
        <w:tc>
          <w:tcPr>
            <w:tcW w:w="1433" w:type="dxa"/>
            <w:vMerge/>
            <w:vAlign w:val="center"/>
            <w:hideMark/>
          </w:tcPr>
          <w:p w14:paraId="63F6B70D" w14:textId="77777777" w:rsidR="003D7749" w:rsidRPr="004865EF" w:rsidRDefault="003D7749" w:rsidP="003D7749">
            <w:pPr>
              <w:widowControl/>
              <w:jc w:val="center"/>
              <w:rPr>
                <w:rFonts w:ascii="宋体" w:eastAsia="宋体" w:hAnsi="宋体" w:cs="宋体"/>
                <w:kern w:val="0"/>
                <w:sz w:val="22"/>
                <w:szCs w:val="22"/>
              </w:rPr>
            </w:pPr>
          </w:p>
        </w:tc>
        <w:tc>
          <w:tcPr>
            <w:tcW w:w="1984" w:type="dxa"/>
            <w:shd w:val="clear" w:color="auto" w:fill="auto"/>
            <w:noWrap/>
            <w:vAlign w:val="center"/>
            <w:hideMark/>
          </w:tcPr>
          <w:p w14:paraId="0AD94B76" w14:textId="77777777" w:rsidR="003D7749" w:rsidRPr="004865EF" w:rsidRDefault="003D7749" w:rsidP="00675378">
            <w:pPr>
              <w:widowControl/>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实际备案</w:t>
            </w:r>
          </w:p>
        </w:tc>
        <w:tc>
          <w:tcPr>
            <w:tcW w:w="1701" w:type="dxa"/>
            <w:shd w:val="clear" w:color="auto" w:fill="auto"/>
            <w:noWrap/>
            <w:vAlign w:val="center"/>
            <w:hideMark/>
          </w:tcPr>
          <w:p w14:paraId="4D30AA42" w14:textId="77777777" w:rsidR="003D7749" w:rsidRPr="004865EF" w:rsidRDefault="003D7749">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122,090.28</w:t>
            </w:r>
          </w:p>
        </w:tc>
        <w:tc>
          <w:tcPr>
            <w:tcW w:w="1618" w:type="dxa"/>
            <w:shd w:val="clear" w:color="auto" w:fill="auto"/>
            <w:noWrap/>
            <w:vAlign w:val="center"/>
            <w:hideMark/>
          </w:tcPr>
          <w:p w14:paraId="5F008F40" w14:textId="77777777" w:rsidR="003D7749" w:rsidRPr="004865EF" w:rsidRDefault="003D7749">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5,000</w:t>
            </w:r>
          </w:p>
        </w:tc>
        <w:tc>
          <w:tcPr>
            <w:tcW w:w="1642" w:type="dxa"/>
            <w:shd w:val="clear" w:color="auto" w:fill="auto"/>
            <w:noWrap/>
            <w:vAlign w:val="center"/>
            <w:hideMark/>
          </w:tcPr>
          <w:p w14:paraId="33846BF5" w14:textId="77777777" w:rsidR="003D7749" w:rsidRPr="004865EF" w:rsidRDefault="003D7749">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6KVA</w:t>
            </w:r>
          </w:p>
        </w:tc>
      </w:tr>
      <w:tr w:rsidR="004865EF" w:rsidRPr="004865EF" w14:paraId="729D6937" w14:textId="77777777" w:rsidTr="00675378">
        <w:trPr>
          <w:trHeight w:val="397"/>
        </w:trPr>
        <w:tc>
          <w:tcPr>
            <w:tcW w:w="1433" w:type="dxa"/>
            <w:vMerge w:val="restart"/>
            <w:shd w:val="clear" w:color="auto" w:fill="auto"/>
            <w:noWrap/>
            <w:vAlign w:val="center"/>
            <w:hideMark/>
          </w:tcPr>
          <w:p w14:paraId="61B68C73" w14:textId="77777777" w:rsidR="003D7749" w:rsidRPr="004865EF" w:rsidRDefault="003D7749" w:rsidP="003D7749">
            <w:pPr>
              <w:widowControl/>
              <w:jc w:val="center"/>
              <w:rPr>
                <w:rFonts w:ascii="宋体" w:eastAsia="宋体" w:hAnsi="宋体" w:cs="宋体"/>
                <w:kern w:val="0"/>
                <w:sz w:val="22"/>
                <w:szCs w:val="22"/>
              </w:rPr>
            </w:pPr>
            <w:r w:rsidRPr="004865EF">
              <w:rPr>
                <w:rFonts w:ascii="宋体" w:eastAsia="宋体" w:hAnsi="宋体" w:cs="宋体" w:hint="eastAsia"/>
                <w:kern w:val="0"/>
                <w:sz w:val="22"/>
                <w:szCs w:val="22"/>
              </w:rPr>
              <w:t>嘉定二期</w:t>
            </w:r>
          </w:p>
        </w:tc>
        <w:tc>
          <w:tcPr>
            <w:tcW w:w="1984" w:type="dxa"/>
            <w:shd w:val="clear" w:color="auto" w:fill="auto"/>
            <w:noWrap/>
            <w:vAlign w:val="center"/>
            <w:hideMark/>
          </w:tcPr>
          <w:p w14:paraId="33370D57" w14:textId="77777777" w:rsidR="003D7749" w:rsidRPr="004865EF" w:rsidRDefault="003D7749" w:rsidP="00675378">
            <w:pPr>
              <w:widowControl/>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可行性报告</w:t>
            </w:r>
          </w:p>
        </w:tc>
        <w:tc>
          <w:tcPr>
            <w:tcW w:w="1701" w:type="dxa"/>
            <w:shd w:val="clear" w:color="auto" w:fill="auto"/>
            <w:noWrap/>
            <w:vAlign w:val="center"/>
            <w:hideMark/>
          </w:tcPr>
          <w:p w14:paraId="62079C38" w14:textId="77777777" w:rsidR="003D7749" w:rsidRPr="004865EF" w:rsidRDefault="003D7749">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89,400.00</w:t>
            </w:r>
          </w:p>
        </w:tc>
        <w:tc>
          <w:tcPr>
            <w:tcW w:w="1618" w:type="dxa"/>
            <w:shd w:val="clear" w:color="auto" w:fill="auto"/>
            <w:noWrap/>
            <w:vAlign w:val="center"/>
            <w:hideMark/>
          </w:tcPr>
          <w:p w14:paraId="5900F379" w14:textId="77777777" w:rsidR="003D7749" w:rsidRPr="004865EF" w:rsidRDefault="003D7749">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4,500</w:t>
            </w:r>
          </w:p>
        </w:tc>
        <w:tc>
          <w:tcPr>
            <w:tcW w:w="1642" w:type="dxa"/>
            <w:shd w:val="clear" w:color="auto" w:fill="auto"/>
            <w:noWrap/>
            <w:vAlign w:val="center"/>
            <w:hideMark/>
          </w:tcPr>
          <w:p w14:paraId="14894EB6" w14:textId="77777777" w:rsidR="003D7749" w:rsidRPr="004865EF" w:rsidRDefault="003D7749">
            <w:pPr>
              <w:widowControl/>
              <w:jc w:val="center"/>
              <w:rPr>
                <w:rFonts w:ascii="Times New Roman" w:eastAsia="宋体" w:hAnsi="Times New Roman" w:cs="Times New Roman"/>
                <w:kern w:val="0"/>
                <w:szCs w:val="21"/>
              </w:rPr>
            </w:pPr>
            <w:r w:rsidRPr="004865EF">
              <w:rPr>
                <w:rFonts w:ascii="Times New Roman" w:eastAsia="宋体" w:hAnsi="Times New Roman" w:cs="Times New Roman"/>
                <w:kern w:val="0"/>
                <w:szCs w:val="21"/>
              </w:rPr>
              <w:t>5KVA</w:t>
            </w:r>
          </w:p>
        </w:tc>
      </w:tr>
      <w:tr w:rsidR="004865EF" w:rsidRPr="004865EF" w14:paraId="158C02EB" w14:textId="77777777" w:rsidTr="00675378">
        <w:trPr>
          <w:trHeight w:val="397"/>
        </w:trPr>
        <w:tc>
          <w:tcPr>
            <w:tcW w:w="1433" w:type="dxa"/>
            <w:vMerge/>
            <w:vAlign w:val="center"/>
            <w:hideMark/>
          </w:tcPr>
          <w:p w14:paraId="1BDA5FAA" w14:textId="77777777" w:rsidR="003D7749" w:rsidRPr="004865EF" w:rsidRDefault="003D7749" w:rsidP="00675378">
            <w:pPr>
              <w:spacing w:beforeLines="50" w:before="120" w:line="360" w:lineRule="auto"/>
              <w:ind w:firstLineChars="200" w:firstLine="480"/>
              <w:rPr>
                <w:rFonts w:ascii="Times New Roman" w:eastAsia="宋体" w:hAnsi="Times New Roman" w:cs="Times New Roman"/>
                <w:sz w:val="24"/>
                <w:szCs w:val="22"/>
              </w:rPr>
            </w:pPr>
          </w:p>
        </w:tc>
        <w:tc>
          <w:tcPr>
            <w:tcW w:w="1984" w:type="dxa"/>
            <w:shd w:val="clear" w:color="auto" w:fill="auto"/>
            <w:noWrap/>
            <w:vAlign w:val="center"/>
            <w:hideMark/>
          </w:tcPr>
          <w:p w14:paraId="2394B9D4" w14:textId="77777777" w:rsidR="003D7749" w:rsidRPr="004865EF" w:rsidRDefault="003D7749" w:rsidP="00675378">
            <w:pPr>
              <w:rPr>
                <w:rFonts w:ascii="Times New Roman" w:eastAsia="宋体" w:hAnsi="Times New Roman" w:cs="Times New Roman"/>
                <w:szCs w:val="21"/>
              </w:rPr>
            </w:pPr>
            <w:r w:rsidRPr="004865EF">
              <w:rPr>
                <w:rFonts w:ascii="Times New Roman" w:eastAsia="宋体" w:hAnsi="Times New Roman" w:cs="Times New Roman" w:hint="eastAsia"/>
                <w:szCs w:val="21"/>
              </w:rPr>
              <w:t>实际备案</w:t>
            </w:r>
          </w:p>
        </w:tc>
        <w:tc>
          <w:tcPr>
            <w:tcW w:w="1701" w:type="dxa"/>
            <w:shd w:val="clear" w:color="auto" w:fill="auto"/>
            <w:noWrap/>
            <w:vAlign w:val="center"/>
            <w:hideMark/>
          </w:tcPr>
          <w:p w14:paraId="1BA9AEEB" w14:textId="77777777" w:rsidR="003D7749" w:rsidRPr="004865EF" w:rsidRDefault="003D7749" w:rsidP="00675378">
            <w:pPr>
              <w:jc w:val="right"/>
              <w:rPr>
                <w:rFonts w:ascii="Times New Roman" w:eastAsia="宋体" w:hAnsi="Times New Roman" w:cs="Times New Roman"/>
                <w:szCs w:val="21"/>
              </w:rPr>
            </w:pPr>
            <w:r w:rsidRPr="004865EF">
              <w:rPr>
                <w:rFonts w:ascii="Times New Roman" w:eastAsia="宋体" w:hAnsi="Times New Roman" w:cs="Times New Roman"/>
                <w:szCs w:val="21"/>
              </w:rPr>
              <w:t>130,000.00</w:t>
            </w:r>
          </w:p>
        </w:tc>
        <w:tc>
          <w:tcPr>
            <w:tcW w:w="1618" w:type="dxa"/>
            <w:shd w:val="clear" w:color="auto" w:fill="auto"/>
            <w:noWrap/>
            <w:vAlign w:val="center"/>
            <w:hideMark/>
          </w:tcPr>
          <w:p w14:paraId="57A829FD" w14:textId="77777777" w:rsidR="003D7749" w:rsidRPr="004865EF" w:rsidRDefault="003D7749" w:rsidP="00675378">
            <w:pPr>
              <w:jc w:val="center"/>
              <w:rPr>
                <w:rFonts w:ascii="Times New Roman" w:eastAsia="宋体" w:hAnsi="Times New Roman" w:cs="Times New Roman"/>
                <w:szCs w:val="21"/>
              </w:rPr>
            </w:pPr>
            <w:r w:rsidRPr="004865EF">
              <w:rPr>
                <w:rFonts w:ascii="Times New Roman" w:eastAsia="宋体" w:hAnsi="Times New Roman" w:cs="Times New Roman"/>
                <w:szCs w:val="21"/>
              </w:rPr>
              <w:t>5,000</w:t>
            </w:r>
          </w:p>
        </w:tc>
        <w:tc>
          <w:tcPr>
            <w:tcW w:w="1642" w:type="dxa"/>
            <w:shd w:val="clear" w:color="auto" w:fill="auto"/>
            <w:noWrap/>
            <w:vAlign w:val="center"/>
            <w:hideMark/>
          </w:tcPr>
          <w:p w14:paraId="695FA6B9" w14:textId="77777777" w:rsidR="003D7749" w:rsidRPr="004865EF" w:rsidRDefault="003D7749" w:rsidP="00675378">
            <w:pPr>
              <w:jc w:val="center"/>
              <w:rPr>
                <w:rFonts w:ascii="Times New Roman" w:eastAsia="宋体" w:hAnsi="Times New Roman" w:cs="Times New Roman"/>
                <w:szCs w:val="21"/>
              </w:rPr>
            </w:pPr>
            <w:r w:rsidRPr="004865EF">
              <w:rPr>
                <w:rFonts w:ascii="Times New Roman" w:eastAsia="宋体" w:hAnsi="Times New Roman" w:cs="Times New Roman"/>
                <w:szCs w:val="21"/>
              </w:rPr>
              <w:t>6KVA</w:t>
            </w:r>
          </w:p>
        </w:tc>
      </w:tr>
    </w:tbl>
    <w:p w14:paraId="3758A094" w14:textId="7C309339" w:rsidR="003D7749" w:rsidRPr="004865EF" w:rsidRDefault="003D7749" w:rsidP="003D7749">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房山二期项目原可行性报告于</w:t>
      </w:r>
      <w:r w:rsidRPr="004865EF">
        <w:rPr>
          <w:rFonts w:ascii="Times New Roman" w:eastAsia="宋体" w:hAnsi="Times New Roman" w:cs="Times New Roman"/>
          <w:sz w:val="24"/>
          <w:szCs w:val="22"/>
        </w:rPr>
        <w:t>2015</w:t>
      </w:r>
      <w:r w:rsidRPr="004865EF">
        <w:rPr>
          <w:rFonts w:ascii="Times New Roman" w:eastAsia="宋体" w:hAnsi="Times New Roman" w:cs="Times New Roman" w:hint="eastAsia"/>
          <w:sz w:val="24"/>
          <w:szCs w:val="22"/>
        </w:rPr>
        <w:t>年编制，规划时间较早，设计总投资规模</w:t>
      </w:r>
      <w:r w:rsidRPr="004865EF">
        <w:rPr>
          <w:rFonts w:ascii="Times New Roman" w:eastAsia="宋体" w:hAnsi="Times New Roman" w:cs="Times New Roman"/>
          <w:sz w:val="24"/>
          <w:szCs w:val="22"/>
        </w:rPr>
        <w:t>9.20</w:t>
      </w:r>
      <w:r w:rsidRPr="004865EF">
        <w:rPr>
          <w:rFonts w:ascii="Times New Roman" w:eastAsia="宋体" w:hAnsi="Times New Roman" w:cs="Times New Roman" w:hint="eastAsia"/>
          <w:sz w:val="24"/>
          <w:szCs w:val="22"/>
        </w:rPr>
        <w:t>亿元。由于近年来</w:t>
      </w:r>
      <w:r w:rsidRPr="004865EF">
        <w:rPr>
          <w:rFonts w:ascii="Times New Roman" w:eastAsia="宋体" w:hAnsi="Times New Roman" w:cs="Times New Roman"/>
          <w:sz w:val="24"/>
          <w:szCs w:val="22"/>
        </w:rPr>
        <w:t>IDC</w:t>
      </w:r>
      <w:r w:rsidRPr="004865EF">
        <w:rPr>
          <w:rFonts w:ascii="Times New Roman" w:eastAsia="宋体" w:hAnsi="Times New Roman" w:cs="Times New Roman" w:hint="eastAsia"/>
          <w:sz w:val="24"/>
          <w:szCs w:val="22"/>
        </w:rPr>
        <w:t>行业发展，数据中心的功率密度、冗余容错标准（项目冗余标准由</w:t>
      </w:r>
      <w:r w:rsidRPr="004865EF">
        <w:rPr>
          <w:rFonts w:ascii="Times New Roman" w:eastAsia="宋体" w:hAnsi="Times New Roman" w:cs="Times New Roman"/>
          <w:sz w:val="24"/>
          <w:szCs w:val="22"/>
        </w:rPr>
        <w:t>N+1</w:t>
      </w:r>
      <w:r w:rsidRPr="004865EF">
        <w:rPr>
          <w:rFonts w:ascii="Times New Roman" w:eastAsia="宋体" w:hAnsi="Times New Roman" w:cs="Times New Roman" w:hint="eastAsia"/>
          <w:sz w:val="24"/>
          <w:szCs w:val="22"/>
        </w:rPr>
        <w:t>冗余标准调整为全部</w:t>
      </w:r>
      <w:r w:rsidRPr="004865EF">
        <w:rPr>
          <w:rFonts w:ascii="Times New Roman" w:eastAsia="宋体" w:hAnsi="Times New Roman" w:cs="Times New Roman"/>
          <w:sz w:val="24"/>
          <w:szCs w:val="22"/>
        </w:rPr>
        <w:t>2N</w:t>
      </w:r>
      <w:r w:rsidRPr="004865EF">
        <w:rPr>
          <w:rFonts w:ascii="Times New Roman" w:eastAsia="宋体" w:hAnsi="Times New Roman" w:cs="Times New Roman" w:hint="eastAsia"/>
          <w:sz w:val="24"/>
          <w:szCs w:val="22"/>
        </w:rPr>
        <w:t>冗余标准）有所提高，</w:t>
      </w:r>
      <w:r w:rsidR="008F171B" w:rsidRPr="004865EF">
        <w:rPr>
          <w:rFonts w:ascii="Times New Roman" w:eastAsia="宋体" w:hAnsi="Times New Roman" w:cs="Times New Roman" w:hint="eastAsia"/>
          <w:sz w:val="24"/>
          <w:szCs w:val="22"/>
        </w:rPr>
        <w:t>因此在机电系统的设计标准提高以及冗余设备增加等因素影响下，</w:t>
      </w:r>
      <w:r w:rsidRPr="004865EF">
        <w:rPr>
          <w:rFonts w:ascii="Times New Roman" w:eastAsia="宋体" w:hAnsi="Times New Roman" w:cs="Times New Roman" w:hint="eastAsia"/>
          <w:sz w:val="24"/>
          <w:szCs w:val="22"/>
        </w:rPr>
        <w:t>项目</w:t>
      </w:r>
      <w:proofErr w:type="gramStart"/>
      <w:r w:rsidRPr="004865EF">
        <w:rPr>
          <w:rFonts w:ascii="Times New Roman" w:eastAsia="宋体" w:hAnsi="Times New Roman" w:cs="Times New Roman" w:hint="eastAsia"/>
          <w:sz w:val="24"/>
          <w:szCs w:val="22"/>
        </w:rPr>
        <w:t>变更总</w:t>
      </w:r>
      <w:proofErr w:type="gramEnd"/>
      <w:r w:rsidRPr="004865EF">
        <w:rPr>
          <w:rFonts w:ascii="Times New Roman" w:eastAsia="宋体" w:hAnsi="Times New Roman" w:cs="Times New Roman" w:hint="eastAsia"/>
          <w:sz w:val="24"/>
          <w:szCs w:val="22"/>
        </w:rPr>
        <w:t>投资规模至</w:t>
      </w:r>
      <w:r w:rsidRPr="004865EF">
        <w:rPr>
          <w:rFonts w:ascii="Times New Roman" w:eastAsia="宋体" w:hAnsi="Times New Roman" w:cs="Times New Roman"/>
          <w:sz w:val="24"/>
          <w:szCs w:val="22"/>
        </w:rPr>
        <w:lastRenderedPageBreak/>
        <w:t>12.21</w:t>
      </w:r>
      <w:r w:rsidRPr="004865EF">
        <w:rPr>
          <w:rFonts w:ascii="Times New Roman" w:eastAsia="宋体" w:hAnsi="Times New Roman" w:cs="Times New Roman" w:hint="eastAsia"/>
          <w:sz w:val="24"/>
          <w:szCs w:val="22"/>
        </w:rPr>
        <w:t>亿元。</w:t>
      </w:r>
    </w:p>
    <w:p w14:paraId="5E1511E0" w14:textId="77777777" w:rsidR="003D7749" w:rsidRPr="004865EF" w:rsidRDefault="003D7749" w:rsidP="003D7749">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嘉定二期项目原设计</w:t>
      </w:r>
      <w:r w:rsidRPr="004865EF">
        <w:rPr>
          <w:rFonts w:ascii="Times New Roman" w:eastAsia="宋体" w:hAnsi="Times New Roman" w:cs="Times New Roman"/>
          <w:sz w:val="24"/>
          <w:szCs w:val="22"/>
        </w:rPr>
        <w:t>5KVA</w:t>
      </w:r>
      <w:r w:rsidRPr="004865EF">
        <w:rPr>
          <w:rFonts w:ascii="Times New Roman" w:eastAsia="宋体" w:hAnsi="Times New Roman" w:cs="Times New Roman" w:hint="eastAsia"/>
          <w:sz w:val="24"/>
          <w:szCs w:val="22"/>
        </w:rPr>
        <w:t>机柜数量</w:t>
      </w:r>
      <w:r w:rsidRPr="004865EF">
        <w:rPr>
          <w:rFonts w:ascii="Times New Roman" w:eastAsia="宋体" w:hAnsi="Times New Roman" w:cs="Times New Roman"/>
          <w:sz w:val="24"/>
          <w:szCs w:val="22"/>
        </w:rPr>
        <w:t>4,500</w:t>
      </w:r>
      <w:r w:rsidRPr="004865EF">
        <w:rPr>
          <w:rFonts w:ascii="Times New Roman" w:eastAsia="宋体" w:hAnsi="Times New Roman" w:cs="Times New Roman" w:hint="eastAsia"/>
          <w:sz w:val="24"/>
          <w:szCs w:val="22"/>
        </w:rPr>
        <w:t>个，总投资规模</w:t>
      </w:r>
      <w:r w:rsidRPr="004865EF">
        <w:rPr>
          <w:rFonts w:ascii="Times New Roman" w:eastAsia="宋体" w:hAnsi="Times New Roman" w:cs="Times New Roman"/>
          <w:sz w:val="24"/>
          <w:szCs w:val="22"/>
        </w:rPr>
        <w:t>8.94</w:t>
      </w:r>
      <w:r w:rsidRPr="004865EF">
        <w:rPr>
          <w:rFonts w:ascii="Times New Roman" w:eastAsia="宋体" w:hAnsi="Times New Roman" w:cs="Times New Roman" w:hint="eastAsia"/>
          <w:sz w:val="24"/>
          <w:szCs w:val="22"/>
        </w:rPr>
        <w:t>亿元，后期由于项目总供电容量扩大，能够支持建设高标准数据机柜数量增加，规划设计变更为</w:t>
      </w:r>
      <w:r w:rsidRPr="004865EF">
        <w:rPr>
          <w:rFonts w:ascii="Times New Roman" w:eastAsia="宋体" w:hAnsi="Times New Roman" w:cs="Times New Roman"/>
          <w:sz w:val="24"/>
          <w:szCs w:val="22"/>
        </w:rPr>
        <w:t>6KVA</w:t>
      </w:r>
      <w:r w:rsidRPr="004865EF">
        <w:rPr>
          <w:rFonts w:ascii="Times New Roman" w:eastAsia="宋体" w:hAnsi="Times New Roman" w:cs="Times New Roman" w:hint="eastAsia"/>
          <w:sz w:val="24"/>
          <w:szCs w:val="22"/>
        </w:rPr>
        <w:t>机柜数量</w:t>
      </w:r>
      <w:r w:rsidRPr="004865EF">
        <w:rPr>
          <w:rFonts w:ascii="Times New Roman" w:eastAsia="宋体" w:hAnsi="Times New Roman" w:cs="Times New Roman"/>
          <w:sz w:val="24"/>
          <w:szCs w:val="22"/>
        </w:rPr>
        <w:t>5,000</w:t>
      </w:r>
      <w:r w:rsidRPr="004865EF">
        <w:rPr>
          <w:rFonts w:ascii="Times New Roman" w:eastAsia="宋体" w:hAnsi="Times New Roman" w:cs="Times New Roman" w:hint="eastAsia"/>
          <w:sz w:val="24"/>
          <w:szCs w:val="22"/>
        </w:rPr>
        <w:t>个，总投资由于设计规模扩增以及机电系统冗余容错标准提高（项目冗余标准由部分</w:t>
      </w:r>
      <w:r w:rsidRPr="004865EF">
        <w:rPr>
          <w:rFonts w:ascii="Times New Roman" w:eastAsia="宋体" w:hAnsi="Times New Roman" w:cs="Times New Roman"/>
          <w:sz w:val="24"/>
          <w:szCs w:val="22"/>
        </w:rPr>
        <w:t>2N</w:t>
      </w:r>
      <w:r w:rsidRPr="004865EF">
        <w:rPr>
          <w:rFonts w:ascii="Times New Roman" w:eastAsia="宋体" w:hAnsi="Times New Roman" w:cs="Times New Roman" w:hint="eastAsia"/>
          <w:sz w:val="24"/>
          <w:szCs w:val="22"/>
        </w:rPr>
        <w:t>冗余标准调整为全部</w:t>
      </w:r>
      <w:r w:rsidRPr="004865EF">
        <w:rPr>
          <w:rFonts w:ascii="Times New Roman" w:eastAsia="宋体" w:hAnsi="Times New Roman" w:cs="Times New Roman"/>
          <w:sz w:val="24"/>
          <w:szCs w:val="22"/>
        </w:rPr>
        <w:t>2N</w:t>
      </w:r>
      <w:r w:rsidRPr="004865EF">
        <w:rPr>
          <w:rFonts w:ascii="Times New Roman" w:eastAsia="宋体" w:hAnsi="Times New Roman" w:cs="Times New Roman" w:hint="eastAsia"/>
          <w:sz w:val="24"/>
          <w:szCs w:val="22"/>
        </w:rPr>
        <w:t>冗余标准）的原因调整至</w:t>
      </w:r>
      <w:r w:rsidRPr="004865EF">
        <w:rPr>
          <w:rFonts w:ascii="Times New Roman" w:eastAsia="宋体" w:hAnsi="Times New Roman" w:cs="Times New Roman"/>
          <w:sz w:val="24"/>
          <w:szCs w:val="22"/>
        </w:rPr>
        <w:t>13.00</w:t>
      </w:r>
      <w:r w:rsidRPr="004865EF">
        <w:rPr>
          <w:rFonts w:ascii="Times New Roman" w:eastAsia="宋体" w:hAnsi="Times New Roman" w:cs="Times New Roman" w:hint="eastAsia"/>
          <w:sz w:val="24"/>
          <w:szCs w:val="22"/>
        </w:rPr>
        <w:t>亿元。</w:t>
      </w:r>
    </w:p>
    <w:p w14:paraId="7A8F2047" w14:textId="77777777" w:rsidR="003D7749" w:rsidRPr="004865EF" w:rsidRDefault="003D7749" w:rsidP="003D7749">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根据前期房山二期、嘉定二期项目的可行性报告，项目预计收入和净利润与本次非公开发行的预测情况主要差异如下：</w:t>
      </w:r>
    </w:p>
    <w:tbl>
      <w:tblPr>
        <w:tblW w:w="83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268"/>
        <w:gridCol w:w="2126"/>
        <w:gridCol w:w="2126"/>
      </w:tblGrid>
      <w:tr w:rsidR="004865EF" w:rsidRPr="004865EF" w14:paraId="36172997" w14:textId="77777777" w:rsidTr="00675378">
        <w:trPr>
          <w:trHeight w:val="397"/>
        </w:trPr>
        <w:tc>
          <w:tcPr>
            <w:tcW w:w="4126" w:type="dxa"/>
            <w:gridSpan w:val="2"/>
            <w:shd w:val="clear" w:color="auto" w:fill="auto"/>
            <w:noWrap/>
            <w:vAlign w:val="center"/>
            <w:hideMark/>
          </w:tcPr>
          <w:p w14:paraId="5FD63ED3" w14:textId="77777777" w:rsidR="003D7749" w:rsidRPr="004865EF" w:rsidRDefault="003D7749" w:rsidP="003D7749">
            <w:pPr>
              <w:widowControl/>
              <w:jc w:val="center"/>
              <w:rPr>
                <w:rFonts w:ascii="Times New Roman" w:eastAsia="宋体" w:hAnsi="Times New Roman" w:cs="Times New Roman"/>
                <w:b/>
                <w:bCs/>
                <w:kern w:val="0"/>
                <w:szCs w:val="22"/>
              </w:rPr>
            </w:pPr>
            <w:r w:rsidRPr="004865EF">
              <w:rPr>
                <w:rFonts w:ascii="Times New Roman" w:eastAsia="宋体" w:hAnsi="Times New Roman" w:cs="Times New Roman" w:hint="eastAsia"/>
                <w:b/>
                <w:bCs/>
                <w:kern w:val="0"/>
                <w:szCs w:val="22"/>
              </w:rPr>
              <w:t>项目</w:t>
            </w:r>
          </w:p>
        </w:tc>
        <w:tc>
          <w:tcPr>
            <w:tcW w:w="2126" w:type="dxa"/>
            <w:shd w:val="clear" w:color="auto" w:fill="auto"/>
            <w:noWrap/>
            <w:vAlign w:val="center"/>
            <w:hideMark/>
          </w:tcPr>
          <w:p w14:paraId="3935083C" w14:textId="77777777" w:rsidR="003D7749" w:rsidRPr="004865EF" w:rsidRDefault="003D7749" w:rsidP="003D7749">
            <w:pPr>
              <w:widowControl/>
              <w:jc w:val="center"/>
              <w:rPr>
                <w:rFonts w:ascii="Times New Roman" w:eastAsia="宋体" w:hAnsi="Times New Roman" w:cs="Times New Roman"/>
                <w:b/>
                <w:bCs/>
                <w:kern w:val="0"/>
                <w:szCs w:val="22"/>
              </w:rPr>
            </w:pPr>
            <w:r w:rsidRPr="004865EF">
              <w:rPr>
                <w:rFonts w:ascii="Times New Roman" w:eastAsia="宋体" w:hAnsi="Times New Roman" w:cs="Times New Roman" w:hint="eastAsia"/>
                <w:b/>
                <w:bCs/>
                <w:kern w:val="0"/>
                <w:szCs w:val="22"/>
              </w:rPr>
              <w:t>预计收入</w:t>
            </w:r>
          </w:p>
        </w:tc>
        <w:tc>
          <w:tcPr>
            <w:tcW w:w="2126" w:type="dxa"/>
            <w:shd w:val="clear" w:color="auto" w:fill="auto"/>
            <w:noWrap/>
            <w:vAlign w:val="center"/>
            <w:hideMark/>
          </w:tcPr>
          <w:p w14:paraId="4289A8A2" w14:textId="77777777" w:rsidR="003D7749" w:rsidRPr="004865EF" w:rsidRDefault="003D7749" w:rsidP="003D7749">
            <w:pPr>
              <w:widowControl/>
              <w:jc w:val="center"/>
              <w:rPr>
                <w:rFonts w:ascii="Times New Roman" w:eastAsia="宋体" w:hAnsi="Times New Roman" w:cs="Times New Roman"/>
                <w:b/>
                <w:bCs/>
                <w:kern w:val="0"/>
                <w:szCs w:val="22"/>
              </w:rPr>
            </w:pPr>
            <w:r w:rsidRPr="004865EF">
              <w:rPr>
                <w:rFonts w:ascii="Times New Roman" w:eastAsia="宋体" w:hAnsi="Times New Roman" w:cs="Times New Roman" w:hint="eastAsia"/>
                <w:b/>
                <w:bCs/>
                <w:kern w:val="0"/>
                <w:szCs w:val="22"/>
              </w:rPr>
              <w:t>预计净利润</w:t>
            </w:r>
          </w:p>
        </w:tc>
      </w:tr>
      <w:tr w:rsidR="004865EF" w:rsidRPr="004865EF" w14:paraId="70C7BFD1" w14:textId="77777777" w:rsidTr="00675378">
        <w:trPr>
          <w:trHeight w:val="397"/>
        </w:trPr>
        <w:tc>
          <w:tcPr>
            <w:tcW w:w="1858" w:type="dxa"/>
            <w:vMerge w:val="restart"/>
            <w:shd w:val="clear" w:color="auto" w:fill="auto"/>
            <w:noWrap/>
            <w:vAlign w:val="center"/>
            <w:hideMark/>
          </w:tcPr>
          <w:p w14:paraId="31A35E6C" w14:textId="77777777" w:rsidR="003D7749" w:rsidRPr="004865EF" w:rsidRDefault="003D7749" w:rsidP="003D7749">
            <w:pPr>
              <w:widowControl/>
              <w:jc w:val="center"/>
              <w:rPr>
                <w:rFonts w:ascii="Times New Roman" w:eastAsia="宋体" w:hAnsi="Times New Roman" w:cs="Times New Roman"/>
                <w:kern w:val="0"/>
                <w:szCs w:val="22"/>
              </w:rPr>
            </w:pPr>
            <w:r w:rsidRPr="004865EF">
              <w:rPr>
                <w:rFonts w:ascii="Times New Roman" w:eastAsia="宋体" w:hAnsi="Times New Roman" w:cs="Times New Roman" w:hint="eastAsia"/>
                <w:kern w:val="0"/>
                <w:szCs w:val="22"/>
              </w:rPr>
              <w:t>房山二期</w:t>
            </w:r>
          </w:p>
        </w:tc>
        <w:tc>
          <w:tcPr>
            <w:tcW w:w="2268" w:type="dxa"/>
            <w:shd w:val="clear" w:color="auto" w:fill="auto"/>
            <w:noWrap/>
            <w:vAlign w:val="center"/>
            <w:hideMark/>
          </w:tcPr>
          <w:p w14:paraId="636A2388" w14:textId="77777777" w:rsidR="003D7749" w:rsidRPr="004865EF" w:rsidRDefault="003D7749" w:rsidP="003D7749">
            <w:pPr>
              <w:widowControl/>
              <w:jc w:val="center"/>
              <w:rPr>
                <w:rFonts w:ascii="Times New Roman" w:eastAsia="宋体" w:hAnsi="Times New Roman" w:cs="Times New Roman"/>
                <w:kern w:val="0"/>
                <w:szCs w:val="22"/>
              </w:rPr>
            </w:pPr>
            <w:r w:rsidRPr="004865EF">
              <w:rPr>
                <w:rFonts w:ascii="Times New Roman" w:eastAsia="宋体" w:hAnsi="Times New Roman" w:cs="Times New Roman" w:hint="eastAsia"/>
                <w:kern w:val="0"/>
                <w:szCs w:val="22"/>
              </w:rPr>
              <w:t>可行性报告</w:t>
            </w:r>
          </w:p>
        </w:tc>
        <w:tc>
          <w:tcPr>
            <w:tcW w:w="2126" w:type="dxa"/>
            <w:shd w:val="clear" w:color="auto" w:fill="auto"/>
            <w:noWrap/>
            <w:vAlign w:val="center"/>
            <w:hideMark/>
          </w:tcPr>
          <w:p w14:paraId="79E2117D" w14:textId="77777777" w:rsidR="003D7749" w:rsidRPr="004865EF" w:rsidRDefault="003D7749" w:rsidP="003D7749">
            <w:pPr>
              <w:widowControl/>
              <w:jc w:val="right"/>
              <w:rPr>
                <w:rFonts w:ascii="Times New Roman" w:eastAsia="宋体" w:hAnsi="Times New Roman" w:cs="Times New Roman"/>
                <w:kern w:val="0"/>
                <w:szCs w:val="22"/>
              </w:rPr>
            </w:pPr>
            <w:r w:rsidRPr="004865EF">
              <w:rPr>
                <w:rFonts w:ascii="Times New Roman" w:eastAsia="宋体" w:hAnsi="Times New Roman" w:cs="Times New Roman"/>
                <w:kern w:val="0"/>
                <w:szCs w:val="22"/>
              </w:rPr>
              <w:t>64,800.00</w:t>
            </w:r>
          </w:p>
        </w:tc>
        <w:tc>
          <w:tcPr>
            <w:tcW w:w="2126" w:type="dxa"/>
            <w:shd w:val="clear" w:color="auto" w:fill="auto"/>
            <w:noWrap/>
            <w:vAlign w:val="center"/>
            <w:hideMark/>
          </w:tcPr>
          <w:p w14:paraId="70C5D6A1" w14:textId="77777777" w:rsidR="003D7749" w:rsidRPr="004865EF" w:rsidRDefault="003D7749" w:rsidP="003D7749">
            <w:pPr>
              <w:widowControl/>
              <w:jc w:val="right"/>
              <w:rPr>
                <w:rFonts w:ascii="Times New Roman" w:eastAsia="宋体" w:hAnsi="Times New Roman" w:cs="Times New Roman"/>
                <w:kern w:val="0"/>
                <w:szCs w:val="22"/>
              </w:rPr>
            </w:pPr>
            <w:r w:rsidRPr="004865EF">
              <w:rPr>
                <w:rFonts w:ascii="Times New Roman" w:eastAsia="宋体" w:hAnsi="Times New Roman" w:cs="Times New Roman"/>
                <w:kern w:val="0"/>
                <w:szCs w:val="22"/>
              </w:rPr>
              <w:t>16,206.83</w:t>
            </w:r>
          </w:p>
        </w:tc>
      </w:tr>
      <w:tr w:rsidR="004865EF" w:rsidRPr="004865EF" w14:paraId="609694FC" w14:textId="77777777" w:rsidTr="00675378">
        <w:trPr>
          <w:trHeight w:val="397"/>
        </w:trPr>
        <w:tc>
          <w:tcPr>
            <w:tcW w:w="1858" w:type="dxa"/>
            <w:vMerge/>
            <w:vAlign w:val="center"/>
            <w:hideMark/>
          </w:tcPr>
          <w:p w14:paraId="3A16B355" w14:textId="77777777" w:rsidR="003D7749" w:rsidRPr="004865EF" w:rsidRDefault="003D7749" w:rsidP="003D7749">
            <w:pPr>
              <w:widowControl/>
              <w:jc w:val="left"/>
              <w:rPr>
                <w:rFonts w:ascii="Times New Roman" w:eastAsia="宋体" w:hAnsi="Times New Roman" w:cs="Times New Roman"/>
                <w:kern w:val="0"/>
                <w:szCs w:val="22"/>
              </w:rPr>
            </w:pPr>
          </w:p>
        </w:tc>
        <w:tc>
          <w:tcPr>
            <w:tcW w:w="2268" w:type="dxa"/>
            <w:shd w:val="clear" w:color="auto" w:fill="auto"/>
            <w:noWrap/>
            <w:vAlign w:val="center"/>
            <w:hideMark/>
          </w:tcPr>
          <w:p w14:paraId="13EA87D8" w14:textId="77777777" w:rsidR="003D7749" w:rsidRPr="004865EF" w:rsidRDefault="003D7749" w:rsidP="003D7749">
            <w:pPr>
              <w:widowControl/>
              <w:jc w:val="center"/>
              <w:rPr>
                <w:rFonts w:ascii="Times New Roman" w:eastAsia="宋体" w:hAnsi="Times New Roman" w:cs="Times New Roman"/>
                <w:kern w:val="0"/>
                <w:szCs w:val="22"/>
              </w:rPr>
            </w:pPr>
            <w:r w:rsidRPr="004865EF">
              <w:rPr>
                <w:rFonts w:ascii="Times New Roman" w:eastAsia="宋体" w:hAnsi="Times New Roman" w:cs="Times New Roman" w:hint="eastAsia"/>
                <w:kern w:val="0"/>
                <w:szCs w:val="22"/>
              </w:rPr>
              <w:t>实际备案</w:t>
            </w:r>
          </w:p>
        </w:tc>
        <w:tc>
          <w:tcPr>
            <w:tcW w:w="2126" w:type="dxa"/>
            <w:shd w:val="clear" w:color="auto" w:fill="auto"/>
            <w:noWrap/>
            <w:vAlign w:val="center"/>
            <w:hideMark/>
          </w:tcPr>
          <w:p w14:paraId="276A1348" w14:textId="77777777" w:rsidR="003D7749" w:rsidRPr="004865EF" w:rsidRDefault="003D7749" w:rsidP="003D7749">
            <w:pPr>
              <w:widowControl/>
              <w:jc w:val="right"/>
              <w:rPr>
                <w:rFonts w:ascii="Times New Roman" w:eastAsia="宋体" w:hAnsi="Times New Roman" w:cs="Times New Roman"/>
                <w:kern w:val="0"/>
                <w:szCs w:val="22"/>
              </w:rPr>
            </w:pPr>
            <w:r w:rsidRPr="004865EF">
              <w:rPr>
                <w:rFonts w:ascii="Times New Roman" w:eastAsia="宋体" w:hAnsi="Times New Roman" w:cs="Times New Roman"/>
                <w:kern w:val="0"/>
                <w:szCs w:val="22"/>
              </w:rPr>
              <w:t>51,900.00</w:t>
            </w:r>
          </w:p>
        </w:tc>
        <w:tc>
          <w:tcPr>
            <w:tcW w:w="2126" w:type="dxa"/>
            <w:shd w:val="clear" w:color="auto" w:fill="auto"/>
            <w:noWrap/>
            <w:vAlign w:val="center"/>
            <w:hideMark/>
          </w:tcPr>
          <w:p w14:paraId="2B727245" w14:textId="77777777" w:rsidR="003D7749" w:rsidRPr="004865EF" w:rsidRDefault="003D7749" w:rsidP="003D7749">
            <w:pPr>
              <w:widowControl/>
              <w:jc w:val="right"/>
              <w:rPr>
                <w:rFonts w:ascii="Times New Roman" w:eastAsia="宋体" w:hAnsi="Times New Roman" w:cs="Times New Roman"/>
                <w:kern w:val="0"/>
                <w:szCs w:val="22"/>
              </w:rPr>
            </w:pPr>
            <w:r w:rsidRPr="004865EF">
              <w:rPr>
                <w:rFonts w:ascii="Times New Roman" w:eastAsia="宋体" w:hAnsi="Times New Roman" w:cs="Times New Roman"/>
                <w:kern w:val="0"/>
                <w:szCs w:val="22"/>
              </w:rPr>
              <w:t>16,391.37</w:t>
            </w:r>
          </w:p>
        </w:tc>
      </w:tr>
      <w:tr w:rsidR="004865EF" w:rsidRPr="004865EF" w14:paraId="3CAFF820" w14:textId="77777777" w:rsidTr="00675378">
        <w:trPr>
          <w:trHeight w:val="397"/>
        </w:trPr>
        <w:tc>
          <w:tcPr>
            <w:tcW w:w="1858" w:type="dxa"/>
            <w:vMerge w:val="restart"/>
            <w:shd w:val="clear" w:color="auto" w:fill="auto"/>
            <w:noWrap/>
            <w:vAlign w:val="center"/>
            <w:hideMark/>
          </w:tcPr>
          <w:p w14:paraId="0BDE722C" w14:textId="77777777" w:rsidR="003D7749" w:rsidRPr="004865EF" w:rsidRDefault="003D7749" w:rsidP="003D7749">
            <w:pPr>
              <w:widowControl/>
              <w:jc w:val="center"/>
              <w:rPr>
                <w:rFonts w:ascii="Times New Roman" w:eastAsia="宋体" w:hAnsi="Times New Roman" w:cs="Times New Roman"/>
                <w:kern w:val="0"/>
                <w:szCs w:val="22"/>
              </w:rPr>
            </w:pPr>
            <w:r w:rsidRPr="004865EF">
              <w:rPr>
                <w:rFonts w:ascii="Times New Roman" w:eastAsia="宋体" w:hAnsi="Times New Roman" w:cs="Times New Roman" w:hint="eastAsia"/>
                <w:kern w:val="0"/>
                <w:szCs w:val="22"/>
              </w:rPr>
              <w:t>嘉定二期</w:t>
            </w:r>
          </w:p>
        </w:tc>
        <w:tc>
          <w:tcPr>
            <w:tcW w:w="2268" w:type="dxa"/>
            <w:shd w:val="clear" w:color="auto" w:fill="auto"/>
            <w:noWrap/>
            <w:vAlign w:val="center"/>
            <w:hideMark/>
          </w:tcPr>
          <w:p w14:paraId="6FCEC7AA" w14:textId="77777777" w:rsidR="003D7749" w:rsidRPr="004865EF" w:rsidRDefault="003D7749" w:rsidP="003D7749">
            <w:pPr>
              <w:widowControl/>
              <w:jc w:val="center"/>
              <w:rPr>
                <w:rFonts w:ascii="Times New Roman" w:eastAsia="宋体" w:hAnsi="Times New Roman" w:cs="Times New Roman"/>
                <w:kern w:val="0"/>
                <w:szCs w:val="22"/>
              </w:rPr>
            </w:pPr>
            <w:r w:rsidRPr="004865EF">
              <w:rPr>
                <w:rFonts w:ascii="Times New Roman" w:eastAsia="宋体" w:hAnsi="Times New Roman" w:cs="Times New Roman" w:hint="eastAsia"/>
                <w:kern w:val="0"/>
                <w:szCs w:val="22"/>
              </w:rPr>
              <w:t>可行性报告</w:t>
            </w:r>
          </w:p>
        </w:tc>
        <w:tc>
          <w:tcPr>
            <w:tcW w:w="2126" w:type="dxa"/>
            <w:shd w:val="clear" w:color="auto" w:fill="auto"/>
            <w:noWrap/>
            <w:vAlign w:val="center"/>
            <w:hideMark/>
          </w:tcPr>
          <w:p w14:paraId="6ACEC21C" w14:textId="77777777" w:rsidR="003D7749" w:rsidRPr="004865EF" w:rsidRDefault="003D7749" w:rsidP="003D7749">
            <w:pPr>
              <w:widowControl/>
              <w:jc w:val="right"/>
              <w:rPr>
                <w:rFonts w:ascii="Times New Roman" w:eastAsia="宋体" w:hAnsi="Times New Roman" w:cs="Times New Roman"/>
                <w:kern w:val="0"/>
                <w:szCs w:val="22"/>
              </w:rPr>
            </w:pPr>
            <w:r w:rsidRPr="004865EF">
              <w:rPr>
                <w:rFonts w:ascii="Times New Roman" w:eastAsia="宋体" w:hAnsi="Times New Roman" w:cs="Times New Roman"/>
                <w:kern w:val="0"/>
                <w:szCs w:val="22"/>
              </w:rPr>
              <w:t>39,600.00</w:t>
            </w:r>
          </w:p>
        </w:tc>
        <w:tc>
          <w:tcPr>
            <w:tcW w:w="2126" w:type="dxa"/>
            <w:shd w:val="clear" w:color="auto" w:fill="auto"/>
            <w:noWrap/>
            <w:vAlign w:val="center"/>
            <w:hideMark/>
          </w:tcPr>
          <w:p w14:paraId="18F9A808" w14:textId="77777777" w:rsidR="003D7749" w:rsidRPr="004865EF" w:rsidRDefault="003D7749" w:rsidP="003D7749">
            <w:pPr>
              <w:widowControl/>
              <w:jc w:val="right"/>
              <w:rPr>
                <w:rFonts w:ascii="Times New Roman" w:eastAsia="宋体" w:hAnsi="Times New Roman" w:cs="Times New Roman"/>
                <w:kern w:val="0"/>
                <w:szCs w:val="22"/>
              </w:rPr>
            </w:pPr>
            <w:r w:rsidRPr="004865EF">
              <w:rPr>
                <w:rFonts w:ascii="Times New Roman" w:eastAsia="宋体" w:hAnsi="Times New Roman" w:cs="Times New Roman"/>
                <w:kern w:val="0"/>
                <w:szCs w:val="22"/>
              </w:rPr>
              <w:t>12,372.09</w:t>
            </w:r>
          </w:p>
        </w:tc>
      </w:tr>
      <w:tr w:rsidR="004865EF" w:rsidRPr="004865EF" w14:paraId="6BD59791" w14:textId="77777777" w:rsidTr="00675378">
        <w:trPr>
          <w:trHeight w:val="397"/>
        </w:trPr>
        <w:tc>
          <w:tcPr>
            <w:tcW w:w="1858" w:type="dxa"/>
            <w:vMerge/>
            <w:vAlign w:val="center"/>
            <w:hideMark/>
          </w:tcPr>
          <w:p w14:paraId="45CEA676" w14:textId="77777777" w:rsidR="003D7749" w:rsidRPr="004865EF" w:rsidRDefault="003D7749" w:rsidP="003D7749">
            <w:pPr>
              <w:widowControl/>
              <w:jc w:val="left"/>
              <w:rPr>
                <w:rFonts w:ascii="Times New Roman" w:eastAsia="宋体" w:hAnsi="Times New Roman" w:cs="Times New Roman"/>
                <w:kern w:val="0"/>
                <w:szCs w:val="22"/>
              </w:rPr>
            </w:pPr>
          </w:p>
        </w:tc>
        <w:tc>
          <w:tcPr>
            <w:tcW w:w="2268" w:type="dxa"/>
            <w:shd w:val="clear" w:color="auto" w:fill="auto"/>
            <w:noWrap/>
            <w:vAlign w:val="center"/>
            <w:hideMark/>
          </w:tcPr>
          <w:p w14:paraId="23D4D79B" w14:textId="77777777" w:rsidR="003D7749" w:rsidRPr="004865EF" w:rsidRDefault="003D7749" w:rsidP="003D7749">
            <w:pPr>
              <w:widowControl/>
              <w:jc w:val="center"/>
              <w:rPr>
                <w:rFonts w:ascii="Times New Roman" w:eastAsia="宋体" w:hAnsi="Times New Roman" w:cs="Times New Roman"/>
                <w:kern w:val="0"/>
                <w:szCs w:val="22"/>
              </w:rPr>
            </w:pPr>
            <w:r w:rsidRPr="004865EF">
              <w:rPr>
                <w:rFonts w:ascii="Times New Roman" w:eastAsia="宋体" w:hAnsi="Times New Roman" w:cs="Times New Roman" w:hint="eastAsia"/>
                <w:kern w:val="0"/>
                <w:szCs w:val="22"/>
              </w:rPr>
              <w:t>实际备案</w:t>
            </w:r>
          </w:p>
        </w:tc>
        <w:tc>
          <w:tcPr>
            <w:tcW w:w="2126" w:type="dxa"/>
            <w:shd w:val="clear" w:color="auto" w:fill="auto"/>
            <w:noWrap/>
            <w:vAlign w:val="center"/>
            <w:hideMark/>
          </w:tcPr>
          <w:p w14:paraId="37602DE0" w14:textId="77777777" w:rsidR="003D7749" w:rsidRPr="004865EF" w:rsidRDefault="003D7749" w:rsidP="003D7749">
            <w:pPr>
              <w:widowControl/>
              <w:jc w:val="right"/>
              <w:rPr>
                <w:rFonts w:ascii="Times New Roman" w:eastAsia="宋体" w:hAnsi="Times New Roman" w:cs="Times New Roman"/>
                <w:kern w:val="0"/>
                <w:szCs w:val="22"/>
              </w:rPr>
            </w:pPr>
            <w:r w:rsidRPr="004865EF">
              <w:rPr>
                <w:rFonts w:ascii="Times New Roman" w:eastAsia="宋体" w:hAnsi="Times New Roman" w:cs="Times New Roman"/>
                <w:kern w:val="0"/>
                <w:szCs w:val="22"/>
              </w:rPr>
              <w:t>48,000.00</w:t>
            </w:r>
          </w:p>
        </w:tc>
        <w:tc>
          <w:tcPr>
            <w:tcW w:w="2126" w:type="dxa"/>
            <w:shd w:val="clear" w:color="auto" w:fill="auto"/>
            <w:noWrap/>
            <w:vAlign w:val="center"/>
            <w:hideMark/>
          </w:tcPr>
          <w:p w14:paraId="7FCCB8AC" w14:textId="77777777" w:rsidR="003D7749" w:rsidRPr="004865EF" w:rsidRDefault="003D7749" w:rsidP="003D7749">
            <w:pPr>
              <w:widowControl/>
              <w:jc w:val="right"/>
              <w:rPr>
                <w:rFonts w:ascii="Times New Roman" w:eastAsia="宋体" w:hAnsi="Times New Roman" w:cs="Times New Roman"/>
                <w:kern w:val="0"/>
                <w:szCs w:val="22"/>
              </w:rPr>
            </w:pPr>
            <w:r w:rsidRPr="004865EF">
              <w:rPr>
                <w:rFonts w:ascii="Times New Roman" w:eastAsia="宋体" w:hAnsi="Times New Roman" w:cs="Times New Roman"/>
                <w:kern w:val="0"/>
                <w:szCs w:val="22"/>
              </w:rPr>
              <w:t>16,359.16</w:t>
            </w:r>
          </w:p>
        </w:tc>
      </w:tr>
    </w:tbl>
    <w:p w14:paraId="7C2483E4" w14:textId="74706796" w:rsidR="003D7749" w:rsidRPr="004865EF" w:rsidRDefault="003D7749" w:rsidP="003D7749">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由于</w:t>
      </w:r>
      <w:r w:rsidR="008F171B" w:rsidRPr="004865EF">
        <w:rPr>
          <w:rFonts w:ascii="Times New Roman" w:eastAsia="宋体" w:hAnsi="Times New Roman" w:cs="Times New Roman" w:hint="eastAsia"/>
          <w:sz w:val="24"/>
          <w:szCs w:val="22"/>
        </w:rPr>
        <w:t>房山二期规划机柜数量下降导致预计收入有所降低</w:t>
      </w:r>
      <w:r w:rsidRPr="004865EF">
        <w:rPr>
          <w:rFonts w:ascii="Times New Roman" w:eastAsia="宋体" w:hAnsi="Times New Roman" w:cs="Times New Roman" w:hint="eastAsia"/>
          <w:sz w:val="24"/>
          <w:szCs w:val="22"/>
        </w:rPr>
        <w:t>，</w:t>
      </w:r>
      <w:r w:rsidR="008F171B" w:rsidRPr="004865EF">
        <w:rPr>
          <w:rFonts w:ascii="Times New Roman" w:eastAsia="宋体" w:hAnsi="Times New Roman" w:cs="Times New Roman" w:hint="eastAsia"/>
          <w:sz w:val="24"/>
          <w:szCs w:val="22"/>
        </w:rPr>
        <w:t>但项目</w:t>
      </w:r>
      <w:r w:rsidRPr="004865EF">
        <w:rPr>
          <w:rFonts w:ascii="Times New Roman" w:eastAsia="宋体" w:hAnsi="Times New Roman" w:cs="Times New Roman" w:hint="eastAsia"/>
          <w:sz w:val="24"/>
          <w:szCs w:val="22"/>
        </w:rPr>
        <w:t>设计采用了更为先进的节能技术以及自动化运维技术，项目总体运</w:t>
      </w:r>
      <w:proofErr w:type="gramStart"/>
      <w:r w:rsidRPr="004865EF">
        <w:rPr>
          <w:rFonts w:ascii="Times New Roman" w:eastAsia="宋体" w:hAnsi="Times New Roman" w:cs="Times New Roman" w:hint="eastAsia"/>
          <w:sz w:val="24"/>
          <w:szCs w:val="22"/>
        </w:rPr>
        <w:t>维成本</w:t>
      </w:r>
      <w:proofErr w:type="gramEnd"/>
      <w:r w:rsidRPr="004865EF">
        <w:rPr>
          <w:rFonts w:ascii="Times New Roman" w:eastAsia="宋体" w:hAnsi="Times New Roman" w:cs="Times New Roman" w:hint="eastAsia"/>
          <w:sz w:val="24"/>
          <w:szCs w:val="22"/>
        </w:rPr>
        <w:t>有所下降，因此预计净利润差距不大。嘉定二期项目由于投资规模和</w:t>
      </w:r>
      <w:proofErr w:type="gramStart"/>
      <w:r w:rsidRPr="004865EF">
        <w:rPr>
          <w:rFonts w:ascii="Times New Roman" w:eastAsia="宋体" w:hAnsi="Times New Roman" w:cs="Times New Roman" w:hint="eastAsia"/>
          <w:sz w:val="24"/>
          <w:szCs w:val="22"/>
        </w:rPr>
        <w:t>可</w:t>
      </w:r>
      <w:proofErr w:type="gramEnd"/>
      <w:r w:rsidRPr="004865EF">
        <w:rPr>
          <w:rFonts w:ascii="Times New Roman" w:eastAsia="宋体" w:hAnsi="Times New Roman" w:cs="Times New Roman" w:hint="eastAsia"/>
          <w:sz w:val="24"/>
          <w:szCs w:val="22"/>
        </w:rPr>
        <w:t>运营机柜数量增加，项目预计年收入及净利润都有所增长。</w:t>
      </w:r>
    </w:p>
    <w:p w14:paraId="48E2EEDB" w14:textId="4A685F5F" w:rsidR="00602898" w:rsidRPr="004865EF" w:rsidRDefault="00602898" w:rsidP="00A66425">
      <w:pPr>
        <w:pStyle w:val="2"/>
      </w:pPr>
      <w:r w:rsidRPr="004865EF">
        <w:rPr>
          <w:rFonts w:hint="eastAsia"/>
        </w:rPr>
        <w:t>七、</w:t>
      </w:r>
      <w:r w:rsidRPr="004865EF">
        <w:t>结合</w:t>
      </w:r>
      <w:proofErr w:type="gramStart"/>
      <w:r w:rsidRPr="004865EF">
        <w:t>募投项目</w:t>
      </w:r>
      <w:proofErr w:type="gramEnd"/>
      <w:r w:rsidRPr="004865EF">
        <w:t>所需剩余资金的具体来源和可行性等，说明</w:t>
      </w:r>
      <w:proofErr w:type="gramStart"/>
      <w:r w:rsidRPr="004865EF">
        <w:t>募投项目</w:t>
      </w:r>
      <w:proofErr w:type="gramEnd"/>
      <w:r w:rsidRPr="004865EF">
        <w:t>实施是否存在重大不确定性，并分析</w:t>
      </w:r>
      <w:proofErr w:type="gramStart"/>
      <w:r w:rsidRPr="004865EF">
        <w:t>募投项目</w:t>
      </w:r>
      <w:proofErr w:type="gramEnd"/>
      <w:r w:rsidRPr="004865EF">
        <w:t>建设对公司的资产负债率和财务费用的影响</w:t>
      </w:r>
    </w:p>
    <w:p w14:paraId="44F22EE2" w14:textId="249FE263" w:rsidR="00602898" w:rsidRPr="004865EF" w:rsidRDefault="006C4603"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除补充流动资金</w:t>
      </w:r>
      <w:r w:rsidRPr="004865EF">
        <w:rPr>
          <w:rFonts w:ascii="Times New Roman" w:eastAsia="宋体" w:hAnsi="Times New Roman" w:cs="Times New Roman" w:hint="eastAsia"/>
          <w:sz w:val="24"/>
          <w:szCs w:val="22"/>
        </w:rPr>
        <w:t>12.80</w:t>
      </w:r>
      <w:r w:rsidRPr="004865EF">
        <w:rPr>
          <w:rFonts w:ascii="Times New Roman" w:eastAsia="宋体" w:hAnsi="Times New Roman" w:cs="Times New Roman" w:hint="eastAsia"/>
          <w:sz w:val="24"/>
          <w:szCs w:val="22"/>
        </w:rPr>
        <w:t>亿元外，本次四个</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投资总额合计</w:t>
      </w:r>
      <w:r w:rsidRPr="004865EF">
        <w:rPr>
          <w:rFonts w:ascii="Times New Roman" w:eastAsia="宋体" w:hAnsi="Times New Roman" w:cs="Times New Roman" w:hint="eastAsia"/>
          <w:sz w:val="24"/>
          <w:szCs w:val="22"/>
        </w:rPr>
        <w:t>89.71</w:t>
      </w:r>
      <w:r w:rsidRPr="004865EF">
        <w:rPr>
          <w:rFonts w:ascii="Times New Roman" w:eastAsia="宋体" w:hAnsi="Times New Roman" w:cs="Times New Roman" w:hint="eastAsia"/>
          <w:sz w:val="24"/>
          <w:szCs w:val="22"/>
        </w:rPr>
        <w:t>亿元，考虑募集资金投入</w:t>
      </w:r>
      <w:r w:rsidRPr="004865EF">
        <w:rPr>
          <w:rFonts w:ascii="Times New Roman" w:eastAsia="宋体" w:hAnsi="Times New Roman" w:cs="Times New Roman" w:hint="eastAsia"/>
          <w:sz w:val="24"/>
          <w:szCs w:val="22"/>
        </w:rPr>
        <w:t>37.20</w:t>
      </w:r>
      <w:r w:rsidRPr="004865EF">
        <w:rPr>
          <w:rFonts w:ascii="Times New Roman" w:eastAsia="宋体" w:hAnsi="Times New Roman" w:cs="Times New Roman" w:hint="eastAsia"/>
          <w:sz w:val="24"/>
          <w:szCs w:val="22"/>
        </w:rPr>
        <w:t>亿元后，仍需发行人自行筹集资金</w:t>
      </w:r>
      <w:r w:rsidRPr="004865EF">
        <w:rPr>
          <w:rFonts w:ascii="Times New Roman" w:eastAsia="宋体" w:hAnsi="Times New Roman" w:cs="Times New Roman" w:hint="eastAsia"/>
          <w:sz w:val="24"/>
          <w:szCs w:val="22"/>
        </w:rPr>
        <w:t>52.51</w:t>
      </w:r>
      <w:r w:rsidRPr="004865EF">
        <w:rPr>
          <w:rFonts w:ascii="Times New Roman" w:eastAsia="宋体" w:hAnsi="Times New Roman" w:cs="Times New Roman" w:hint="eastAsia"/>
          <w:sz w:val="24"/>
          <w:szCs w:val="22"/>
        </w:rPr>
        <w:t>亿元。截至本次非公开发行董事会决议日，</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的资金缺口为</w:t>
      </w:r>
      <w:r w:rsidRPr="004865EF">
        <w:rPr>
          <w:rFonts w:ascii="Times New Roman" w:eastAsia="宋体" w:hAnsi="Times New Roman" w:cs="Times New Roman" w:hint="eastAsia"/>
          <w:sz w:val="24"/>
          <w:szCs w:val="22"/>
        </w:rPr>
        <w:t>43.33</w:t>
      </w:r>
      <w:r w:rsidRPr="004865EF">
        <w:rPr>
          <w:rFonts w:ascii="Times New Roman" w:eastAsia="宋体" w:hAnsi="Times New Roman" w:cs="Times New Roman" w:hint="eastAsia"/>
          <w:sz w:val="24"/>
          <w:szCs w:val="22"/>
        </w:rPr>
        <w:t>亿元。对于该部分资金来源，发行人可通过自有资金、经营盈利、金融机构贷款、债券等多种方式筹集资金。</w:t>
      </w:r>
    </w:p>
    <w:p w14:paraId="19FD8073"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1</w:t>
      </w:r>
      <w:r w:rsidRPr="004865EF">
        <w:rPr>
          <w:rFonts w:ascii="Times New Roman" w:eastAsia="宋体" w:hAnsi="Times New Roman" w:cs="Times New Roman" w:hint="eastAsia"/>
          <w:sz w:val="24"/>
          <w:szCs w:val="22"/>
        </w:rPr>
        <w:t>、自有资金及未来经营盈利</w:t>
      </w:r>
    </w:p>
    <w:p w14:paraId="2D358848"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2017</w:t>
      </w:r>
      <w:r w:rsidRPr="004865EF">
        <w:rPr>
          <w:rFonts w:ascii="Times New Roman" w:eastAsia="宋体" w:hAnsi="Times New Roman" w:cs="Times New Roman" w:hint="eastAsia"/>
          <w:sz w:val="24"/>
          <w:szCs w:val="22"/>
        </w:rPr>
        <w:t>年至</w:t>
      </w: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年，发行人各期净利润分别为</w:t>
      </w:r>
      <w:r w:rsidRPr="004865EF">
        <w:rPr>
          <w:rFonts w:ascii="Times New Roman" w:eastAsia="宋体" w:hAnsi="Times New Roman" w:cs="Times New Roman" w:hint="eastAsia"/>
          <w:sz w:val="24"/>
          <w:szCs w:val="22"/>
        </w:rPr>
        <w:t>4.44</w:t>
      </w:r>
      <w:r w:rsidRPr="004865EF">
        <w:rPr>
          <w:rFonts w:ascii="Times New Roman" w:eastAsia="宋体" w:hAnsi="Times New Roman" w:cs="Times New Roman" w:hint="eastAsia"/>
          <w:sz w:val="24"/>
          <w:szCs w:val="22"/>
        </w:rPr>
        <w:t>亿元、</w:t>
      </w:r>
      <w:r w:rsidRPr="004865EF">
        <w:rPr>
          <w:rFonts w:ascii="Times New Roman" w:eastAsia="宋体" w:hAnsi="Times New Roman" w:cs="Times New Roman" w:hint="eastAsia"/>
          <w:sz w:val="24"/>
          <w:szCs w:val="22"/>
        </w:rPr>
        <w:t>6.84</w:t>
      </w:r>
      <w:r w:rsidRPr="004865EF">
        <w:rPr>
          <w:rFonts w:ascii="Times New Roman" w:eastAsia="宋体" w:hAnsi="Times New Roman" w:cs="Times New Roman" w:hint="eastAsia"/>
          <w:sz w:val="24"/>
          <w:szCs w:val="22"/>
        </w:rPr>
        <w:t>亿元和</w:t>
      </w:r>
      <w:r w:rsidRPr="004865EF">
        <w:rPr>
          <w:rFonts w:ascii="Times New Roman" w:eastAsia="宋体" w:hAnsi="Times New Roman" w:cs="Times New Roman" w:hint="eastAsia"/>
          <w:sz w:val="24"/>
          <w:szCs w:val="22"/>
        </w:rPr>
        <w:t>7.96</w:t>
      </w:r>
      <w:r w:rsidRPr="004865EF">
        <w:rPr>
          <w:rFonts w:ascii="Times New Roman" w:eastAsia="宋体" w:hAnsi="Times New Roman" w:cs="Times New Roman" w:hint="eastAsia"/>
          <w:sz w:val="24"/>
          <w:szCs w:val="22"/>
        </w:rPr>
        <w:t>亿元，经营活动现金流量净额分别为</w:t>
      </w:r>
      <w:r w:rsidRPr="004865EF">
        <w:rPr>
          <w:rFonts w:ascii="Times New Roman" w:eastAsia="宋体" w:hAnsi="Times New Roman" w:cs="Times New Roman" w:hint="eastAsia"/>
          <w:sz w:val="24"/>
          <w:szCs w:val="22"/>
        </w:rPr>
        <w:t>4.06</w:t>
      </w:r>
      <w:r w:rsidRPr="004865EF">
        <w:rPr>
          <w:rFonts w:ascii="Times New Roman" w:eastAsia="宋体" w:hAnsi="Times New Roman" w:cs="Times New Roman" w:hint="eastAsia"/>
          <w:sz w:val="24"/>
          <w:szCs w:val="22"/>
        </w:rPr>
        <w:t>亿元、</w:t>
      </w:r>
      <w:r w:rsidRPr="004865EF">
        <w:rPr>
          <w:rFonts w:ascii="Times New Roman" w:eastAsia="宋体" w:hAnsi="Times New Roman" w:cs="Times New Roman" w:hint="eastAsia"/>
          <w:sz w:val="24"/>
          <w:szCs w:val="22"/>
        </w:rPr>
        <w:t>5.87</w:t>
      </w:r>
      <w:r w:rsidRPr="004865EF">
        <w:rPr>
          <w:rFonts w:ascii="Times New Roman" w:eastAsia="宋体" w:hAnsi="Times New Roman" w:cs="Times New Roman" w:hint="eastAsia"/>
          <w:sz w:val="24"/>
          <w:szCs w:val="22"/>
        </w:rPr>
        <w:t>亿元和</w:t>
      </w:r>
      <w:r w:rsidRPr="004865EF">
        <w:rPr>
          <w:rFonts w:ascii="Times New Roman" w:eastAsia="宋体" w:hAnsi="Times New Roman" w:cs="Times New Roman" w:hint="eastAsia"/>
          <w:sz w:val="24"/>
          <w:szCs w:val="22"/>
        </w:rPr>
        <w:t>6.03</w:t>
      </w:r>
      <w:r w:rsidRPr="004865EF">
        <w:rPr>
          <w:rFonts w:ascii="Times New Roman" w:eastAsia="宋体" w:hAnsi="Times New Roman" w:cs="Times New Roman" w:hint="eastAsia"/>
          <w:sz w:val="24"/>
          <w:szCs w:val="22"/>
        </w:rPr>
        <w:t>亿元，经营情</w:t>
      </w:r>
      <w:r w:rsidRPr="004865EF">
        <w:rPr>
          <w:rFonts w:ascii="Times New Roman" w:eastAsia="宋体" w:hAnsi="Times New Roman" w:cs="Times New Roman" w:hint="eastAsia"/>
          <w:sz w:val="24"/>
          <w:szCs w:val="22"/>
        </w:rPr>
        <w:lastRenderedPageBreak/>
        <w:t>况良好，具有稳定的盈利能力和持续的经营活动现金流入，预计未来能够取得稳定的现金流用以支持新增数据中心建设。同时，</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数据中心作为新基建的重要领域，属于国家政策鼓励和支持的重点方向，公司预计未来业绩将持续向好。</w:t>
      </w:r>
    </w:p>
    <w:p w14:paraId="79B9F716" w14:textId="74B68C3D"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2</w:t>
      </w:r>
      <w:r w:rsidRPr="004865EF">
        <w:rPr>
          <w:rFonts w:ascii="Times New Roman" w:eastAsia="宋体" w:hAnsi="Times New Roman" w:cs="Times New Roman" w:hint="eastAsia"/>
          <w:sz w:val="24"/>
          <w:szCs w:val="22"/>
        </w:rPr>
        <w:t>、金融机构贷款、发行债券</w:t>
      </w:r>
      <w:r w:rsidR="008E466D" w:rsidRPr="004865EF">
        <w:rPr>
          <w:rFonts w:ascii="Times New Roman" w:eastAsia="宋体" w:hAnsi="Times New Roman" w:cs="Times New Roman" w:hint="eastAsia"/>
          <w:sz w:val="24"/>
          <w:szCs w:val="22"/>
        </w:rPr>
        <w:t>、</w:t>
      </w:r>
      <w:r w:rsidR="008E466D" w:rsidRPr="004865EF">
        <w:rPr>
          <w:rFonts w:ascii="楷体" w:eastAsia="楷体" w:hAnsi="楷体" w:cs="Times New Roman"/>
          <w:b/>
          <w:sz w:val="24"/>
          <w:szCs w:val="22"/>
        </w:rPr>
        <w:t>REIT</w:t>
      </w:r>
      <w:r w:rsidR="008E466D" w:rsidRPr="004865EF">
        <w:rPr>
          <w:rFonts w:ascii="楷体" w:eastAsia="楷体" w:hAnsi="楷体" w:cs="Times New Roman" w:hint="eastAsia"/>
          <w:b/>
          <w:sz w:val="24"/>
          <w:szCs w:val="22"/>
        </w:rPr>
        <w:t>s产品</w:t>
      </w:r>
      <w:r w:rsidRPr="004865EF">
        <w:rPr>
          <w:rFonts w:ascii="Times New Roman" w:eastAsia="宋体" w:hAnsi="Times New Roman" w:cs="Times New Roman" w:hint="eastAsia"/>
          <w:sz w:val="24"/>
          <w:szCs w:val="22"/>
        </w:rPr>
        <w:t>等多种融资渠道</w:t>
      </w:r>
    </w:p>
    <w:p w14:paraId="6E490B63"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发行人具有充足的银行授信额度。截至本问询函回复出具日，发行人及子发行人已获得的有效期内的授信额度为</w:t>
      </w:r>
      <w:r w:rsidRPr="004865EF">
        <w:rPr>
          <w:rFonts w:ascii="Times New Roman" w:eastAsia="宋体" w:hAnsi="Times New Roman" w:cs="Times New Roman" w:hint="eastAsia"/>
          <w:sz w:val="24"/>
          <w:szCs w:val="22"/>
        </w:rPr>
        <w:t>41.06</w:t>
      </w:r>
      <w:r w:rsidRPr="004865EF">
        <w:rPr>
          <w:rFonts w:ascii="Times New Roman" w:eastAsia="宋体" w:hAnsi="Times New Roman" w:cs="Times New Roman" w:hint="eastAsia"/>
          <w:sz w:val="24"/>
          <w:szCs w:val="22"/>
        </w:rPr>
        <w:t>亿元，已使用的授信额度为</w:t>
      </w:r>
      <w:r w:rsidRPr="004865EF">
        <w:rPr>
          <w:rFonts w:ascii="Times New Roman" w:eastAsia="宋体" w:hAnsi="Times New Roman" w:cs="Times New Roman" w:hint="eastAsia"/>
          <w:sz w:val="24"/>
          <w:szCs w:val="22"/>
        </w:rPr>
        <w:t>23.15</w:t>
      </w:r>
      <w:r w:rsidRPr="004865EF">
        <w:rPr>
          <w:rFonts w:ascii="Times New Roman" w:eastAsia="宋体" w:hAnsi="Times New Roman" w:cs="Times New Roman" w:hint="eastAsia"/>
          <w:sz w:val="24"/>
          <w:szCs w:val="22"/>
        </w:rPr>
        <w:t>亿元，发行人可使用的剩余授信额度为</w:t>
      </w:r>
      <w:r w:rsidRPr="004865EF">
        <w:rPr>
          <w:rFonts w:ascii="Times New Roman" w:eastAsia="宋体" w:hAnsi="Times New Roman" w:cs="Times New Roman" w:hint="eastAsia"/>
          <w:sz w:val="24"/>
          <w:szCs w:val="22"/>
        </w:rPr>
        <w:t>17.91</w:t>
      </w:r>
      <w:r w:rsidRPr="004865EF">
        <w:rPr>
          <w:rFonts w:ascii="Times New Roman" w:eastAsia="宋体" w:hAnsi="Times New Roman" w:cs="Times New Roman" w:hint="eastAsia"/>
          <w:sz w:val="24"/>
          <w:szCs w:val="22"/>
        </w:rPr>
        <w:t>亿元，授信额度充足，发行人能够向银行等金融机构筹集资金。截至</w:t>
      </w: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年</w:t>
      </w:r>
      <w:r w:rsidRPr="004865EF">
        <w:rPr>
          <w:rFonts w:ascii="Times New Roman" w:eastAsia="宋体" w:hAnsi="Times New Roman" w:cs="Times New Roman" w:hint="eastAsia"/>
          <w:sz w:val="24"/>
          <w:szCs w:val="22"/>
        </w:rPr>
        <w:t>12</w:t>
      </w:r>
      <w:r w:rsidRPr="004865EF">
        <w:rPr>
          <w:rFonts w:ascii="Times New Roman" w:eastAsia="宋体" w:hAnsi="Times New Roman" w:cs="Times New Roman" w:hint="eastAsia"/>
          <w:sz w:val="24"/>
          <w:szCs w:val="22"/>
        </w:rPr>
        <w:t>月</w:t>
      </w:r>
      <w:r w:rsidRPr="004865EF">
        <w:rPr>
          <w:rFonts w:ascii="Times New Roman" w:eastAsia="宋体" w:hAnsi="Times New Roman" w:cs="Times New Roman" w:hint="eastAsia"/>
          <w:sz w:val="24"/>
          <w:szCs w:val="22"/>
        </w:rPr>
        <w:t>31</w:t>
      </w:r>
      <w:r w:rsidRPr="004865EF">
        <w:rPr>
          <w:rFonts w:ascii="Times New Roman" w:eastAsia="宋体" w:hAnsi="Times New Roman" w:cs="Times New Roman" w:hint="eastAsia"/>
          <w:sz w:val="24"/>
          <w:szCs w:val="22"/>
        </w:rPr>
        <w:t>日，发行人总资产为</w:t>
      </w:r>
      <w:r w:rsidRPr="004865EF">
        <w:rPr>
          <w:rFonts w:ascii="Times New Roman" w:eastAsia="宋体" w:hAnsi="Times New Roman" w:cs="Times New Roman" w:hint="eastAsia"/>
          <w:sz w:val="24"/>
          <w:szCs w:val="22"/>
        </w:rPr>
        <w:t>122.33</w:t>
      </w:r>
      <w:r w:rsidRPr="004865EF">
        <w:rPr>
          <w:rFonts w:ascii="Times New Roman" w:eastAsia="宋体" w:hAnsi="Times New Roman" w:cs="Times New Roman" w:hint="eastAsia"/>
          <w:sz w:val="24"/>
          <w:szCs w:val="22"/>
        </w:rPr>
        <w:t>亿元，资产负债率为</w:t>
      </w:r>
      <w:r w:rsidRPr="004865EF">
        <w:rPr>
          <w:rFonts w:ascii="Times New Roman" w:eastAsia="宋体" w:hAnsi="Times New Roman" w:cs="Times New Roman" w:hint="eastAsia"/>
          <w:sz w:val="24"/>
          <w:szCs w:val="22"/>
        </w:rPr>
        <w:t>31.78%</w:t>
      </w:r>
      <w:r w:rsidRPr="004865EF">
        <w:rPr>
          <w:rFonts w:ascii="Times New Roman" w:eastAsia="宋体" w:hAnsi="Times New Roman" w:cs="Times New Roman" w:hint="eastAsia"/>
          <w:sz w:val="24"/>
          <w:szCs w:val="22"/>
        </w:rPr>
        <w:t>，资产负债率水平较低且信用良好，具备发行债券等多渠道融资条件。</w:t>
      </w:r>
    </w:p>
    <w:p w14:paraId="01A9B2F6" w14:textId="4A2D6ACE" w:rsidR="00E06150" w:rsidRPr="004865EF" w:rsidRDefault="008E466D" w:rsidP="00FE02AF">
      <w:pPr>
        <w:adjustRightInd w:val="0"/>
        <w:snapToGrid w:val="0"/>
        <w:spacing w:beforeLines="50" w:before="120" w:afterLines="50" w:after="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发行人</w:t>
      </w:r>
      <w:r w:rsidR="00E06150" w:rsidRPr="004865EF">
        <w:rPr>
          <w:rFonts w:ascii="楷体" w:eastAsia="楷体" w:hAnsi="楷体" w:cs="Times New Roman" w:hint="eastAsia"/>
          <w:b/>
          <w:sz w:val="24"/>
          <w:szCs w:val="22"/>
        </w:rPr>
        <w:t>于2020年11月11日召开第四届董事会2020年第六次会议，审议通过了《关于开展基础设施公募REITs申报发行工作的议案》，拟以中</w:t>
      </w:r>
      <w:proofErr w:type="gramStart"/>
      <w:r w:rsidR="00E06150" w:rsidRPr="004865EF">
        <w:rPr>
          <w:rFonts w:ascii="楷体" w:eastAsia="楷体" w:hAnsi="楷体" w:cs="Times New Roman" w:hint="eastAsia"/>
          <w:b/>
          <w:sz w:val="24"/>
          <w:szCs w:val="22"/>
        </w:rPr>
        <w:t>金云网持有</w:t>
      </w:r>
      <w:proofErr w:type="gramEnd"/>
      <w:r w:rsidR="00E06150" w:rsidRPr="004865EF">
        <w:rPr>
          <w:rFonts w:ascii="楷体" w:eastAsia="楷体" w:hAnsi="楷体" w:cs="Times New Roman" w:hint="eastAsia"/>
          <w:b/>
          <w:sz w:val="24"/>
          <w:szCs w:val="22"/>
        </w:rPr>
        <w:t>并运营的数据中心作为公募REITs底层资产，进行基础设施公募REITs的申报发行工作。</w:t>
      </w:r>
    </w:p>
    <w:p w14:paraId="4B673E7F" w14:textId="12D79206" w:rsidR="00BA765C" w:rsidRPr="004865EF" w:rsidRDefault="00BA765C" w:rsidP="00FE02AF">
      <w:pPr>
        <w:adjustRightInd w:val="0"/>
        <w:snapToGrid w:val="0"/>
        <w:spacing w:beforeLines="50" w:before="120" w:afterLines="50" w:after="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本次基础设施公募</w:t>
      </w:r>
      <w:r w:rsidRPr="004865EF">
        <w:rPr>
          <w:rFonts w:ascii="楷体" w:eastAsia="楷体" w:hAnsi="楷体" w:cs="Times New Roman"/>
          <w:b/>
          <w:sz w:val="24"/>
          <w:szCs w:val="22"/>
        </w:rPr>
        <w:t>REITs</w:t>
      </w:r>
      <w:r w:rsidRPr="004865EF">
        <w:rPr>
          <w:rFonts w:ascii="楷体" w:eastAsia="楷体" w:hAnsi="楷体" w:cs="Times New Roman" w:hint="eastAsia"/>
          <w:b/>
          <w:sz w:val="24"/>
          <w:szCs w:val="22"/>
        </w:rPr>
        <w:t>拟募集规模57亿元，光环新网除将作为战略配售投资人认购</w:t>
      </w:r>
      <w:r w:rsidRPr="004865EF">
        <w:rPr>
          <w:rFonts w:ascii="楷体" w:eastAsia="楷体" w:hAnsi="楷体" w:cs="Times New Roman"/>
          <w:b/>
          <w:sz w:val="24"/>
          <w:szCs w:val="22"/>
        </w:rPr>
        <w:t>基金份额</w:t>
      </w:r>
      <w:r w:rsidR="00D449A9" w:rsidRPr="004865EF">
        <w:rPr>
          <w:rFonts w:ascii="楷体" w:eastAsia="楷体" w:hAnsi="楷体" w:cs="Times New Roman" w:hint="eastAsia"/>
          <w:b/>
          <w:sz w:val="24"/>
          <w:szCs w:val="22"/>
        </w:rPr>
        <w:t>以及偿还</w:t>
      </w:r>
      <w:r w:rsidRPr="004865EF">
        <w:rPr>
          <w:rFonts w:ascii="楷体" w:eastAsia="楷体" w:hAnsi="楷体" w:cs="Times New Roman" w:hint="eastAsia"/>
          <w:b/>
          <w:sz w:val="24"/>
          <w:szCs w:val="22"/>
        </w:rPr>
        <w:t>银行贷款外，未来拟将其中的30亿元资金用以支持其他数据中心项目的建设。</w:t>
      </w:r>
    </w:p>
    <w:p w14:paraId="0346D3AC"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3</w:t>
      </w:r>
      <w:r w:rsidRPr="004865EF">
        <w:rPr>
          <w:rFonts w:ascii="Times New Roman" w:eastAsia="宋体" w:hAnsi="Times New Roman" w:cs="Times New Roman" w:hint="eastAsia"/>
          <w:sz w:val="24"/>
          <w:szCs w:val="22"/>
        </w:rPr>
        <w:t>、</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独立分析</w:t>
      </w:r>
    </w:p>
    <w:p w14:paraId="4F3326F4"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截至</w:t>
      </w: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年末，房山二期和嘉定二期已分别发生资金投入</w:t>
      </w:r>
      <w:r w:rsidRPr="004865EF">
        <w:rPr>
          <w:rFonts w:ascii="Times New Roman" w:eastAsia="宋体" w:hAnsi="Times New Roman" w:cs="Times New Roman" w:hint="eastAsia"/>
          <w:sz w:val="24"/>
          <w:szCs w:val="22"/>
        </w:rPr>
        <w:t>1.6</w:t>
      </w:r>
      <w:r w:rsidRPr="004865EF">
        <w:rPr>
          <w:rFonts w:ascii="Times New Roman" w:eastAsia="宋体" w:hAnsi="Times New Roman" w:cs="Times New Roman" w:hint="eastAsia"/>
          <w:sz w:val="24"/>
          <w:szCs w:val="22"/>
        </w:rPr>
        <w:t>亿元和</w:t>
      </w:r>
      <w:r w:rsidRPr="004865EF">
        <w:rPr>
          <w:rFonts w:ascii="Times New Roman" w:eastAsia="宋体" w:hAnsi="Times New Roman" w:cs="Times New Roman" w:hint="eastAsia"/>
          <w:sz w:val="24"/>
          <w:szCs w:val="22"/>
        </w:rPr>
        <w:t>1.4</w:t>
      </w:r>
      <w:r w:rsidRPr="004865EF">
        <w:rPr>
          <w:rFonts w:ascii="Times New Roman" w:eastAsia="宋体" w:hAnsi="Times New Roman" w:cs="Times New Roman" w:hint="eastAsia"/>
          <w:sz w:val="24"/>
          <w:szCs w:val="22"/>
        </w:rPr>
        <w:t>亿元；公司拟在项目中各投入募集资金</w:t>
      </w:r>
      <w:r w:rsidRPr="004865EF">
        <w:rPr>
          <w:rFonts w:ascii="Times New Roman" w:eastAsia="宋体" w:hAnsi="Times New Roman" w:cs="Times New Roman"/>
          <w:sz w:val="24"/>
          <w:szCs w:val="22"/>
        </w:rPr>
        <w:t>9</w:t>
      </w:r>
      <w:r w:rsidRPr="004865EF">
        <w:rPr>
          <w:rFonts w:ascii="Times New Roman" w:eastAsia="宋体" w:hAnsi="Times New Roman" w:cs="Times New Roman" w:hint="eastAsia"/>
          <w:sz w:val="24"/>
          <w:szCs w:val="22"/>
        </w:rPr>
        <w:t>亿元，未来资金缺口总额合计不超过</w:t>
      </w:r>
      <w:r w:rsidRPr="004865EF">
        <w:rPr>
          <w:rFonts w:ascii="Times New Roman" w:eastAsia="宋体" w:hAnsi="Times New Roman" w:cs="Times New Roman" w:hint="eastAsia"/>
          <w:sz w:val="24"/>
          <w:szCs w:val="22"/>
        </w:rPr>
        <w:t>4</w:t>
      </w:r>
      <w:r w:rsidRPr="004865EF">
        <w:rPr>
          <w:rFonts w:ascii="Times New Roman" w:eastAsia="宋体" w:hAnsi="Times New Roman" w:cs="Times New Roman" w:hint="eastAsia"/>
          <w:sz w:val="24"/>
          <w:szCs w:val="22"/>
        </w:rPr>
        <w:t>亿元。房山和嘉定项目预计均不晚于</w:t>
      </w:r>
      <w:r w:rsidRPr="004865EF">
        <w:rPr>
          <w:rFonts w:ascii="Times New Roman" w:eastAsia="宋体" w:hAnsi="Times New Roman" w:cs="Times New Roman" w:hint="eastAsia"/>
          <w:sz w:val="24"/>
          <w:szCs w:val="22"/>
        </w:rPr>
        <w:t>2021</w:t>
      </w:r>
      <w:r w:rsidRPr="004865EF">
        <w:rPr>
          <w:rFonts w:ascii="Times New Roman" w:eastAsia="宋体" w:hAnsi="Times New Roman" w:cs="Times New Roman" w:hint="eastAsia"/>
          <w:sz w:val="24"/>
          <w:szCs w:val="22"/>
        </w:rPr>
        <w:t>年开始投入运营，考虑经营性回款的情况下，资金缺口预计将减少至</w:t>
      </w:r>
      <w:r w:rsidRPr="004865EF">
        <w:rPr>
          <w:rFonts w:ascii="Times New Roman" w:eastAsia="宋体" w:hAnsi="Times New Roman" w:cs="Times New Roman" w:hint="eastAsia"/>
          <w:sz w:val="24"/>
          <w:szCs w:val="22"/>
        </w:rPr>
        <w:t>2</w:t>
      </w:r>
      <w:r w:rsidRPr="004865EF">
        <w:rPr>
          <w:rFonts w:ascii="Times New Roman" w:eastAsia="宋体" w:hAnsi="Times New Roman" w:cs="Times New Roman" w:hint="eastAsia"/>
          <w:sz w:val="24"/>
          <w:szCs w:val="22"/>
        </w:rPr>
        <w:t>亿元。发行人可通过自有资金、资产抵押借款等多种方式筹集资金，解决短期资金需求。</w:t>
      </w:r>
    </w:p>
    <w:p w14:paraId="786A44B1"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燕郊三四期项目已于</w:t>
      </w: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年开始投资建设，预计不晚于</w:t>
      </w:r>
      <w:r w:rsidRPr="004865EF">
        <w:rPr>
          <w:rFonts w:ascii="Times New Roman" w:eastAsia="宋体" w:hAnsi="Times New Roman" w:cs="Times New Roman"/>
          <w:sz w:val="24"/>
          <w:szCs w:val="22"/>
        </w:rPr>
        <w:t>2022</w:t>
      </w:r>
      <w:r w:rsidRPr="004865EF">
        <w:rPr>
          <w:rFonts w:ascii="Times New Roman" w:eastAsia="宋体" w:hAnsi="Times New Roman" w:cs="Times New Roman" w:hint="eastAsia"/>
          <w:sz w:val="24"/>
          <w:szCs w:val="22"/>
        </w:rPr>
        <w:t>年开始分期投入运营。燕郊三四期项目投资总额</w:t>
      </w:r>
      <w:r w:rsidRPr="004865EF">
        <w:rPr>
          <w:rFonts w:ascii="Times New Roman" w:eastAsia="宋体" w:hAnsi="Times New Roman" w:cs="Times New Roman" w:hint="eastAsia"/>
          <w:sz w:val="24"/>
          <w:szCs w:val="22"/>
        </w:rPr>
        <w:t>29.86</w:t>
      </w:r>
      <w:r w:rsidRPr="004865EF">
        <w:rPr>
          <w:rFonts w:ascii="Times New Roman" w:eastAsia="宋体" w:hAnsi="Times New Roman" w:cs="Times New Roman" w:hint="eastAsia"/>
          <w:sz w:val="24"/>
          <w:szCs w:val="22"/>
        </w:rPr>
        <w:t>亿元，发行人拟投入募集资金</w:t>
      </w:r>
      <w:r w:rsidRPr="004865EF">
        <w:rPr>
          <w:rFonts w:ascii="Times New Roman" w:eastAsia="宋体" w:hAnsi="Times New Roman" w:cs="Times New Roman" w:hint="eastAsia"/>
          <w:sz w:val="24"/>
          <w:szCs w:val="22"/>
        </w:rPr>
        <w:t>15.20</w:t>
      </w:r>
      <w:r w:rsidRPr="004865EF">
        <w:rPr>
          <w:rFonts w:ascii="Times New Roman" w:eastAsia="宋体" w:hAnsi="Times New Roman" w:cs="Times New Roman" w:hint="eastAsia"/>
          <w:sz w:val="24"/>
          <w:szCs w:val="22"/>
        </w:rPr>
        <w:t>亿元，资金缺口为</w:t>
      </w:r>
      <w:r w:rsidRPr="004865EF">
        <w:rPr>
          <w:rFonts w:ascii="Times New Roman" w:eastAsia="宋体" w:hAnsi="Times New Roman" w:cs="Times New Roman" w:hint="eastAsia"/>
          <w:sz w:val="24"/>
          <w:szCs w:val="22"/>
        </w:rPr>
        <w:t>14.66</w:t>
      </w:r>
      <w:r w:rsidRPr="004865EF">
        <w:rPr>
          <w:rFonts w:ascii="Times New Roman" w:eastAsia="宋体" w:hAnsi="Times New Roman" w:cs="Times New Roman" w:hint="eastAsia"/>
          <w:sz w:val="24"/>
          <w:szCs w:val="22"/>
        </w:rPr>
        <w:t>亿元。发行人未来拟通过少数股东同比例拆借、金融机构融资和项目自身经营回款等方式筹集建设资金。</w:t>
      </w:r>
    </w:p>
    <w:p w14:paraId="1FDA3A48"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长沙一期项目于</w:t>
      </w:r>
      <w:r w:rsidRPr="004865EF">
        <w:rPr>
          <w:rFonts w:ascii="Times New Roman" w:eastAsia="宋体" w:hAnsi="Times New Roman" w:cs="Times New Roman" w:hint="eastAsia"/>
          <w:sz w:val="24"/>
          <w:szCs w:val="22"/>
        </w:rPr>
        <w:t>2020</w:t>
      </w:r>
      <w:r w:rsidRPr="004865EF">
        <w:rPr>
          <w:rFonts w:ascii="Times New Roman" w:eastAsia="宋体" w:hAnsi="Times New Roman" w:cs="Times New Roman" w:hint="eastAsia"/>
          <w:sz w:val="24"/>
          <w:szCs w:val="22"/>
        </w:rPr>
        <w:t>年开始规划建设，预计不晚于</w:t>
      </w:r>
      <w:r w:rsidRPr="004865EF">
        <w:rPr>
          <w:rFonts w:ascii="Times New Roman" w:eastAsia="宋体" w:hAnsi="Times New Roman" w:cs="Times New Roman" w:hint="eastAsia"/>
          <w:sz w:val="24"/>
          <w:szCs w:val="22"/>
        </w:rPr>
        <w:t>2022</w:t>
      </w:r>
      <w:r w:rsidRPr="004865EF">
        <w:rPr>
          <w:rFonts w:ascii="Times New Roman" w:eastAsia="宋体" w:hAnsi="Times New Roman" w:cs="Times New Roman" w:hint="eastAsia"/>
          <w:sz w:val="24"/>
          <w:szCs w:val="22"/>
        </w:rPr>
        <w:t>年起开始分期投入</w:t>
      </w:r>
      <w:r w:rsidRPr="004865EF">
        <w:rPr>
          <w:rFonts w:ascii="Times New Roman" w:eastAsia="宋体" w:hAnsi="Times New Roman" w:cs="Times New Roman" w:hint="eastAsia"/>
          <w:sz w:val="24"/>
          <w:szCs w:val="22"/>
        </w:rPr>
        <w:lastRenderedPageBreak/>
        <w:t>运营。长沙项目投资周期较长，较其他</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投资进度相对较缓。发行人已于</w:t>
      </w:r>
      <w:r w:rsidRPr="004865EF">
        <w:rPr>
          <w:rFonts w:ascii="Times New Roman" w:eastAsia="宋体" w:hAnsi="Times New Roman" w:cs="Times New Roman" w:hint="eastAsia"/>
          <w:sz w:val="24"/>
          <w:szCs w:val="22"/>
        </w:rPr>
        <w:t>2020</w:t>
      </w:r>
      <w:r w:rsidRPr="004865EF">
        <w:rPr>
          <w:rFonts w:ascii="Times New Roman" w:eastAsia="宋体" w:hAnsi="Times New Roman" w:cs="Times New Roman" w:hint="eastAsia"/>
          <w:sz w:val="24"/>
          <w:szCs w:val="22"/>
        </w:rPr>
        <w:t>年投入土地成本支出</w:t>
      </w:r>
      <w:r w:rsidRPr="004865EF">
        <w:rPr>
          <w:rFonts w:ascii="Times New Roman" w:eastAsia="宋体" w:hAnsi="Times New Roman" w:cs="Times New Roman" w:hint="eastAsia"/>
          <w:sz w:val="24"/>
          <w:szCs w:val="22"/>
        </w:rPr>
        <w:t>0.7</w:t>
      </w:r>
      <w:r w:rsidRPr="004865EF">
        <w:rPr>
          <w:rFonts w:ascii="Times New Roman" w:eastAsia="宋体" w:hAnsi="Times New Roman" w:cs="Times New Roman" w:hint="eastAsia"/>
          <w:sz w:val="24"/>
          <w:szCs w:val="22"/>
        </w:rPr>
        <w:t>亿元，计划在该项目上投入募集资金</w:t>
      </w:r>
      <w:r w:rsidRPr="004865EF">
        <w:rPr>
          <w:rFonts w:ascii="Times New Roman" w:eastAsia="宋体" w:hAnsi="Times New Roman" w:cs="Times New Roman" w:hint="eastAsia"/>
          <w:sz w:val="24"/>
          <w:szCs w:val="22"/>
        </w:rPr>
        <w:t>4</w:t>
      </w:r>
      <w:r w:rsidRPr="004865EF">
        <w:rPr>
          <w:rFonts w:ascii="Times New Roman" w:eastAsia="宋体" w:hAnsi="Times New Roman" w:cs="Times New Roman" w:hint="eastAsia"/>
          <w:sz w:val="24"/>
          <w:szCs w:val="22"/>
        </w:rPr>
        <w:t>亿元，项目存在的资金缺口金额约</w:t>
      </w:r>
      <w:r w:rsidRPr="004865EF">
        <w:rPr>
          <w:rFonts w:ascii="Times New Roman" w:eastAsia="宋体" w:hAnsi="Times New Roman" w:cs="Times New Roman"/>
          <w:sz w:val="24"/>
          <w:szCs w:val="22"/>
        </w:rPr>
        <w:t>30</w:t>
      </w:r>
      <w:r w:rsidRPr="004865EF">
        <w:rPr>
          <w:rFonts w:ascii="Times New Roman" w:eastAsia="宋体" w:hAnsi="Times New Roman" w:cs="Times New Roman" w:hint="eastAsia"/>
          <w:sz w:val="24"/>
          <w:szCs w:val="22"/>
        </w:rPr>
        <w:t>亿元。发行人</w:t>
      </w:r>
      <w:proofErr w:type="gramStart"/>
      <w:r w:rsidRPr="004865EF">
        <w:rPr>
          <w:rFonts w:ascii="Times New Roman" w:eastAsia="宋体" w:hAnsi="Times New Roman" w:cs="Times New Roman" w:hint="eastAsia"/>
          <w:sz w:val="24"/>
          <w:szCs w:val="22"/>
        </w:rPr>
        <w:t>拟未来</w:t>
      </w:r>
      <w:proofErr w:type="gramEnd"/>
      <w:r w:rsidRPr="004865EF">
        <w:rPr>
          <w:rFonts w:ascii="Times New Roman" w:eastAsia="宋体" w:hAnsi="Times New Roman" w:cs="Times New Roman" w:hint="eastAsia"/>
          <w:sz w:val="24"/>
          <w:szCs w:val="22"/>
        </w:rPr>
        <w:t>继续通过自有资金、金融机构贷款、债券等多种融资渠道筹集资金。</w:t>
      </w:r>
    </w:p>
    <w:p w14:paraId="11FA98ED"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综上所述，发行人针对</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公司均有正常合理的融资途径；除长沙一期项目外，其余</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资金缺口较小；由于</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资金在建设期内分期投入，且先期投入运营的数据中心能够产生经营性回款，资金缺口并不集中，因此发行人能够通过自有资金、金融机构贷款、发行债券等多种途径解决资金缺口，资金</w:t>
      </w:r>
      <w:r w:rsidRPr="004865EF">
        <w:rPr>
          <w:rFonts w:ascii="Times New Roman" w:eastAsia="宋体" w:hAnsi="Times New Roman" w:cs="Times New Roman"/>
          <w:sz w:val="24"/>
          <w:szCs w:val="22"/>
        </w:rPr>
        <w:t>来源具有可行性，</w:t>
      </w:r>
      <w:proofErr w:type="gramStart"/>
      <w:r w:rsidRPr="004865EF">
        <w:rPr>
          <w:rFonts w:ascii="Times New Roman" w:eastAsia="宋体" w:hAnsi="Times New Roman" w:cs="Times New Roman"/>
          <w:sz w:val="24"/>
          <w:szCs w:val="22"/>
        </w:rPr>
        <w:t>募投项目</w:t>
      </w:r>
      <w:proofErr w:type="gramEnd"/>
      <w:r w:rsidRPr="004865EF">
        <w:rPr>
          <w:rFonts w:ascii="Times New Roman" w:eastAsia="宋体" w:hAnsi="Times New Roman" w:cs="Times New Roman"/>
          <w:sz w:val="24"/>
          <w:szCs w:val="22"/>
        </w:rPr>
        <w:t>实施不存在重大不确定性。</w:t>
      </w:r>
    </w:p>
    <w:p w14:paraId="55C97B7C"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4</w:t>
      </w:r>
      <w:r w:rsidRPr="004865EF">
        <w:rPr>
          <w:rFonts w:ascii="Times New Roman" w:eastAsia="宋体" w:hAnsi="Times New Roman" w:cs="Times New Roman" w:hint="eastAsia"/>
          <w:sz w:val="24"/>
          <w:szCs w:val="22"/>
        </w:rPr>
        <w:t>、</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建设对公司资产负债率和财务费用的影响</w:t>
      </w:r>
    </w:p>
    <w:p w14:paraId="2D933783" w14:textId="7777777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年</w:t>
      </w:r>
      <w:r w:rsidRPr="004865EF">
        <w:rPr>
          <w:rFonts w:ascii="Times New Roman" w:eastAsia="宋体" w:hAnsi="Times New Roman" w:cs="Times New Roman" w:hint="eastAsia"/>
          <w:sz w:val="24"/>
          <w:szCs w:val="22"/>
        </w:rPr>
        <w:t>12</w:t>
      </w:r>
      <w:r w:rsidRPr="004865EF">
        <w:rPr>
          <w:rFonts w:ascii="Times New Roman" w:eastAsia="宋体" w:hAnsi="Times New Roman" w:cs="Times New Roman" w:hint="eastAsia"/>
          <w:sz w:val="24"/>
          <w:szCs w:val="22"/>
        </w:rPr>
        <w:t>月</w:t>
      </w:r>
      <w:r w:rsidRPr="004865EF">
        <w:rPr>
          <w:rFonts w:ascii="Times New Roman" w:eastAsia="宋体" w:hAnsi="Times New Roman" w:cs="Times New Roman" w:hint="eastAsia"/>
          <w:sz w:val="24"/>
          <w:szCs w:val="22"/>
        </w:rPr>
        <w:t>31</w:t>
      </w:r>
      <w:r w:rsidRPr="004865EF">
        <w:rPr>
          <w:rFonts w:ascii="Times New Roman" w:eastAsia="宋体" w:hAnsi="Times New Roman" w:cs="Times New Roman" w:hint="eastAsia"/>
          <w:sz w:val="24"/>
          <w:szCs w:val="22"/>
        </w:rPr>
        <w:t>日，发行人的资产负债率为</w:t>
      </w:r>
      <w:r w:rsidRPr="004865EF">
        <w:rPr>
          <w:rFonts w:ascii="Times New Roman" w:eastAsia="宋体" w:hAnsi="Times New Roman" w:cs="Times New Roman"/>
          <w:sz w:val="24"/>
          <w:szCs w:val="22"/>
        </w:rPr>
        <w:t>31.78%</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年度财务费用</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利息支出为</w:t>
      </w:r>
      <w:r w:rsidRPr="004865EF">
        <w:rPr>
          <w:rFonts w:ascii="Times New Roman" w:eastAsia="宋体" w:hAnsi="Times New Roman" w:cs="Times New Roman"/>
          <w:sz w:val="24"/>
          <w:szCs w:val="22"/>
        </w:rPr>
        <w:t>11,712.99</w:t>
      </w:r>
      <w:r w:rsidRPr="004865EF">
        <w:rPr>
          <w:rFonts w:ascii="Times New Roman" w:eastAsia="宋体" w:hAnsi="Times New Roman" w:cs="Times New Roman" w:hint="eastAsia"/>
          <w:sz w:val="24"/>
          <w:szCs w:val="22"/>
        </w:rPr>
        <w:t>万元，利息支出</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营业收入比例为</w:t>
      </w:r>
      <w:r w:rsidRPr="004865EF">
        <w:rPr>
          <w:rFonts w:ascii="Times New Roman" w:eastAsia="宋体" w:hAnsi="Times New Roman" w:cs="Times New Roman"/>
          <w:sz w:val="24"/>
          <w:szCs w:val="22"/>
        </w:rPr>
        <w:t>1.65%</w:t>
      </w:r>
      <w:r w:rsidRPr="004865EF">
        <w:rPr>
          <w:rFonts w:ascii="Times New Roman" w:eastAsia="宋体" w:hAnsi="Times New Roman" w:cs="Times New Roman" w:hint="eastAsia"/>
          <w:sz w:val="24"/>
          <w:szCs w:val="22"/>
        </w:rPr>
        <w:t>。</w:t>
      </w:r>
    </w:p>
    <w:p w14:paraId="03C572E9" w14:textId="774706D2"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本次非公开发行董事会日前，四个</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已利用自有资金增加投资</w:t>
      </w:r>
      <w:r w:rsidRPr="004865EF">
        <w:rPr>
          <w:rFonts w:ascii="Times New Roman" w:eastAsia="宋体" w:hAnsi="Times New Roman" w:cs="Times New Roman" w:hint="eastAsia"/>
          <w:sz w:val="24"/>
          <w:szCs w:val="22"/>
        </w:rPr>
        <w:t>1.93</w:t>
      </w:r>
      <w:r w:rsidRPr="004865EF">
        <w:rPr>
          <w:rFonts w:ascii="Times New Roman" w:eastAsia="宋体" w:hAnsi="Times New Roman" w:cs="Times New Roman" w:hint="eastAsia"/>
          <w:sz w:val="24"/>
          <w:szCs w:val="22"/>
        </w:rPr>
        <w:t>亿元，考虑智达云创原有股东后期将参照发行人比例，对燕郊三四期项目增资</w:t>
      </w:r>
      <w:r w:rsidR="003D7749" w:rsidRPr="004865EF">
        <w:rPr>
          <w:rFonts w:ascii="Times New Roman" w:eastAsia="宋体" w:hAnsi="Times New Roman" w:cs="Times New Roman" w:hint="eastAsia"/>
          <w:sz w:val="24"/>
          <w:szCs w:val="22"/>
        </w:rPr>
        <w:t>（</w:t>
      </w:r>
      <w:r w:rsidR="003D7749" w:rsidRPr="004865EF">
        <w:rPr>
          <w:rFonts w:ascii="Times New Roman" w:eastAsia="宋体" w:hAnsi="Times New Roman" w:cs="Times New Roman"/>
          <w:sz w:val="24"/>
          <w:szCs w:val="22"/>
        </w:rPr>
        <w:t>3,400</w:t>
      </w:r>
      <w:r w:rsidR="003D7749" w:rsidRPr="004865EF">
        <w:rPr>
          <w:rFonts w:ascii="Times New Roman" w:eastAsia="宋体" w:hAnsi="Times New Roman" w:cs="Times New Roman" w:hint="eastAsia"/>
          <w:sz w:val="24"/>
          <w:szCs w:val="22"/>
        </w:rPr>
        <w:t>万元增资款项已于</w:t>
      </w:r>
      <w:r w:rsidR="003D7749" w:rsidRPr="004865EF">
        <w:rPr>
          <w:rFonts w:ascii="Times New Roman" w:eastAsia="宋体" w:hAnsi="Times New Roman" w:cs="Times New Roman"/>
          <w:sz w:val="24"/>
          <w:szCs w:val="22"/>
        </w:rPr>
        <w:t>2020</w:t>
      </w:r>
      <w:r w:rsidR="003D7749" w:rsidRPr="004865EF">
        <w:rPr>
          <w:rFonts w:ascii="Times New Roman" w:eastAsia="宋体" w:hAnsi="Times New Roman" w:cs="Times New Roman" w:hint="eastAsia"/>
          <w:sz w:val="24"/>
          <w:szCs w:val="22"/>
        </w:rPr>
        <w:t>年</w:t>
      </w:r>
      <w:r w:rsidR="003D7749" w:rsidRPr="004865EF">
        <w:rPr>
          <w:rFonts w:ascii="Times New Roman" w:eastAsia="宋体" w:hAnsi="Times New Roman" w:cs="Times New Roman"/>
          <w:sz w:val="24"/>
          <w:szCs w:val="22"/>
        </w:rPr>
        <w:t>4</w:t>
      </w:r>
      <w:r w:rsidR="003D7749" w:rsidRPr="004865EF">
        <w:rPr>
          <w:rFonts w:ascii="Times New Roman" w:eastAsia="宋体" w:hAnsi="Times New Roman" w:cs="Times New Roman" w:hint="eastAsia"/>
          <w:sz w:val="24"/>
          <w:szCs w:val="22"/>
        </w:rPr>
        <w:t>月实缴）</w:t>
      </w:r>
      <w:r w:rsidRPr="004865EF">
        <w:rPr>
          <w:rFonts w:ascii="Times New Roman" w:eastAsia="宋体" w:hAnsi="Times New Roman" w:cs="Times New Roman" w:hint="eastAsia"/>
          <w:sz w:val="24"/>
          <w:szCs w:val="22"/>
        </w:rPr>
        <w:t>和</w:t>
      </w:r>
      <w:r w:rsidR="003D7749" w:rsidRPr="004865EF">
        <w:rPr>
          <w:rFonts w:ascii="Times New Roman" w:eastAsia="宋体" w:hAnsi="Times New Roman" w:cs="Times New Roman" w:hint="eastAsia"/>
          <w:sz w:val="24"/>
          <w:szCs w:val="22"/>
        </w:rPr>
        <w:t>同比例</w:t>
      </w:r>
      <w:r w:rsidRPr="004865EF">
        <w:rPr>
          <w:rFonts w:ascii="Times New Roman" w:eastAsia="宋体" w:hAnsi="Times New Roman" w:cs="Times New Roman" w:hint="eastAsia"/>
          <w:sz w:val="24"/>
          <w:szCs w:val="22"/>
        </w:rPr>
        <w:t>资金拆借</w:t>
      </w:r>
      <w:r w:rsidR="003D7749" w:rsidRPr="004865EF">
        <w:rPr>
          <w:rFonts w:ascii="Times New Roman" w:eastAsia="宋体" w:hAnsi="Times New Roman" w:cs="Times New Roman" w:hint="eastAsia"/>
          <w:sz w:val="24"/>
          <w:szCs w:val="22"/>
        </w:rPr>
        <w:t>（发行人投资额为</w:t>
      </w:r>
      <w:r w:rsidR="003D7749" w:rsidRPr="004865EF">
        <w:rPr>
          <w:rFonts w:ascii="Times New Roman" w:eastAsia="宋体" w:hAnsi="Times New Roman" w:cs="Times New Roman"/>
          <w:sz w:val="24"/>
          <w:szCs w:val="22"/>
        </w:rPr>
        <w:t>15.20</w:t>
      </w:r>
      <w:r w:rsidR="003D7749" w:rsidRPr="004865EF">
        <w:rPr>
          <w:rFonts w:ascii="Times New Roman" w:eastAsia="宋体" w:hAnsi="Times New Roman" w:cs="Times New Roman" w:hint="eastAsia"/>
          <w:sz w:val="24"/>
          <w:szCs w:val="22"/>
        </w:rPr>
        <w:t>亿元，其中</w:t>
      </w:r>
      <w:r w:rsidR="003D7749" w:rsidRPr="004865EF">
        <w:rPr>
          <w:rFonts w:ascii="Times New Roman" w:eastAsia="宋体" w:hAnsi="Times New Roman" w:cs="Times New Roman"/>
          <w:sz w:val="24"/>
          <w:szCs w:val="22"/>
        </w:rPr>
        <w:t>65%</w:t>
      </w:r>
      <w:r w:rsidR="003D7749" w:rsidRPr="004865EF">
        <w:rPr>
          <w:rFonts w:ascii="Times New Roman" w:eastAsia="宋体" w:hAnsi="Times New Roman" w:cs="Times New Roman" w:hint="eastAsia"/>
          <w:sz w:val="24"/>
          <w:szCs w:val="22"/>
        </w:rPr>
        <w:t>股权出资金额为</w:t>
      </w:r>
      <w:r w:rsidR="003D7749" w:rsidRPr="004865EF">
        <w:rPr>
          <w:rFonts w:ascii="Times New Roman" w:eastAsia="宋体" w:hAnsi="Times New Roman" w:cs="Times New Roman"/>
          <w:sz w:val="24"/>
          <w:szCs w:val="22"/>
        </w:rPr>
        <w:t>11.27</w:t>
      </w:r>
      <w:r w:rsidR="003D7749" w:rsidRPr="004865EF">
        <w:rPr>
          <w:rFonts w:ascii="Times New Roman" w:eastAsia="宋体" w:hAnsi="Times New Roman" w:cs="Times New Roman" w:hint="eastAsia"/>
          <w:sz w:val="24"/>
          <w:szCs w:val="22"/>
        </w:rPr>
        <w:t>亿元，资金拆借</w:t>
      </w:r>
      <w:r w:rsidR="003D7749" w:rsidRPr="004865EF">
        <w:rPr>
          <w:rFonts w:ascii="Times New Roman" w:eastAsia="宋体" w:hAnsi="Times New Roman" w:cs="Times New Roman"/>
          <w:sz w:val="24"/>
          <w:szCs w:val="22"/>
        </w:rPr>
        <w:t>3.93</w:t>
      </w:r>
      <w:r w:rsidR="003D7749" w:rsidRPr="004865EF">
        <w:rPr>
          <w:rFonts w:ascii="Times New Roman" w:eastAsia="宋体" w:hAnsi="Times New Roman" w:cs="Times New Roman" w:hint="eastAsia"/>
          <w:sz w:val="24"/>
          <w:szCs w:val="22"/>
        </w:rPr>
        <w:t>亿元，少数股东同比例拆借</w:t>
      </w:r>
      <w:r w:rsidR="003D7749" w:rsidRPr="004865EF">
        <w:rPr>
          <w:rFonts w:ascii="Times New Roman" w:eastAsia="宋体" w:hAnsi="Times New Roman" w:cs="Times New Roman"/>
          <w:sz w:val="24"/>
          <w:szCs w:val="22"/>
        </w:rPr>
        <w:t>2.12</w:t>
      </w:r>
      <w:r w:rsidR="003D7749" w:rsidRPr="004865EF">
        <w:rPr>
          <w:rFonts w:ascii="Times New Roman" w:eastAsia="宋体" w:hAnsi="Times New Roman" w:cs="Times New Roman" w:hint="eastAsia"/>
          <w:sz w:val="24"/>
          <w:szCs w:val="22"/>
        </w:rPr>
        <w:t>亿元）</w:t>
      </w:r>
      <w:r w:rsidRPr="004865EF">
        <w:rPr>
          <w:rFonts w:ascii="Times New Roman" w:eastAsia="宋体" w:hAnsi="Times New Roman" w:cs="Times New Roman" w:hint="eastAsia"/>
          <w:sz w:val="24"/>
          <w:szCs w:val="22"/>
        </w:rPr>
        <w:t>合计约</w:t>
      </w:r>
      <w:r w:rsidRPr="004865EF">
        <w:rPr>
          <w:rFonts w:ascii="Times New Roman" w:eastAsia="宋体" w:hAnsi="Times New Roman" w:cs="Times New Roman"/>
          <w:sz w:val="24"/>
          <w:szCs w:val="22"/>
        </w:rPr>
        <w:t>2.46</w:t>
      </w:r>
      <w:r w:rsidRPr="004865EF">
        <w:rPr>
          <w:rFonts w:ascii="Times New Roman" w:eastAsia="宋体" w:hAnsi="Times New Roman" w:cs="Times New Roman" w:hint="eastAsia"/>
          <w:sz w:val="24"/>
          <w:szCs w:val="22"/>
        </w:rPr>
        <w:t>亿元，四个</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的资金缺口</w:t>
      </w:r>
      <w:r w:rsidR="006C4603" w:rsidRPr="004865EF">
        <w:rPr>
          <w:rFonts w:ascii="Times New Roman" w:eastAsia="宋体" w:hAnsi="Times New Roman" w:cs="Times New Roman" w:hint="eastAsia"/>
          <w:sz w:val="24"/>
          <w:szCs w:val="22"/>
        </w:rPr>
        <w:t>为</w:t>
      </w:r>
      <w:r w:rsidR="006C4603" w:rsidRPr="004865EF">
        <w:rPr>
          <w:rFonts w:ascii="Times New Roman" w:eastAsia="宋体" w:hAnsi="Times New Roman" w:cs="Times New Roman" w:hint="eastAsia"/>
          <w:sz w:val="24"/>
          <w:szCs w:val="22"/>
        </w:rPr>
        <w:t>43.33</w:t>
      </w:r>
      <w:r w:rsidRPr="004865EF">
        <w:rPr>
          <w:rFonts w:ascii="Times New Roman" w:eastAsia="宋体" w:hAnsi="Times New Roman" w:cs="Times New Roman" w:hint="eastAsia"/>
          <w:sz w:val="24"/>
          <w:szCs w:val="22"/>
        </w:rPr>
        <w:t>亿元。假设除</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外发行人原有资产规模及结构、盈利情况不发生变化，剩余资金缺口全部</w:t>
      </w:r>
      <w:r w:rsidR="009D5616" w:rsidRPr="004865EF">
        <w:rPr>
          <w:rFonts w:ascii="Times New Roman" w:eastAsia="宋体" w:hAnsi="Times New Roman" w:cs="Times New Roman" w:hint="eastAsia"/>
          <w:sz w:val="24"/>
          <w:szCs w:val="22"/>
        </w:rPr>
        <w:t>由项目实施主体</w:t>
      </w:r>
      <w:r w:rsidRPr="004865EF">
        <w:rPr>
          <w:rFonts w:ascii="Times New Roman" w:eastAsia="宋体" w:hAnsi="Times New Roman" w:cs="Times New Roman" w:hint="eastAsia"/>
          <w:sz w:val="24"/>
          <w:szCs w:val="22"/>
        </w:rPr>
        <w:t>通过债务融资形式弥补且不考虑偿还，融资利率水平按照</w:t>
      </w:r>
      <w:r w:rsidRPr="004865EF">
        <w:rPr>
          <w:rFonts w:ascii="Times New Roman" w:eastAsia="宋体" w:hAnsi="Times New Roman" w:cs="Times New Roman" w:hint="eastAsia"/>
          <w:sz w:val="24"/>
          <w:szCs w:val="22"/>
        </w:rPr>
        <w:t>2020</w:t>
      </w:r>
      <w:r w:rsidRPr="004865EF">
        <w:rPr>
          <w:rFonts w:ascii="Times New Roman" w:eastAsia="宋体" w:hAnsi="Times New Roman" w:cs="Times New Roman" w:hint="eastAsia"/>
          <w:sz w:val="24"/>
          <w:szCs w:val="22"/>
        </w:rPr>
        <w:t>年</w:t>
      </w:r>
      <w:r w:rsidRPr="004865EF">
        <w:rPr>
          <w:rFonts w:ascii="Times New Roman" w:eastAsia="宋体" w:hAnsi="Times New Roman" w:cs="Times New Roman" w:hint="eastAsia"/>
          <w:sz w:val="24"/>
          <w:szCs w:val="22"/>
        </w:rPr>
        <w:t>6</w:t>
      </w:r>
      <w:r w:rsidRPr="004865EF">
        <w:rPr>
          <w:rFonts w:ascii="Times New Roman" w:eastAsia="宋体" w:hAnsi="Times New Roman" w:cs="Times New Roman" w:hint="eastAsia"/>
          <w:sz w:val="24"/>
          <w:szCs w:val="22"/>
        </w:rPr>
        <w:t>月</w:t>
      </w:r>
      <w:r w:rsidRPr="004865EF">
        <w:rPr>
          <w:rFonts w:ascii="Times New Roman" w:eastAsia="宋体" w:hAnsi="Times New Roman" w:cs="Times New Roman" w:hint="eastAsia"/>
          <w:sz w:val="24"/>
          <w:szCs w:val="22"/>
        </w:rPr>
        <w:t>22</w:t>
      </w:r>
      <w:r w:rsidRPr="004865EF">
        <w:rPr>
          <w:rFonts w:ascii="Times New Roman" w:eastAsia="宋体" w:hAnsi="Times New Roman" w:cs="Times New Roman" w:hint="eastAsia"/>
          <w:sz w:val="24"/>
          <w:szCs w:val="22"/>
        </w:rPr>
        <w:t>日中国人民银行授权全国银行间同业拆借中心公布的</w:t>
      </w:r>
      <w:r w:rsidRPr="004865EF">
        <w:rPr>
          <w:rFonts w:ascii="Times New Roman" w:eastAsia="宋体" w:hAnsi="Times New Roman" w:cs="Times New Roman" w:hint="eastAsia"/>
          <w:sz w:val="24"/>
          <w:szCs w:val="22"/>
        </w:rPr>
        <w:t>5</w:t>
      </w:r>
      <w:r w:rsidRPr="004865EF">
        <w:rPr>
          <w:rFonts w:ascii="Times New Roman" w:eastAsia="宋体" w:hAnsi="Times New Roman" w:cs="Times New Roman" w:hint="eastAsia"/>
          <w:sz w:val="24"/>
          <w:szCs w:val="22"/>
        </w:rPr>
        <w:t>年期以上</w:t>
      </w:r>
      <w:r w:rsidRPr="004865EF">
        <w:rPr>
          <w:rFonts w:ascii="Times New Roman" w:eastAsia="宋体" w:hAnsi="Times New Roman" w:cs="Times New Roman" w:hint="eastAsia"/>
          <w:sz w:val="24"/>
          <w:szCs w:val="22"/>
        </w:rPr>
        <w:t>LPR 4.65%</w:t>
      </w:r>
      <w:r w:rsidRPr="004865EF">
        <w:rPr>
          <w:rFonts w:ascii="Times New Roman" w:eastAsia="宋体" w:hAnsi="Times New Roman" w:cs="Times New Roman" w:hint="eastAsia"/>
          <w:sz w:val="24"/>
          <w:szCs w:val="22"/>
        </w:rPr>
        <w:t>测算：</w:t>
      </w:r>
    </w:p>
    <w:p w14:paraId="48D611B6" w14:textId="556F2DBE"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1</w:t>
      </w:r>
      <w:r w:rsidRPr="004865EF">
        <w:rPr>
          <w:rFonts w:ascii="Times New Roman" w:eastAsia="宋体" w:hAnsi="Times New Roman" w:cs="Times New Roman" w:hint="eastAsia"/>
          <w:sz w:val="24"/>
          <w:szCs w:val="22"/>
        </w:rPr>
        <w:t>）年度财务费用</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利息支出预计增加</w:t>
      </w:r>
      <w:r w:rsidR="006C4603" w:rsidRPr="004865EF">
        <w:rPr>
          <w:rFonts w:ascii="Times New Roman" w:eastAsia="宋体" w:hAnsi="Times New Roman" w:cs="Times New Roman"/>
          <w:sz w:val="24"/>
          <w:szCs w:val="22"/>
        </w:rPr>
        <w:t>20,150.22</w:t>
      </w:r>
      <w:r w:rsidRPr="004865EF">
        <w:rPr>
          <w:rFonts w:ascii="Times New Roman" w:eastAsia="宋体" w:hAnsi="Times New Roman" w:cs="Times New Roman" w:hint="eastAsia"/>
          <w:sz w:val="24"/>
          <w:szCs w:val="22"/>
        </w:rPr>
        <w:t>万元（税前），利息支出</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营业收入比例上升至</w:t>
      </w:r>
      <w:r w:rsidRPr="004865EF">
        <w:rPr>
          <w:rFonts w:ascii="Times New Roman" w:eastAsia="宋体" w:hAnsi="Times New Roman" w:cs="Times New Roman"/>
          <w:sz w:val="24"/>
          <w:szCs w:val="22"/>
        </w:rPr>
        <w:t>2.9</w:t>
      </w:r>
      <w:r w:rsidR="006C4603" w:rsidRPr="004865EF">
        <w:rPr>
          <w:rFonts w:ascii="Times New Roman" w:eastAsia="宋体" w:hAnsi="Times New Roman" w:cs="Times New Roman"/>
          <w:sz w:val="24"/>
          <w:szCs w:val="22"/>
        </w:rPr>
        <w:t>5</w:t>
      </w:r>
      <w:r w:rsidRPr="004865EF">
        <w:rPr>
          <w:rFonts w:ascii="Times New Roman" w:eastAsia="宋体" w:hAnsi="Times New Roman" w:cs="Times New Roman"/>
          <w:sz w:val="24"/>
          <w:szCs w:val="22"/>
        </w:rPr>
        <w:t>%</w:t>
      </w:r>
      <w:r w:rsidRPr="004865EF">
        <w:rPr>
          <w:rFonts w:ascii="Times New Roman" w:eastAsia="宋体" w:hAnsi="Times New Roman" w:cs="Times New Roman"/>
          <w:sz w:val="24"/>
          <w:szCs w:val="22"/>
        </w:rPr>
        <w:t>。</w:t>
      </w:r>
    </w:p>
    <w:p w14:paraId="57724E61" w14:textId="593BB3CC"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2</w:t>
      </w:r>
      <w:r w:rsidRPr="004865EF">
        <w:rPr>
          <w:rFonts w:ascii="Times New Roman" w:eastAsia="宋体" w:hAnsi="Times New Roman" w:cs="Times New Roman" w:hint="eastAsia"/>
          <w:sz w:val="24"/>
          <w:szCs w:val="22"/>
        </w:rPr>
        <w:t>）资产负债率预计于</w:t>
      </w:r>
      <w:r w:rsidRPr="004865EF">
        <w:rPr>
          <w:rFonts w:ascii="Times New Roman" w:eastAsia="宋体" w:hAnsi="Times New Roman" w:cs="Times New Roman"/>
          <w:sz w:val="24"/>
          <w:szCs w:val="22"/>
        </w:rPr>
        <w:t>2023</w:t>
      </w:r>
      <w:r w:rsidRPr="004865EF">
        <w:rPr>
          <w:rFonts w:ascii="Times New Roman" w:eastAsia="宋体" w:hAnsi="Times New Roman" w:cs="Times New Roman" w:hint="eastAsia"/>
          <w:sz w:val="24"/>
          <w:szCs w:val="22"/>
        </w:rPr>
        <w:t>年末达到最高的</w:t>
      </w:r>
      <w:r w:rsidRPr="004865EF">
        <w:rPr>
          <w:rFonts w:ascii="Times New Roman" w:eastAsia="宋体" w:hAnsi="Times New Roman" w:cs="Times New Roman"/>
          <w:sz w:val="24"/>
          <w:szCs w:val="22"/>
        </w:rPr>
        <w:t>39.</w:t>
      </w:r>
      <w:r w:rsidR="006C4603" w:rsidRPr="004865EF">
        <w:rPr>
          <w:rFonts w:ascii="Times New Roman" w:eastAsia="宋体" w:hAnsi="Times New Roman" w:cs="Times New Roman"/>
          <w:sz w:val="24"/>
          <w:szCs w:val="22"/>
        </w:rPr>
        <w:t>78</w:t>
      </w:r>
      <w:r w:rsidRPr="004865EF">
        <w:rPr>
          <w:rFonts w:ascii="Times New Roman" w:eastAsia="宋体" w:hAnsi="Times New Roman" w:cs="Times New Roman"/>
          <w:sz w:val="24"/>
          <w:szCs w:val="22"/>
        </w:rPr>
        <w:t>%</w:t>
      </w:r>
      <w:r w:rsidRPr="004865EF">
        <w:rPr>
          <w:rFonts w:ascii="Times New Roman" w:eastAsia="宋体" w:hAnsi="Times New Roman" w:cs="Times New Roman" w:hint="eastAsia"/>
          <w:sz w:val="24"/>
          <w:szCs w:val="22"/>
        </w:rPr>
        <w:t>，较</w:t>
      </w: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年末上升</w:t>
      </w:r>
      <w:r w:rsidR="006C4603" w:rsidRPr="004865EF">
        <w:rPr>
          <w:rFonts w:ascii="Times New Roman" w:eastAsia="宋体" w:hAnsi="Times New Roman" w:cs="Times New Roman" w:hint="eastAsia"/>
          <w:sz w:val="24"/>
          <w:szCs w:val="22"/>
        </w:rPr>
        <w:t>8.00</w:t>
      </w:r>
      <w:r w:rsidRPr="004865EF">
        <w:rPr>
          <w:rFonts w:ascii="Times New Roman" w:eastAsia="宋体" w:hAnsi="Times New Roman" w:cs="Times New Roman" w:hint="eastAsia"/>
          <w:sz w:val="24"/>
          <w:szCs w:val="22"/>
        </w:rPr>
        <w:t>个百分点。</w:t>
      </w:r>
    </w:p>
    <w:p w14:paraId="1A2EEA56" w14:textId="18A9828D" w:rsidR="008E466D" w:rsidRPr="004865EF" w:rsidRDefault="008E466D" w:rsidP="00FE02AF">
      <w:pPr>
        <w:adjustRightInd w:val="0"/>
        <w:snapToGrid w:val="0"/>
        <w:spacing w:beforeLines="50" w:before="120" w:afterLines="50" w:after="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如果公募REITs项目预计于2021年初完成发行,并提供约30亿元的资金支持后，</w:t>
      </w:r>
      <w:r w:rsidR="00F3629A" w:rsidRPr="004865EF">
        <w:rPr>
          <w:rFonts w:ascii="楷体" w:eastAsia="楷体" w:hAnsi="楷体" w:cs="Times New Roman" w:hint="eastAsia"/>
          <w:b/>
          <w:sz w:val="24"/>
          <w:szCs w:val="22"/>
        </w:rPr>
        <w:t>四个</w:t>
      </w:r>
      <w:proofErr w:type="gramStart"/>
      <w:r w:rsidR="00F3629A" w:rsidRPr="004865EF">
        <w:rPr>
          <w:rFonts w:ascii="楷体" w:eastAsia="楷体" w:hAnsi="楷体" w:cs="Times New Roman" w:hint="eastAsia"/>
          <w:b/>
          <w:sz w:val="24"/>
          <w:szCs w:val="22"/>
        </w:rPr>
        <w:t>募投项目</w:t>
      </w:r>
      <w:proofErr w:type="gramEnd"/>
      <w:r w:rsidR="00F3629A" w:rsidRPr="004865EF">
        <w:rPr>
          <w:rFonts w:ascii="楷体" w:eastAsia="楷体" w:hAnsi="楷体" w:cs="Times New Roman" w:hint="eastAsia"/>
          <w:b/>
          <w:sz w:val="24"/>
          <w:szCs w:val="22"/>
        </w:rPr>
        <w:t>的资金缺口将减少至</w:t>
      </w:r>
      <w:r w:rsidR="00F3629A" w:rsidRPr="004865EF">
        <w:rPr>
          <w:rFonts w:ascii="楷体" w:eastAsia="楷体" w:hAnsi="楷体" w:cs="Times New Roman"/>
          <w:b/>
          <w:sz w:val="24"/>
          <w:szCs w:val="22"/>
        </w:rPr>
        <w:t>13.33亿元。</w:t>
      </w:r>
      <w:r w:rsidR="00F3629A" w:rsidRPr="004865EF">
        <w:rPr>
          <w:rFonts w:ascii="楷体" w:eastAsia="楷体" w:hAnsi="楷体" w:cs="Times New Roman" w:hint="eastAsia"/>
          <w:b/>
          <w:sz w:val="24"/>
          <w:szCs w:val="22"/>
        </w:rPr>
        <w:t>参考上述假设基础条件，</w:t>
      </w:r>
      <w:r w:rsidRPr="004865EF">
        <w:rPr>
          <w:rFonts w:ascii="楷体" w:eastAsia="楷体" w:hAnsi="楷体" w:cs="Times New Roman" w:hint="eastAsia"/>
          <w:b/>
          <w:sz w:val="24"/>
          <w:szCs w:val="22"/>
        </w:rPr>
        <w:t>对发行人财务</w:t>
      </w:r>
      <w:r w:rsidR="00F3629A" w:rsidRPr="004865EF">
        <w:rPr>
          <w:rFonts w:ascii="楷体" w:eastAsia="楷体" w:hAnsi="楷体" w:cs="Times New Roman" w:hint="eastAsia"/>
          <w:b/>
          <w:sz w:val="24"/>
          <w:szCs w:val="22"/>
        </w:rPr>
        <w:t>的具体</w:t>
      </w:r>
      <w:r w:rsidRPr="004865EF">
        <w:rPr>
          <w:rFonts w:ascii="楷体" w:eastAsia="楷体" w:hAnsi="楷体" w:cs="Times New Roman" w:hint="eastAsia"/>
          <w:b/>
          <w:sz w:val="24"/>
          <w:szCs w:val="22"/>
        </w:rPr>
        <w:t>影响</w:t>
      </w:r>
      <w:r w:rsidR="00F3629A" w:rsidRPr="004865EF">
        <w:rPr>
          <w:rFonts w:ascii="楷体" w:eastAsia="楷体" w:hAnsi="楷体" w:cs="Times New Roman" w:hint="eastAsia"/>
          <w:b/>
          <w:sz w:val="24"/>
          <w:szCs w:val="22"/>
        </w:rPr>
        <w:t>测算</w:t>
      </w:r>
      <w:r w:rsidRPr="004865EF">
        <w:rPr>
          <w:rFonts w:ascii="楷体" w:eastAsia="楷体" w:hAnsi="楷体" w:cs="Times New Roman" w:hint="eastAsia"/>
          <w:b/>
          <w:sz w:val="24"/>
          <w:szCs w:val="22"/>
        </w:rPr>
        <w:t>如下：</w:t>
      </w:r>
    </w:p>
    <w:p w14:paraId="6B394FDF" w14:textId="1ED86EC1" w:rsidR="008E466D" w:rsidRPr="004865EF" w:rsidRDefault="008E466D" w:rsidP="008E466D">
      <w:pPr>
        <w:adjustRightInd w:val="0"/>
        <w:snapToGrid w:val="0"/>
        <w:spacing w:beforeLines="50" w:before="120" w:afterLines="50" w:after="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lastRenderedPageBreak/>
        <w:t>（</w:t>
      </w:r>
      <w:r w:rsidRPr="004865EF">
        <w:rPr>
          <w:rFonts w:ascii="楷体" w:eastAsia="楷体" w:hAnsi="楷体" w:cs="Times New Roman"/>
          <w:b/>
          <w:sz w:val="24"/>
          <w:szCs w:val="22"/>
        </w:rPr>
        <w:t>1）年度财务费用-利息支出预计增加6,200.22万元（税前），利息支出/营业收入比例</w:t>
      </w:r>
      <w:r w:rsidR="00F3629A" w:rsidRPr="004865EF">
        <w:rPr>
          <w:rFonts w:ascii="楷体" w:eastAsia="楷体" w:hAnsi="楷体" w:cs="Times New Roman" w:hint="eastAsia"/>
          <w:b/>
          <w:sz w:val="24"/>
          <w:szCs w:val="22"/>
        </w:rPr>
        <w:t>约</w:t>
      </w:r>
      <w:r w:rsidR="00F3629A" w:rsidRPr="004865EF">
        <w:rPr>
          <w:rFonts w:ascii="楷体" w:eastAsia="楷体" w:hAnsi="楷体" w:cs="Times New Roman"/>
          <w:b/>
          <w:sz w:val="24"/>
          <w:szCs w:val="22"/>
        </w:rPr>
        <w:t>1.66%，</w:t>
      </w:r>
      <w:r w:rsidR="00F3629A" w:rsidRPr="004865EF">
        <w:rPr>
          <w:rFonts w:ascii="楷体" w:eastAsia="楷体" w:hAnsi="楷体" w:cs="Times New Roman" w:hint="eastAsia"/>
          <w:b/>
          <w:sz w:val="24"/>
          <w:szCs w:val="22"/>
        </w:rPr>
        <w:t>基本维持不变</w:t>
      </w:r>
      <w:r w:rsidRPr="004865EF">
        <w:rPr>
          <w:rFonts w:ascii="楷体" w:eastAsia="楷体" w:hAnsi="楷体" w:cs="Times New Roman"/>
          <w:b/>
          <w:sz w:val="24"/>
          <w:szCs w:val="22"/>
        </w:rPr>
        <w:t>。</w:t>
      </w:r>
    </w:p>
    <w:p w14:paraId="25A7771D" w14:textId="5D2843AF" w:rsidR="008E466D" w:rsidRPr="004865EF" w:rsidRDefault="008E466D">
      <w:pPr>
        <w:adjustRightInd w:val="0"/>
        <w:snapToGrid w:val="0"/>
        <w:spacing w:beforeLines="50" w:before="120" w:afterLines="50" w:after="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w:t>
      </w:r>
      <w:r w:rsidRPr="004865EF">
        <w:rPr>
          <w:rFonts w:ascii="楷体" w:eastAsia="楷体" w:hAnsi="楷体" w:cs="Times New Roman"/>
          <w:b/>
          <w:sz w:val="24"/>
          <w:szCs w:val="22"/>
        </w:rPr>
        <w:t>2）资产负债率预计于2023年末达到最高的</w:t>
      </w:r>
      <w:r w:rsidR="00F3629A" w:rsidRPr="004865EF">
        <w:rPr>
          <w:rFonts w:ascii="楷体" w:eastAsia="楷体" w:hAnsi="楷体" w:cs="Times New Roman"/>
          <w:b/>
          <w:sz w:val="24"/>
          <w:szCs w:val="22"/>
        </w:rPr>
        <w:t>25.27</w:t>
      </w:r>
      <w:r w:rsidRPr="004865EF">
        <w:rPr>
          <w:rFonts w:ascii="楷体" w:eastAsia="楷体" w:hAnsi="楷体" w:cs="Times New Roman"/>
          <w:b/>
          <w:sz w:val="24"/>
          <w:szCs w:val="22"/>
        </w:rPr>
        <w:t>%，较2019年末</w:t>
      </w:r>
      <w:r w:rsidR="00F3629A" w:rsidRPr="004865EF">
        <w:rPr>
          <w:rFonts w:ascii="楷体" w:eastAsia="楷体" w:hAnsi="楷体" w:cs="Times New Roman" w:hint="eastAsia"/>
          <w:b/>
          <w:sz w:val="24"/>
          <w:szCs w:val="22"/>
        </w:rPr>
        <w:t>下降</w:t>
      </w:r>
      <w:r w:rsidR="00F3629A" w:rsidRPr="004865EF">
        <w:rPr>
          <w:rFonts w:ascii="楷体" w:eastAsia="楷体" w:hAnsi="楷体" w:cs="Times New Roman"/>
          <w:b/>
          <w:sz w:val="24"/>
          <w:szCs w:val="22"/>
        </w:rPr>
        <w:t>6.51</w:t>
      </w:r>
      <w:r w:rsidRPr="004865EF">
        <w:rPr>
          <w:rFonts w:ascii="楷体" w:eastAsia="楷体" w:hAnsi="楷体" w:cs="Times New Roman"/>
          <w:b/>
          <w:sz w:val="24"/>
          <w:szCs w:val="22"/>
        </w:rPr>
        <w:t>个百分点。</w:t>
      </w:r>
    </w:p>
    <w:p w14:paraId="5735C238" w14:textId="53409897"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综上所述，</w:t>
      </w:r>
      <w:proofErr w:type="gramStart"/>
      <w:r w:rsidRPr="004865EF">
        <w:rPr>
          <w:rFonts w:ascii="Times New Roman" w:eastAsia="宋体" w:hAnsi="Times New Roman" w:cs="Times New Roman" w:hint="eastAsia"/>
          <w:sz w:val="24"/>
          <w:szCs w:val="22"/>
        </w:rPr>
        <w:t>募投建设项目</w:t>
      </w:r>
      <w:proofErr w:type="gramEnd"/>
      <w:r w:rsidRPr="004865EF">
        <w:rPr>
          <w:rFonts w:ascii="Times New Roman" w:eastAsia="宋体" w:hAnsi="Times New Roman" w:cs="Times New Roman" w:hint="eastAsia"/>
          <w:sz w:val="24"/>
          <w:szCs w:val="22"/>
        </w:rPr>
        <w:t>资金缺口全部采用债务融资</w:t>
      </w:r>
      <w:r w:rsidR="00F3629A" w:rsidRPr="004865EF">
        <w:rPr>
          <w:rFonts w:ascii="楷体" w:eastAsia="楷体" w:hAnsi="楷体" w:cs="Times New Roman" w:hint="eastAsia"/>
          <w:b/>
          <w:sz w:val="24"/>
          <w:szCs w:val="22"/>
        </w:rPr>
        <w:t>和REITs项目资金</w:t>
      </w:r>
      <w:r w:rsidRPr="004865EF">
        <w:rPr>
          <w:rFonts w:ascii="Times New Roman" w:eastAsia="宋体" w:hAnsi="Times New Roman" w:cs="Times New Roman" w:hint="eastAsia"/>
          <w:sz w:val="24"/>
          <w:szCs w:val="22"/>
        </w:rPr>
        <w:t>弥补，发行人的财务费用将有一定增加，资产负债率仍保持在</w:t>
      </w:r>
      <w:r w:rsidRPr="004865EF">
        <w:rPr>
          <w:rFonts w:ascii="Times New Roman" w:eastAsia="宋体" w:hAnsi="Times New Roman" w:cs="Times New Roman" w:hint="eastAsia"/>
          <w:sz w:val="24"/>
          <w:szCs w:val="22"/>
        </w:rPr>
        <w:t>40%</w:t>
      </w:r>
      <w:r w:rsidRPr="004865EF">
        <w:rPr>
          <w:rFonts w:ascii="Times New Roman" w:eastAsia="宋体" w:hAnsi="Times New Roman" w:cs="Times New Roman" w:hint="eastAsia"/>
          <w:sz w:val="24"/>
          <w:szCs w:val="22"/>
        </w:rPr>
        <w:t>以下，能够保持正常业务运营水平。</w:t>
      </w:r>
    </w:p>
    <w:p w14:paraId="21D799D8" w14:textId="5681C751" w:rsidR="00602898" w:rsidRPr="004865EF" w:rsidRDefault="00602898" w:rsidP="0066058B">
      <w:pPr>
        <w:pStyle w:val="2"/>
      </w:pPr>
      <w:r w:rsidRPr="004865EF">
        <w:rPr>
          <w:rFonts w:hint="eastAsia"/>
        </w:rPr>
        <w:t>八、中介机构核查意见</w:t>
      </w:r>
    </w:p>
    <w:p w14:paraId="6735BF25" w14:textId="626D836E" w:rsidR="00602898" w:rsidRPr="004865EF" w:rsidRDefault="00602898" w:rsidP="00535725">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b/>
          <w:bCs/>
          <w:sz w:val="24"/>
          <w:szCs w:val="22"/>
        </w:rPr>
        <w:t>（一）</w:t>
      </w:r>
      <w:r w:rsidR="00B2262D" w:rsidRPr="004865EF">
        <w:rPr>
          <w:rFonts w:ascii="Times New Roman" w:eastAsia="宋体" w:hAnsi="Times New Roman" w:cs="Times New Roman" w:hint="eastAsia"/>
          <w:b/>
          <w:bCs/>
          <w:sz w:val="24"/>
          <w:szCs w:val="22"/>
        </w:rPr>
        <w:t>核查程序</w:t>
      </w:r>
    </w:p>
    <w:p w14:paraId="3AE3648B" w14:textId="5E99F313" w:rsidR="00264C96" w:rsidRPr="004865EF" w:rsidRDefault="00264C96" w:rsidP="00535725">
      <w:pPr>
        <w:pStyle w:val="zhengwen"/>
      </w:pPr>
      <w:r w:rsidRPr="004865EF">
        <w:rPr>
          <w:rFonts w:hint="eastAsia"/>
        </w:rPr>
        <w:t>针对上述问题，保荐机构履行了以下核查程序：</w:t>
      </w:r>
    </w:p>
    <w:p w14:paraId="13F2D9D1" w14:textId="70B03E11"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1</w:t>
      </w:r>
      <w:r w:rsidRPr="004865EF">
        <w:rPr>
          <w:rFonts w:ascii="Times New Roman" w:eastAsia="宋体" w:hAnsi="Times New Roman" w:cs="Times New Roman"/>
          <w:sz w:val="24"/>
          <w:szCs w:val="22"/>
        </w:rPr>
        <w:t>、</w:t>
      </w:r>
      <w:r w:rsidR="00EB5EE6" w:rsidRPr="004865EF">
        <w:rPr>
          <w:rFonts w:ascii="Times New Roman" w:eastAsia="宋体" w:hAnsi="Times New Roman" w:cs="Times New Roman" w:hint="eastAsia"/>
          <w:sz w:val="24"/>
          <w:szCs w:val="22"/>
        </w:rPr>
        <w:t>询问发行人相关</w:t>
      </w:r>
      <w:r w:rsidRPr="004865EF">
        <w:rPr>
          <w:rFonts w:ascii="Times New Roman" w:eastAsia="宋体" w:hAnsi="Times New Roman" w:cs="Times New Roman" w:hint="eastAsia"/>
          <w:sz w:val="24"/>
          <w:szCs w:val="22"/>
        </w:rPr>
        <w:t>项目</w:t>
      </w:r>
      <w:r w:rsidR="00EB5EE6" w:rsidRPr="004865EF">
        <w:rPr>
          <w:rFonts w:ascii="Times New Roman" w:eastAsia="宋体" w:hAnsi="Times New Roman" w:cs="Times New Roman" w:hint="eastAsia"/>
          <w:sz w:val="24"/>
          <w:szCs w:val="22"/>
        </w:rPr>
        <w:t>工程部</w:t>
      </w:r>
      <w:r w:rsidRPr="004865EF">
        <w:rPr>
          <w:rFonts w:ascii="Times New Roman" w:eastAsia="宋体" w:hAnsi="Times New Roman" w:cs="Times New Roman" w:hint="eastAsia"/>
          <w:sz w:val="24"/>
          <w:szCs w:val="22"/>
        </w:rPr>
        <w:t>负责人，了解</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进展；</w:t>
      </w:r>
      <w:r w:rsidR="00EB5EE6" w:rsidRPr="004865EF">
        <w:rPr>
          <w:rFonts w:ascii="Times New Roman" w:eastAsia="宋体" w:hAnsi="Times New Roman" w:cs="Times New Roman" w:hint="eastAsia"/>
          <w:sz w:val="24"/>
          <w:szCs w:val="22"/>
        </w:rPr>
        <w:t>询问发行人研发中心负责人，了解</w:t>
      </w:r>
      <w:proofErr w:type="gramStart"/>
      <w:r w:rsidR="00EB5EE6" w:rsidRPr="004865EF">
        <w:rPr>
          <w:rFonts w:ascii="Times New Roman" w:eastAsia="宋体" w:hAnsi="Times New Roman" w:cs="Times New Roman" w:hint="eastAsia"/>
          <w:sz w:val="24"/>
          <w:szCs w:val="22"/>
        </w:rPr>
        <w:t>募投项目</w:t>
      </w:r>
      <w:proofErr w:type="gramEnd"/>
      <w:r w:rsidR="00EB5EE6" w:rsidRPr="004865EF">
        <w:rPr>
          <w:rFonts w:ascii="Times New Roman" w:eastAsia="宋体" w:hAnsi="Times New Roman" w:cs="Times New Roman" w:hint="eastAsia"/>
          <w:sz w:val="24"/>
          <w:szCs w:val="22"/>
        </w:rPr>
        <w:t>设计规划、进度安排、具体建设内容及测算依据、效益测算情况等；询问发行人市场部负责人，了解</w:t>
      </w:r>
      <w:proofErr w:type="gramStart"/>
      <w:r w:rsidR="00EB5EE6" w:rsidRPr="004865EF">
        <w:rPr>
          <w:rFonts w:ascii="Times New Roman" w:eastAsia="宋体" w:hAnsi="Times New Roman" w:cs="Times New Roman" w:hint="eastAsia"/>
          <w:sz w:val="24"/>
          <w:szCs w:val="22"/>
        </w:rPr>
        <w:t>募投项目</w:t>
      </w:r>
      <w:proofErr w:type="gramEnd"/>
      <w:r w:rsidR="00EB5EE6" w:rsidRPr="004865EF">
        <w:rPr>
          <w:rFonts w:ascii="Times New Roman" w:eastAsia="宋体" w:hAnsi="Times New Roman" w:cs="Times New Roman" w:hint="eastAsia"/>
          <w:sz w:val="24"/>
          <w:szCs w:val="22"/>
        </w:rPr>
        <w:t>销售订单情况；询问发行人企业发展与投资部负责人，了解</w:t>
      </w:r>
      <w:r w:rsidR="00EB5EE6" w:rsidRPr="004865EF">
        <w:rPr>
          <w:rFonts w:ascii="Times New Roman" w:eastAsia="宋体" w:hAnsi="Times New Roman" w:cs="Times New Roman" w:hint="eastAsia"/>
          <w:sz w:val="24"/>
          <w:szCs w:val="22"/>
        </w:rPr>
        <w:t>IDC</w:t>
      </w:r>
      <w:r w:rsidR="00EB5EE6" w:rsidRPr="004865EF">
        <w:rPr>
          <w:rFonts w:ascii="Times New Roman" w:eastAsia="宋体" w:hAnsi="Times New Roman" w:cs="Times New Roman" w:hint="eastAsia"/>
          <w:sz w:val="24"/>
          <w:szCs w:val="22"/>
        </w:rPr>
        <w:t>行业发展趋势及市场竞争格局、</w:t>
      </w:r>
      <w:proofErr w:type="gramStart"/>
      <w:r w:rsidR="00EB5EE6" w:rsidRPr="004865EF">
        <w:rPr>
          <w:rFonts w:ascii="Times New Roman" w:eastAsia="宋体" w:hAnsi="Times New Roman" w:cs="Times New Roman" w:hint="eastAsia"/>
          <w:sz w:val="24"/>
          <w:szCs w:val="22"/>
        </w:rPr>
        <w:t>募投项目</w:t>
      </w:r>
      <w:proofErr w:type="gramEnd"/>
      <w:r w:rsidR="00EB5EE6" w:rsidRPr="004865EF">
        <w:rPr>
          <w:rFonts w:ascii="Times New Roman" w:eastAsia="宋体" w:hAnsi="Times New Roman" w:cs="Times New Roman" w:hint="eastAsia"/>
          <w:sz w:val="24"/>
          <w:szCs w:val="22"/>
        </w:rPr>
        <w:t>具体应用场景及盈利模式，以及发行人针对</w:t>
      </w:r>
      <w:proofErr w:type="gramStart"/>
      <w:r w:rsidR="00EB5EE6" w:rsidRPr="004865EF">
        <w:rPr>
          <w:rFonts w:ascii="Times New Roman" w:eastAsia="宋体" w:hAnsi="Times New Roman" w:cs="Times New Roman" w:hint="eastAsia"/>
          <w:sz w:val="24"/>
          <w:szCs w:val="22"/>
        </w:rPr>
        <w:t>募投项目</w:t>
      </w:r>
      <w:proofErr w:type="gramEnd"/>
      <w:r w:rsidR="00EB5EE6" w:rsidRPr="004865EF">
        <w:rPr>
          <w:rFonts w:ascii="Times New Roman" w:eastAsia="宋体" w:hAnsi="Times New Roman" w:cs="Times New Roman" w:hint="eastAsia"/>
          <w:sz w:val="24"/>
          <w:szCs w:val="22"/>
        </w:rPr>
        <w:t>的实施能力；询问发行人财务部门负责人，了解</w:t>
      </w:r>
      <w:proofErr w:type="gramStart"/>
      <w:r w:rsidR="00EB5EE6" w:rsidRPr="004865EF">
        <w:rPr>
          <w:rFonts w:ascii="Times New Roman" w:eastAsia="宋体" w:hAnsi="Times New Roman" w:cs="Times New Roman" w:hint="eastAsia"/>
          <w:sz w:val="24"/>
          <w:szCs w:val="22"/>
        </w:rPr>
        <w:t>募投项目</w:t>
      </w:r>
      <w:proofErr w:type="gramEnd"/>
      <w:r w:rsidR="00EB5EE6" w:rsidRPr="004865EF">
        <w:rPr>
          <w:rFonts w:ascii="Times New Roman" w:eastAsia="宋体" w:hAnsi="Times New Roman" w:cs="Times New Roman" w:hint="eastAsia"/>
          <w:sz w:val="24"/>
          <w:szCs w:val="22"/>
        </w:rPr>
        <w:t>缺口资金及未来规划，以及对发行人现有财务结构的影响；</w:t>
      </w:r>
    </w:p>
    <w:p w14:paraId="669AE590" w14:textId="3EB807E0"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2</w:t>
      </w:r>
      <w:r w:rsidRPr="004865EF">
        <w:rPr>
          <w:rFonts w:ascii="Times New Roman" w:eastAsia="宋体" w:hAnsi="Times New Roman" w:cs="Times New Roman"/>
          <w:sz w:val="24"/>
          <w:szCs w:val="22"/>
        </w:rPr>
        <w:t>、</w:t>
      </w:r>
      <w:r w:rsidRPr="004865EF">
        <w:rPr>
          <w:rFonts w:ascii="Times New Roman" w:eastAsia="宋体" w:hAnsi="Times New Roman" w:cs="Times New Roman" w:hint="eastAsia"/>
          <w:sz w:val="24"/>
          <w:szCs w:val="22"/>
        </w:rPr>
        <w:t>查看各</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实施主体明细账，统计项目投资支出明细；</w:t>
      </w:r>
    </w:p>
    <w:p w14:paraId="5D7CB474" w14:textId="262A5270" w:rsidR="00602898" w:rsidRPr="004865EF" w:rsidRDefault="00EB5EE6"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3</w:t>
      </w:r>
      <w:r w:rsidR="00602898" w:rsidRPr="004865EF">
        <w:rPr>
          <w:rFonts w:ascii="Times New Roman" w:eastAsia="宋体" w:hAnsi="Times New Roman" w:cs="Times New Roman"/>
          <w:sz w:val="24"/>
          <w:szCs w:val="22"/>
        </w:rPr>
        <w:t>、</w:t>
      </w:r>
      <w:r w:rsidRPr="004865EF">
        <w:rPr>
          <w:rFonts w:ascii="Times New Roman" w:eastAsia="宋体" w:hAnsi="Times New Roman" w:cs="Times New Roman" w:hint="eastAsia"/>
          <w:sz w:val="24"/>
          <w:szCs w:val="22"/>
        </w:rPr>
        <w:t>复核发行人</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效益及资金缺口测算表，并进行合理性分析。</w:t>
      </w:r>
    </w:p>
    <w:p w14:paraId="1423A5D4" w14:textId="77777777" w:rsidR="00602898" w:rsidRPr="004865EF" w:rsidRDefault="00602898" w:rsidP="00602898">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b/>
          <w:bCs/>
          <w:sz w:val="24"/>
          <w:szCs w:val="22"/>
        </w:rPr>
        <w:t>（二）核查意见</w:t>
      </w:r>
    </w:p>
    <w:p w14:paraId="369D67C5" w14:textId="468F88A1" w:rsidR="00602898" w:rsidRPr="004865EF" w:rsidRDefault="00602898" w:rsidP="0060289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经核查，保荐机构</w:t>
      </w:r>
      <w:r w:rsidRPr="004865EF">
        <w:rPr>
          <w:rFonts w:ascii="Times New Roman" w:eastAsia="宋体" w:hAnsi="Times New Roman" w:cs="Times New Roman" w:hint="eastAsia"/>
          <w:sz w:val="24"/>
          <w:szCs w:val="22"/>
        </w:rPr>
        <w:t>认</w:t>
      </w:r>
      <w:r w:rsidRPr="004865EF">
        <w:rPr>
          <w:rFonts w:ascii="Times New Roman" w:eastAsia="宋体" w:hAnsi="Times New Roman" w:cs="Times New Roman"/>
          <w:sz w:val="24"/>
          <w:szCs w:val="22"/>
        </w:rPr>
        <w:t>为：</w:t>
      </w:r>
    </w:p>
    <w:p w14:paraId="4BF8A24C" w14:textId="47A15214" w:rsidR="00C9127F" w:rsidRPr="004865EF" w:rsidRDefault="00602898" w:rsidP="00C9127F">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1</w:t>
      </w:r>
      <w:r w:rsidRPr="004865EF">
        <w:rPr>
          <w:rFonts w:ascii="Times New Roman" w:eastAsia="宋体" w:hAnsi="Times New Roman" w:cs="Times New Roman" w:hint="eastAsia"/>
          <w:sz w:val="24"/>
          <w:szCs w:val="22"/>
        </w:rPr>
        <w:t>、</w:t>
      </w:r>
      <w:r w:rsidR="00234524" w:rsidRPr="004865EF">
        <w:rPr>
          <w:rFonts w:ascii="Times New Roman" w:eastAsia="宋体" w:hAnsi="Times New Roman" w:cs="Times New Roman" w:hint="eastAsia"/>
          <w:sz w:val="24"/>
          <w:szCs w:val="22"/>
        </w:rPr>
        <w:t>发行人已披露</w:t>
      </w:r>
      <w:proofErr w:type="gramStart"/>
      <w:r w:rsidR="00234524" w:rsidRPr="004865EF">
        <w:rPr>
          <w:rFonts w:ascii="Times New Roman" w:eastAsia="宋体" w:hAnsi="Times New Roman" w:cs="Times New Roman" w:hint="eastAsia"/>
          <w:sz w:val="24"/>
          <w:szCs w:val="22"/>
        </w:rPr>
        <w:t>募投</w:t>
      </w:r>
      <w:r w:rsidR="00C9127F" w:rsidRPr="004865EF">
        <w:rPr>
          <w:rFonts w:ascii="Times New Roman" w:eastAsia="宋体" w:hAnsi="Times New Roman" w:cs="Times New Roman"/>
          <w:sz w:val="24"/>
          <w:szCs w:val="22"/>
        </w:rPr>
        <w:t>项目</w:t>
      </w:r>
      <w:proofErr w:type="gramEnd"/>
      <w:r w:rsidR="00234524" w:rsidRPr="004865EF">
        <w:rPr>
          <w:rFonts w:ascii="Times New Roman" w:eastAsia="宋体" w:hAnsi="Times New Roman" w:cs="Times New Roman"/>
          <w:sz w:val="24"/>
          <w:szCs w:val="22"/>
        </w:rPr>
        <w:t>的建设进度、</w:t>
      </w:r>
      <w:r w:rsidR="00C9127F" w:rsidRPr="004865EF">
        <w:rPr>
          <w:rFonts w:ascii="Times New Roman" w:eastAsia="宋体" w:hAnsi="Times New Roman" w:cs="Times New Roman"/>
          <w:sz w:val="24"/>
          <w:szCs w:val="22"/>
        </w:rPr>
        <w:t>已投入资金</w:t>
      </w:r>
      <w:r w:rsidR="00234524" w:rsidRPr="004865EF">
        <w:rPr>
          <w:rFonts w:ascii="Times New Roman" w:eastAsia="宋体" w:hAnsi="Times New Roman" w:cs="Times New Roman" w:hint="eastAsia"/>
          <w:sz w:val="24"/>
          <w:szCs w:val="22"/>
        </w:rPr>
        <w:t>规模</w:t>
      </w:r>
      <w:r w:rsidR="00C9127F" w:rsidRPr="004865EF">
        <w:rPr>
          <w:rFonts w:ascii="Times New Roman" w:eastAsia="宋体" w:hAnsi="Times New Roman" w:cs="Times New Roman"/>
          <w:sz w:val="24"/>
          <w:szCs w:val="22"/>
        </w:rPr>
        <w:t>及用途</w:t>
      </w:r>
      <w:r w:rsidR="00234524" w:rsidRPr="004865EF">
        <w:rPr>
          <w:rFonts w:ascii="Times New Roman" w:eastAsia="宋体" w:hAnsi="Times New Roman" w:cs="Times New Roman" w:hint="eastAsia"/>
          <w:sz w:val="24"/>
          <w:szCs w:val="22"/>
        </w:rPr>
        <w:t>和</w:t>
      </w:r>
      <w:r w:rsidR="00C9127F" w:rsidRPr="004865EF">
        <w:rPr>
          <w:rFonts w:ascii="Times New Roman" w:eastAsia="宋体" w:hAnsi="Times New Roman" w:cs="Times New Roman"/>
          <w:sz w:val="24"/>
          <w:szCs w:val="22"/>
        </w:rPr>
        <w:t>已形成资产的具体内容；</w:t>
      </w:r>
    </w:p>
    <w:p w14:paraId="56D3CC12" w14:textId="1E580980" w:rsidR="00C9127F" w:rsidRPr="004865EF" w:rsidRDefault="00C9127F" w:rsidP="00C9127F">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2</w:t>
      </w:r>
      <w:r w:rsidRPr="004865EF">
        <w:rPr>
          <w:rFonts w:ascii="Times New Roman" w:eastAsia="宋体" w:hAnsi="Times New Roman" w:cs="Times New Roman" w:hint="eastAsia"/>
          <w:sz w:val="24"/>
          <w:szCs w:val="22"/>
        </w:rPr>
        <w:t>、</w:t>
      </w:r>
      <w:r w:rsidR="00234524" w:rsidRPr="004865EF">
        <w:rPr>
          <w:rFonts w:ascii="Times New Roman" w:eastAsia="宋体" w:hAnsi="Times New Roman" w:cs="Times New Roman" w:hint="eastAsia"/>
          <w:sz w:val="24"/>
          <w:szCs w:val="22"/>
        </w:rPr>
        <w:t>发行人已</w:t>
      </w:r>
      <w:r w:rsidR="00DD27AF" w:rsidRPr="004865EF">
        <w:rPr>
          <w:rFonts w:ascii="Times New Roman" w:eastAsia="宋体" w:hAnsi="Times New Roman" w:cs="Times New Roman" w:hint="eastAsia"/>
          <w:sz w:val="24"/>
          <w:szCs w:val="22"/>
        </w:rPr>
        <w:t>说明</w:t>
      </w:r>
      <w:proofErr w:type="gramStart"/>
      <w:r w:rsidRPr="004865EF">
        <w:rPr>
          <w:rFonts w:ascii="Times New Roman" w:eastAsia="宋体" w:hAnsi="Times New Roman" w:cs="Times New Roman"/>
          <w:sz w:val="24"/>
          <w:szCs w:val="22"/>
        </w:rPr>
        <w:t>募投项目</w:t>
      </w:r>
      <w:proofErr w:type="gramEnd"/>
      <w:r w:rsidRPr="004865EF">
        <w:rPr>
          <w:rFonts w:ascii="Times New Roman" w:eastAsia="宋体" w:hAnsi="Times New Roman" w:cs="Times New Roman"/>
          <w:sz w:val="24"/>
          <w:szCs w:val="22"/>
        </w:rPr>
        <w:t>的具体建设内</w:t>
      </w:r>
      <w:r w:rsidR="00234524" w:rsidRPr="004865EF">
        <w:rPr>
          <w:rFonts w:ascii="Times New Roman" w:eastAsia="宋体" w:hAnsi="Times New Roman" w:cs="Times New Roman"/>
          <w:sz w:val="24"/>
          <w:szCs w:val="22"/>
        </w:rPr>
        <w:t>容、具体投资数额安排明细</w:t>
      </w:r>
      <w:r w:rsidR="00234524" w:rsidRPr="004865EF">
        <w:rPr>
          <w:rFonts w:ascii="Times New Roman" w:eastAsia="宋体" w:hAnsi="Times New Roman" w:cs="Times New Roman" w:hint="eastAsia"/>
          <w:sz w:val="24"/>
          <w:szCs w:val="22"/>
        </w:rPr>
        <w:t>及</w:t>
      </w:r>
      <w:r w:rsidR="00234524" w:rsidRPr="004865EF">
        <w:rPr>
          <w:rFonts w:ascii="Times New Roman" w:eastAsia="宋体" w:hAnsi="Times New Roman" w:cs="Times New Roman"/>
          <w:sz w:val="24"/>
          <w:szCs w:val="22"/>
        </w:rPr>
        <w:t>测算依据过程、</w:t>
      </w:r>
      <w:r w:rsidRPr="004865EF">
        <w:rPr>
          <w:rFonts w:ascii="Times New Roman" w:eastAsia="宋体" w:hAnsi="Times New Roman" w:cs="Times New Roman"/>
          <w:sz w:val="24"/>
          <w:szCs w:val="22"/>
        </w:rPr>
        <w:t>募集资金投入的比例</w:t>
      </w:r>
      <w:r w:rsidR="00234524" w:rsidRPr="004865EF">
        <w:rPr>
          <w:rFonts w:ascii="Times New Roman" w:eastAsia="宋体" w:hAnsi="Times New Roman" w:cs="Times New Roman"/>
          <w:sz w:val="24"/>
          <w:szCs w:val="22"/>
        </w:rPr>
        <w:t>、各项投资</w:t>
      </w:r>
      <w:r w:rsidR="00234524" w:rsidRPr="004865EF">
        <w:rPr>
          <w:rFonts w:ascii="Times New Roman" w:eastAsia="宋体" w:hAnsi="Times New Roman" w:cs="Times New Roman" w:hint="eastAsia"/>
          <w:sz w:val="24"/>
          <w:szCs w:val="22"/>
        </w:rPr>
        <w:t>中的</w:t>
      </w:r>
      <w:r w:rsidR="00234524" w:rsidRPr="004865EF">
        <w:rPr>
          <w:rFonts w:ascii="Times New Roman" w:eastAsia="宋体" w:hAnsi="Times New Roman" w:cs="Times New Roman"/>
          <w:sz w:val="24"/>
          <w:szCs w:val="22"/>
        </w:rPr>
        <w:t>资本性支出</w:t>
      </w:r>
      <w:r w:rsidR="00234524" w:rsidRPr="004865EF">
        <w:rPr>
          <w:rFonts w:ascii="Times New Roman" w:eastAsia="宋体" w:hAnsi="Times New Roman" w:cs="Times New Roman" w:hint="eastAsia"/>
          <w:sz w:val="24"/>
          <w:szCs w:val="22"/>
        </w:rPr>
        <w:t>构成</w:t>
      </w:r>
      <w:r w:rsidRPr="004865EF">
        <w:rPr>
          <w:rFonts w:ascii="Times New Roman" w:eastAsia="宋体" w:hAnsi="Times New Roman" w:cs="Times New Roman"/>
          <w:sz w:val="24"/>
          <w:szCs w:val="22"/>
        </w:rPr>
        <w:t>；</w:t>
      </w:r>
    </w:p>
    <w:p w14:paraId="10632A9F" w14:textId="5593E808" w:rsidR="00C9127F" w:rsidRPr="004865EF" w:rsidRDefault="00C9127F" w:rsidP="00C9127F">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3</w:t>
      </w:r>
      <w:r w:rsidRPr="004865EF">
        <w:rPr>
          <w:rFonts w:ascii="Times New Roman" w:eastAsia="宋体" w:hAnsi="Times New Roman" w:cs="Times New Roman"/>
          <w:sz w:val="24"/>
          <w:szCs w:val="22"/>
        </w:rPr>
        <w:t>、</w:t>
      </w:r>
      <w:r w:rsidR="00234524" w:rsidRPr="004865EF">
        <w:rPr>
          <w:rFonts w:ascii="Times New Roman" w:eastAsia="宋体" w:hAnsi="Times New Roman" w:cs="Times New Roman" w:hint="eastAsia"/>
          <w:sz w:val="24"/>
          <w:szCs w:val="22"/>
        </w:rPr>
        <w:t>发行人已</w:t>
      </w:r>
      <w:r w:rsidRPr="004865EF">
        <w:rPr>
          <w:rFonts w:ascii="Times New Roman" w:eastAsia="宋体" w:hAnsi="Times New Roman" w:cs="Times New Roman"/>
          <w:sz w:val="24"/>
          <w:szCs w:val="22"/>
        </w:rPr>
        <w:t>披露本次</w:t>
      </w:r>
      <w:proofErr w:type="gramStart"/>
      <w:r w:rsidRPr="004865EF">
        <w:rPr>
          <w:rFonts w:ascii="Times New Roman" w:eastAsia="宋体" w:hAnsi="Times New Roman" w:cs="Times New Roman"/>
          <w:sz w:val="24"/>
          <w:szCs w:val="22"/>
        </w:rPr>
        <w:t>募投项目</w:t>
      </w:r>
      <w:proofErr w:type="gramEnd"/>
      <w:r w:rsidRPr="004865EF">
        <w:rPr>
          <w:rFonts w:ascii="Times New Roman" w:eastAsia="宋体" w:hAnsi="Times New Roman" w:cs="Times New Roman"/>
          <w:sz w:val="24"/>
          <w:szCs w:val="22"/>
        </w:rPr>
        <w:t>的募集资金使用和项目建设的进度安排，</w:t>
      </w:r>
      <w:r w:rsidR="00234524" w:rsidRPr="004865EF">
        <w:rPr>
          <w:rFonts w:ascii="Times New Roman" w:eastAsia="宋体" w:hAnsi="Times New Roman" w:cs="Times New Roman"/>
          <w:sz w:val="24"/>
          <w:szCs w:val="22"/>
        </w:rPr>
        <w:t>募</w:t>
      </w:r>
      <w:r w:rsidR="00234524" w:rsidRPr="004865EF">
        <w:rPr>
          <w:rFonts w:ascii="Times New Roman" w:eastAsia="宋体" w:hAnsi="Times New Roman" w:cs="Times New Roman"/>
          <w:sz w:val="24"/>
          <w:szCs w:val="22"/>
        </w:rPr>
        <w:lastRenderedPageBreak/>
        <w:t>集资金</w:t>
      </w:r>
      <w:r w:rsidR="00234524" w:rsidRPr="004865EF">
        <w:rPr>
          <w:rFonts w:ascii="Times New Roman" w:eastAsia="宋体" w:hAnsi="Times New Roman" w:cs="Times New Roman" w:hint="eastAsia"/>
          <w:sz w:val="24"/>
          <w:szCs w:val="22"/>
        </w:rPr>
        <w:t>不</w:t>
      </w:r>
      <w:r w:rsidR="00234524" w:rsidRPr="004865EF">
        <w:rPr>
          <w:rFonts w:ascii="Times New Roman" w:eastAsia="宋体" w:hAnsi="Times New Roman" w:cs="Times New Roman"/>
          <w:sz w:val="24"/>
          <w:szCs w:val="22"/>
        </w:rPr>
        <w:t>包含</w:t>
      </w:r>
      <w:r w:rsidRPr="004865EF">
        <w:rPr>
          <w:rFonts w:ascii="Times New Roman" w:eastAsia="宋体" w:hAnsi="Times New Roman" w:cs="Times New Roman"/>
          <w:sz w:val="24"/>
          <w:szCs w:val="22"/>
        </w:rPr>
        <w:t>董事会决议日前已投入资金；</w:t>
      </w:r>
    </w:p>
    <w:p w14:paraId="5B1CC6ED" w14:textId="64EA4D89" w:rsidR="00C9127F" w:rsidRPr="004865EF" w:rsidRDefault="00C9127F" w:rsidP="00C9127F">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4</w:t>
      </w:r>
      <w:r w:rsidRPr="004865EF">
        <w:rPr>
          <w:rFonts w:ascii="Times New Roman" w:eastAsia="宋体" w:hAnsi="Times New Roman" w:cs="Times New Roman"/>
          <w:sz w:val="24"/>
          <w:szCs w:val="22"/>
        </w:rPr>
        <w:t>、</w:t>
      </w:r>
      <w:r w:rsidR="00234524" w:rsidRPr="004865EF">
        <w:rPr>
          <w:rFonts w:ascii="Times New Roman" w:eastAsia="宋体" w:hAnsi="Times New Roman" w:cs="Times New Roman" w:hint="eastAsia"/>
          <w:sz w:val="24"/>
          <w:szCs w:val="22"/>
        </w:rPr>
        <w:t>发行人</w:t>
      </w:r>
      <w:r w:rsidRPr="004865EF">
        <w:rPr>
          <w:rFonts w:ascii="Times New Roman" w:eastAsia="宋体" w:hAnsi="Times New Roman" w:cs="Times New Roman"/>
          <w:sz w:val="24"/>
          <w:szCs w:val="22"/>
        </w:rPr>
        <w:t>具备本次</w:t>
      </w:r>
      <w:proofErr w:type="gramStart"/>
      <w:r w:rsidRPr="004865EF">
        <w:rPr>
          <w:rFonts w:ascii="Times New Roman" w:eastAsia="宋体" w:hAnsi="Times New Roman" w:cs="Times New Roman"/>
          <w:sz w:val="24"/>
          <w:szCs w:val="22"/>
        </w:rPr>
        <w:t>募投项目</w:t>
      </w:r>
      <w:proofErr w:type="gramEnd"/>
      <w:r w:rsidRPr="004865EF">
        <w:rPr>
          <w:rFonts w:ascii="Times New Roman" w:eastAsia="宋体" w:hAnsi="Times New Roman" w:cs="Times New Roman"/>
          <w:sz w:val="24"/>
          <w:szCs w:val="22"/>
        </w:rPr>
        <w:t>相关的技术储备、人员储备</w:t>
      </w:r>
      <w:r w:rsidRPr="004865EF">
        <w:rPr>
          <w:rFonts w:ascii="Times New Roman" w:eastAsia="宋体" w:hAnsi="Times New Roman" w:cs="Times New Roman" w:hint="eastAsia"/>
          <w:sz w:val="24"/>
          <w:szCs w:val="22"/>
        </w:rPr>
        <w:t>和市场拓展能力，项目实施</w:t>
      </w:r>
      <w:r w:rsidR="00234524" w:rsidRPr="004865EF">
        <w:rPr>
          <w:rFonts w:ascii="Times New Roman" w:eastAsia="宋体" w:hAnsi="Times New Roman" w:cs="Times New Roman" w:hint="eastAsia"/>
          <w:sz w:val="24"/>
          <w:szCs w:val="22"/>
        </w:rPr>
        <w:t>不</w:t>
      </w:r>
      <w:r w:rsidRPr="004865EF">
        <w:rPr>
          <w:rFonts w:ascii="Times New Roman" w:eastAsia="宋体" w:hAnsi="Times New Roman" w:cs="Times New Roman" w:hint="eastAsia"/>
          <w:sz w:val="24"/>
          <w:szCs w:val="22"/>
        </w:rPr>
        <w:t>存在重大不确定性风险；</w:t>
      </w:r>
    </w:p>
    <w:p w14:paraId="6B86BC7E" w14:textId="763F5C32" w:rsidR="00C9127F" w:rsidRPr="004865EF" w:rsidRDefault="00C9127F" w:rsidP="00C9127F">
      <w:pPr>
        <w:spacing w:beforeLines="50" w:before="120" w:line="360" w:lineRule="auto"/>
        <w:ind w:firstLine="482"/>
        <w:rPr>
          <w:rFonts w:ascii="Times New Roman" w:eastAsia="宋体" w:hAnsi="Times New Roman" w:cs="Times New Roman"/>
          <w:sz w:val="24"/>
        </w:rPr>
      </w:pPr>
      <w:r w:rsidRPr="004865EF">
        <w:rPr>
          <w:rFonts w:ascii="Times New Roman" w:eastAsia="宋体" w:hAnsi="Times New Roman" w:cs="Times New Roman"/>
          <w:sz w:val="24"/>
          <w:szCs w:val="22"/>
        </w:rPr>
        <w:t>5</w:t>
      </w:r>
      <w:r w:rsidRPr="004865EF">
        <w:rPr>
          <w:rFonts w:ascii="Times New Roman" w:eastAsia="宋体" w:hAnsi="Times New Roman" w:cs="Times New Roman"/>
          <w:sz w:val="24"/>
          <w:szCs w:val="22"/>
        </w:rPr>
        <w:t>、</w:t>
      </w:r>
      <w:r w:rsidRPr="004865EF">
        <w:rPr>
          <w:rFonts w:ascii="Times New Roman" w:eastAsia="宋体" w:hAnsi="Times New Roman" w:cs="Times New Roman" w:hint="eastAsia"/>
          <w:sz w:val="24"/>
          <w:szCs w:val="22"/>
        </w:rPr>
        <w:t>根据国家政策、市场环境、行业发展趋势等因素</w:t>
      </w:r>
      <w:r w:rsidR="00234524" w:rsidRPr="004865EF">
        <w:rPr>
          <w:rFonts w:ascii="Times New Roman" w:eastAsia="宋体" w:hAnsi="Times New Roman" w:cs="Times New Roman" w:hint="eastAsia"/>
          <w:sz w:val="24"/>
          <w:szCs w:val="22"/>
        </w:rPr>
        <w:t>，发行人新建数据中心</w:t>
      </w:r>
      <w:r w:rsidRPr="004865EF">
        <w:rPr>
          <w:rFonts w:ascii="Times New Roman" w:eastAsia="宋体" w:hAnsi="Times New Roman" w:cs="Times New Roman"/>
          <w:sz w:val="24"/>
        </w:rPr>
        <w:t>投资规模具有</w:t>
      </w:r>
      <w:r w:rsidR="00234524" w:rsidRPr="004865EF">
        <w:rPr>
          <w:rFonts w:ascii="Times New Roman" w:eastAsia="宋体" w:hAnsi="Times New Roman" w:cs="Times New Roman" w:hint="eastAsia"/>
          <w:kern w:val="0"/>
          <w:sz w:val="24"/>
        </w:rPr>
        <w:t>合理性，不存在闲置风险；</w:t>
      </w:r>
    </w:p>
    <w:p w14:paraId="1424AC75" w14:textId="3271349D" w:rsidR="00C9127F" w:rsidRPr="004865EF" w:rsidRDefault="00C9127F" w:rsidP="00C9127F">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6</w:t>
      </w:r>
      <w:r w:rsidRPr="004865EF">
        <w:rPr>
          <w:rFonts w:ascii="Times New Roman" w:eastAsia="宋体" w:hAnsi="Times New Roman" w:cs="Times New Roman"/>
          <w:sz w:val="24"/>
          <w:szCs w:val="22"/>
        </w:rPr>
        <w:t>、</w:t>
      </w:r>
      <w:r w:rsidR="009157C2" w:rsidRPr="004865EF">
        <w:rPr>
          <w:rFonts w:ascii="Times New Roman" w:eastAsia="宋体" w:hAnsi="Times New Roman" w:cs="Times New Roman" w:hint="eastAsia"/>
          <w:sz w:val="24"/>
          <w:szCs w:val="22"/>
        </w:rPr>
        <w:t>发行人已</w:t>
      </w:r>
      <w:r w:rsidR="009157C2" w:rsidRPr="004865EF">
        <w:rPr>
          <w:rFonts w:ascii="Times New Roman" w:eastAsia="宋体" w:hAnsi="Times New Roman" w:cs="Times New Roman"/>
          <w:sz w:val="24"/>
          <w:szCs w:val="22"/>
        </w:rPr>
        <w:t>披露</w:t>
      </w:r>
      <w:proofErr w:type="gramStart"/>
      <w:r w:rsidRPr="004865EF">
        <w:rPr>
          <w:rFonts w:ascii="Times New Roman" w:eastAsia="宋体" w:hAnsi="Times New Roman" w:cs="Times New Roman"/>
          <w:sz w:val="24"/>
          <w:szCs w:val="22"/>
        </w:rPr>
        <w:t>募投项目</w:t>
      </w:r>
      <w:proofErr w:type="gramEnd"/>
      <w:r w:rsidRPr="004865EF">
        <w:rPr>
          <w:rFonts w:ascii="Times New Roman" w:eastAsia="宋体" w:hAnsi="Times New Roman" w:cs="Times New Roman"/>
          <w:sz w:val="24"/>
          <w:szCs w:val="22"/>
        </w:rPr>
        <w:t>效益测算</w:t>
      </w:r>
      <w:r w:rsidRPr="004865EF">
        <w:rPr>
          <w:rFonts w:ascii="Times New Roman" w:eastAsia="宋体" w:hAnsi="Times New Roman" w:cs="Times New Roman" w:hint="eastAsia"/>
          <w:sz w:val="24"/>
          <w:szCs w:val="22"/>
        </w:rPr>
        <w:t>的过程依据</w:t>
      </w:r>
      <w:r w:rsidRPr="004865EF">
        <w:rPr>
          <w:rFonts w:ascii="Times New Roman" w:eastAsia="宋体" w:hAnsi="Times New Roman" w:cs="Times New Roman"/>
          <w:sz w:val="24"/>
          <w:szCs w:val="22"/>
        </w:rPr>
        <w:t>，</w:t>
      </w:r>
      <w:r w:rsidRPr="004865EF">
        <w:rPr>
          <w:rFonts w:ascii="Times New Roman" w:eastAsia="宋体" w:hAnsi="Times New Roman" w:cs="Times New Roman" w:hint="eastAsia"/>
          <w:sz w:val="24"/>
          <w:szCs w:val="22"/>
        </w:rPr>
        <w:t>通过与同行业</w:t>
      </w:r>
      <w:r w:rsidRPr="004865EF">
        <w:rPr>
          <w:rFonts w:ascii="Times New Roman" w:eastAsia="宋体" w:hAnsi="Times New Roman" w:cs="Times New Roman"/>
          <w:sz w:val="24"/>
          <w:szCs w:val="22"/>
        </w:rPr>
        <w:t>可比</w:t>
      </w:r>
      <w:r w:rsidRPr="004865EF">
        <w:rPr>
          <w:rFonts w:ascii="Times New Roman" w:eastAsia="宋体" w:hAnsi="Times New Roman" w:cs="Times New Roman" w:hint="eastAsia"/>
          <w:sz w:val="24"/>
          <w:szCs w:val="22"/>
        </w:rPr>
        <w:t>上市</w:t>
      </w:r>
      <w:r w:rsidRPr="004865EF">
        <w:rPr>
          <w:rFonts w:ascii="Times New Roman" w:eastAsia="宋体" w:hAnsi="Times New Roman" w:cs="Times New Roman"/>
          <w:sz w:val="24"/>
          <w:szCs w:val="22"/>
        </w:rPr>
        <w:t>公司</w:t>
      </w:r>
      <w:r w:rsidRPr="004865EF">
        <w:rPr>
          <w:rFonts w:ascii="Times New Roman" w:eastAsia="宋体" w:hAnsi="Times New Roman" w:cs="Times New Roman" w:hint="eastAsia"/>
          <w:sz w:val="24"/>
          <w:szCs w:val="22"/>
        </w:rPr>
        <w:t>对比及发行人历年</w:t>
      </w:r>
      <w:r w:rsidRPr="004865EF">
        <w:rPr>
          <w:rFonts w:ascii="Times New Roman" w:eastAsia="宋体" w:hAnsi="Times New Roman" w:cs="Times New Roman"/>
          <w:sz w:val="24"/>
          <w:szCs w:val="22"/>
        </w:rPr>
        <w:t>毛利率波动</w:t>
      </w:r>
      <w:r w:rsidRPr="004865EF">
        <w:rPr>
          <w:rFonts w:ascii="Times New Roman" w:eastAsia="宋体" w:hAnsi="Times New Roman" w:cs="Times New Roman" w:hint="eastAsia"/>
          <w:sz w:val="24"/>
          <w:szCs w:val="22"/>
        </w:rPr>
        <w:t>水平比较</w:t>
      </w:r>
      <w:r w:rsidRPr="004865EF">
        <w:rPr>
          <w:rFonts w:ascii="Times New Roman" w:eastAsia="宋体" w:hAnsi="Times New Roman" w:cs="Times New Roman"/>
          <w:sz w:val="24"/>
          <w:szCs w:val="22"/>
        </w:rPr>
        <w:t>，效益测算</w:t>
      </w:r>
      <w:r w:rsidRPr="004865EF">
        <w:rPr>
          <w:rFonts w:ascii="Times New Roman" w:eastAsia="宋体" w:hAnsi="Times New Roman" w:cs="Times New Roman" w:hint="eastAsia"/>
          <w:sz w:val="24"/>
          <w:szCs w:val="22"/>
        </w:rPr>
        <w:t>具有</w:t>
      </w:r>
      <w:r w:rsidRPr="004865EF">
        <w:rPr>
          <w:rFonts w:ascii="Times New Roman" w:eastAsia="宋体" w:hAnsi="Times New Roman" w:cs="Times New Roman"/>
          <w:sz w:val="24"/>
          <w:szCs w:val="22"/>
        </w:rPr>
        <w:t>谨慎合理性；</w:t>
      </w:r>
    </w:p>
    <w:p w14:paraId="70A98665" w14:textId="042D1BCE" w:rsidR="00602898" w:rsidRPr="004865EF" w:rsidRDefault="00C9127F" w:rsidP="00C9127F">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7</w:t>
      </w:r>
      <w:r w:rsidRPr="004865EF">
        <w:rPr>
          <w:rFonts w:ascii="Times New Roman" w:eastAsia="宋体" w:hAnsi="Times New Roman" w:cs="Times New Roman"/>
          <w:sz w:val="24"/>
          <w:szCs w:val="22"/>
        </w:rPr>
        <w:t>、</w:t>
      </w:r>
      <w:proofErr w:type="gramStart"/>
      <w:r w:rsidRPr="004865EF">
        <w:rPr>
          <w:rFonts w:ascii="Times New Roman" w:eastAsia="宋体" w:hAnsi="Times New Roman" w:cs="Times New Roman"/>
          <w:sz w:val="24"/>
          <w:szCs w:val="22"/>
        </w:rPr>
        <w:t>募投项目</w:t>
      </w:r>
      <w:proofErr w:type="gramEnd"/>
      <w:r w:rsidRPr="004865EF">
        <w:rPr>
          <w:rFonts w:ascii="Times New Roman" w:eastAsia="宋体" w:hAnsi="Times New Roman" w:cs="Times New Roman"/>
          <w:sz w:val="24"/>
          <w:szCs w:val="22"/>
        </w:rPr>
        <w:t>所需剩余资金</w:t>
      </w:r>
      <w:r w:rsidRPr="004865EF">
        <w:rPr>
          <w:rFonts w:ascii="Times New Roman" w:eastAsia="宋体" w:hAnsi="Times New Roman" w:cs="Times New Roman" w:hint="eastAsia"/>
          <w:sz w:val="24"/>
          <w:szCs w:val="22"/>
        </w:rPr>
        <w:t>能够通过自有资金、金融机构贷款、发行债券等多种途径解决，资金来源具有可行性，</w:t>
      </w:r>
      <w:proofErr w:type="gramStart"/>
      <w:r w:rsidRPr="004865EF">
        <w:rPr>
          <w:rFonts w:ascii="Times New Roman" w:eastAsia="宋体" w:hAnsi="Times New Roman" w:cs="Times New Roman" w:hint="eastAsia"/>
          <w:sz w:val="24"/>
          <w:szCs w:val="22"/>
        </w:rPr>
        <w:t>募投项目</w:t>
      </w:r>
      <w:proofErr w:type="gramEnd"/>
      <w:r w:rsidRPr="004865EF">
        <w:rPr>
          <w:rFonts w:ascii="Times New Roman" w:eastAsia="宋体" w:hAnsi="Times New Roman" w:cs="Times New Roman" w:hint="eastAsia"/>
          <w:sz w:val="24"/>
          <w:szCs w:val="22"/>
        </w:rPr>
        <w:t>实施不存在重大不确定性；</w:t>
      </w:r>
      <w:proofErr w:type="gramStart"/>
      <w:r w:rsidRPr="004865EF">
        <w:rPr>
          <w:rFonts w:ascii="Times New Roman" w:eastAsia="宋体" w:hAnsi="Times New Roman" w:cs="Times New Roman"/>
          <w:sz w:val="24"/>
          <w:szCs w:val="22"/>
        </w:rPr>
        <w:t>募投项目</w:t>
      </w:r>
      <w:proofErr w:type="gramEnd"/>
      <w:r w:rsidRPr="004865EF">
        <w:rPr>
          <w:rFonts w:ascii="Times New Roman" w:eastAsia="宋体" w:hAnsi="Times New Roman" w:cs="Times New Roman"/>
          <w:sz w:val="24"/>
          <w:szCs w:val="22"/>
        </w:rPr>
        <w:t>建设，</w:t>
      </w:r>
      <w:r w:rsidRPr="004865EF">
        <w:rPr>
          <w:rFonts w:ascii="Times New Roman" w:eastAsia="宋体" w:hAnsi="Times New Roman" w:cs="Times New Roman" w:hint="eastAsia"/>
          <w:sz w:val="24"/>
          <w:szCs w:val="22"/>
        </w:rPr>
        <w:t>会导致公司财务费用利息支出和资产负债率的上升，但整体</w:t>
      </w:r>
      <w:r w:rsidRPr="004865EF">
        <w:rPr>
          <w:rFonts w:ascii="Times New Roman" w:eastAsia="宋体" w:hAnsi="Times New Roman" w:cs="Times New Roman"/>
          <w:sz w:val="24"/>
          <w:szCs w:val="22"/>
        </w:rPr>
        <w:t>影响</w:t>
      </w:r>
      <w:r w:rsidRPr="004865EF">
        <w:rPr>
          <w:rFonts w:ascii="Times New Roman" w:eastAsia="宋体" w:hAnsi="Times New Roman" w:cs="Times New Roman" w:hint="eastAsia"/>
          <w:sz w:val="24"/>
          <w:szCs w:val="22"/>
        </w:rPr>
        <w:t>较小</w:t>
      </w:r>
      <w:r w:rsidRPr="004865EF">
        <w:rPr>
          <w:rFonts w:ascii="Times New Roman" w:eastAsia="宋体" w:hAnsi="Times New Roman" w:cs="Times New Roman"/>
          <w:sz w:val="24"/>
          <w:szCs w:val="22"/>
        </w:rPr>
        <w:t>。</w:t>
      </w:r>
    </w:p>
    <w:p w14:paraId="395CA2E3" w14:textId="3BFC3EF5" w:rsidR="00A975DE" w:rsidRPr="004865EF" w:rsidRDefault="008065F6" w:rsidP="00A66425">
      <w:pPr>
        <w:pStyle w:val="2"/>
        <w:rPr>
          <w:b w:val="0"/>
          <w:bCs w:val="0"/>
        </w:rPr>
      </w:pPr>
      <w:r w:rsidRPr="004865EF">
        <w:rPr>
          <w:rFonts w:hint="eastAsia"/>
        </w:rPr>
        <w:t>九</w:t>
      </w:r>
      <w:r w:rsidRPr="004865EF">
        <w:t>、</w:t>
      </w:r>
      <w:r w:rsidR="00DD27AF" w:rsidRPr="004865EF">
        <w:rPr>
          <w:rFonts w:hint="eastAsia"/>
        </w:rPr>
        <w:t>补充披露</w:t>
      </w:r>
    </w:p>
    <w:p w14:paraId="16AF4C78" w14:textId="4C7098E4" w:rsidR="00DD27AF" w:rsidRPr="004865EF" w:rsidRDefault="008065F6" w:rsidP="0049462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1</w:t>
      </w:r>
      <w:r w:rsidRPr="004865EF">
        <w:rPr>
          <w:rFonts w:ascii="Times New Roman" w:eastAsia="宋体" w:hAnsi="Times New Roman" w:cs="Times New Roman" w:hint="eastAsia"/>
          <w:sz w:val="24"/>
          <w:szCs w:val="22"/>
        </w:rPr>
        <w:t>、</w:t>
      </w:r>
      <w:r w:rsidR="00DD27AF" w:rsidRPr="004865EF">
        <w:rPr>
          <w:rFonts w:ascii="Times New Roman" w:eastAsia="宋体" w:hAnsi="Times New Roman" w:cs="Times New Roman" w:hint="eastAsia"/>
          <w:sz w:val="24"/>
          <w:szCs w:val="22"/>
        </w:rPr>
        <w:t>发行人已在募集说明书</w:t>
      </w:r>
      <w:r w:rsidR="00720C0D" w:rsidRPr="004865EF">
        <w:rPr>
          <w:rFonts w:ascii="Times New Roman" w:eastAsia="宋体" w:hAnsi="Times New Roman" w:cs="Times New Roman" w:hint="eastAsia"/>
          <w:sz w:val="24"/>
          <w:szCs w:val="22"/>
        </w:rPr>
        <w:t>“</w:t>
      </w:r>
      <w:r w:rsidR="009F24F2" w:rsidRPr="004865EF">
        <w:rPr>
          <w:rFonts w:ascii="Times New Roman" w:eastAsia="宋体" w:hAnsi="Times New Roman" w:cs="Times New Roman" w:hint="eastAsia"/>
          <w:sz w:val="24"/>
          <w:szCs w:val="22"/>
        </w:rPr>
        <w:t>第三节</w:t>
      </w:r>
      <w:r w:rsidR="009F24F2" w:rsidRPr="004865EF">
        <w:rPr>
          <w:rFonts w:ascii="Times New Roman" w:eastAsia="宋体" w:hAnsi="Times New Roman" w:cs="Times New Roman"/>
          <w:sz w:val="24"/>
          <w:szCs w:val="22"/>
        </w:rPr>
        <w:t xml:space="preserve"> </w:t>
      </w:r>
      <w:r w:rsidR="009F24F2" w:rsidRPr="004865EF">
        <w:rPr>
          <w:rFonts w:ascii="Times New Roman" w:eastAsia="宋体" w:hAnsi="Times New Roman" w:cs="Times New Roman"/>
          <w:sz w:val="24"/>
          <w:szCs w:val="22"/>
        </w:rPr>
        <w:t>董事会关于本次募集资金使用的可行性分析</w:t>
      </w:r>
      <w:r w:rsidR="00720C0D" w:rsidRPr="004865EF">
        <w:rPr>
          <w:rFonts w:ascii="Times New Roman" w:eastAsia="宋体" w:hAnsi="Times New Roman" w:cs="Times New Roman" w:hint="eastAsia"/>
          <w:sz w:val="24"/>
          <w:szCs w:val="22"/>
        </w:rPr>
        <w:t>”</w:t>
      </w:r>
      <w:r w:rsidR="00DD27AF" w:rsidRPr="004865EF">
        <w:rPr>
          <w:rFonts w:ascii="Times New Roman" w:eastAsia="宋体" w:hAnsi="Times New Roman" w:cs="Times New Roman"/>
          <w:sz w:val="24"/>
          <w:szCs w:val="22"/>
        </w:rPr>
        <w:t>之</w:t>
      </w:r>
      <w:r w:rsidR="00720C0D" w:rsidRPr="004865EF">
        <w:rPr>
          <w:rFonts w:ascii="Times New Roman" w:eastAsia="宋体" w:hAnsi="Times New Roman" w:cs="Times New Roman" w:hint="eastAsia"/>
          <w:sz w:val="24"/>
          <w:szCs w:val="22"/>
        </w:rPr>
        <w:t>“</w:t>
      </w:r>
      <w:r w:rsidR="009F24F2" w:rsidRPr="004865EF">
        <w:rPr>
          <w:rFonts w:ascii="Times New Roman" w:eastAsia="宋体" w:hAnsi="Times New Roman" w:cs="Times New Roman" w:hint="eastAsia"/>
          <w:sz w:val="24"/>
          <w:szCs w:val="22"/>
        </w:rPr>
        <w:t>二、本次募集资金投资项目的可行性分析</w:t>
      </w:r>
      <w:r w:rsidR="00720C0D" w:rsidRPr="004865EF">
        <w:rPr>
          <w:rFonts w:ascii="Times New Roman" w:eastAsia="宋体" w:hAnsi="Times New Roman" w:cs="Times New Roman" w:hint="eastAsia"/>
          <w:sz w:val="24"/>
          <w:szCs w:val="22"/>
        </w:rPr>
        <w:t>”</w:t>
      </w:r>
      <w:r w:rsidR="00DD27AF" w:rsidRPr="004865EF">
        <w:rPr>
          <w:rFonts w:ascii="Times New Roman" w:eastAsia="宋体" w:hAnsi="Times New Roman" w:cs="Times New Roman"/>
          <w:sz w:val="24"/>
          <w:szCs w:val="22"/>
        </w:rPr>
        <w:t>之</w:t>
      </w:r>
      <w:r w:rsidR="00720C0D" w:rsidRPr="004865EF">
        <w:rPr>
          <w:rFonts w:ascii="Times New Roman" w:eastAsia="宋体" w:hAnsi="Times New Roman" w:cs="Times New Roman" w:hint="eastAsia"/>
          <w:sz w:val="24"/>
          <w:szCs w:val="22"/>
        </w:rPr>
        <w:t>“</w:t>
      </w:r>
      <w:r w:rsidR="009F24F2" w:rsidRPr="004865EF">
        <w:rPr>
          <w:rFonts w:ascii="Times New Roman" w:eastAsia="宋体" w:hAnsi="Times New Roman" w:cs="Times New Roman" w:hint="eastAsia"/>
          <w:sz w:val="24"/>
          <w:szCs w:val="22"/>
        </w:rPr>
        <w:t>（一）云计算数据中心</w:t>
      </w:r>
      <w:r w:rsidR="00720C0D" w:rsidRPr="004865EF">
        <w:rPr>
          <w:rFonts w:ascii="Times New Roman" w:eastAsia="宋体" w:hAnsi="Times New Roman" w:cs="Times New Roman" w:hint="eastAsia"/>
          <w:sz w:val="24"/>
          <w:szCs w:val="22"/>
        </w:rPr>
        <w:t>”</w:t>
      </w:r>
      <w:r w:rsidR="009F24F2" w:rsidRPr="004865EF">
        <w:rPr>
          <w:rFonts w:ascii="Times New Roman" w:eastAsia="宋体" w:hAnsi="Times New Roman" w:cs="Times New Roman" w:hint="eastAsia"/>
          <w:sz w:val="24"/>
          <w:szCs w:val="22"/>
        </w:rPr>
        <w:t>之</w:t>
      </w:r>
      <w:r w:rsidR="00720C0D" w:rsidRPr="004865EF">
        <w:rPr>
          <w:rFonts w:ascii="Times New Roman" w:eastAsia="宋体" w:hAnsi="Times New Roman" w:cs="Times New Roman" w:hint="eastAsia"/>
          <w:sz w:val="24"/>
          <w:szCs w:val="22"/>
        </w:rPr>
        <w:t>“</w:t>
      </w:r>
      <w:r w:rsidR="009F24F2" w:rsidRPr="004865EF">
        <w:rPr>
          <w:rFonts w:ascii="Times New Roman" w:eastAsia="宋体" w:hAnsi="Times New Roman" w:cs="Times New Roman"/>
          <w:sz w:val="24"/>
          <w:szCs w:val="22"/>
        </w:rPr>
        <w:t>1</w:t>
      </w:r>
      <w:r w:rsidR="009F24F2" w:rsidRPr="004865EF">
        <w:rPr>
          <w:rFonts w:ascii="Times New Roman" w:eastAsia="宋体" w:hAnsi="Times New Roman" w:cs="Times New Roman"/>
          <w:sz w:val="24"/>
          <w:szCs w:val="22"/>
        </w:rPr>
        <w:t>、项目基本情况</w:t>
      </w:r>
      <w:r w:rsidR="00720C0D" w:rsidRPr="004865EF">
        <w:rPr>
          <w:rFonts w:ascii="Times New Roman" w:eastAsia="宋体" w:hAnsi="Times New Roman" w:cs="Times New Roman" w:hint="eastAsia"/>
          <w:sz w:val="24"/>
          <w:szCs w:val="22"/>
        </w:rPr>
        <w:t>”</w:t>
      </w:r>
      <w:r w:rsidR="00DD27AF" w:rsidRPr="004865EF">
        <w:rPr>
          <w:rFonts w:ascii="Times New Roman" w:eastAsia="宋体" w:hAnsi="Times New Roman" w:cs="Times New Roman"/>
          <w:sz w:val="24"/>
          <w:szCs w:val="22"/>
        </w:rPr>
        <w:t>中补充披露</w:t>
      </w:r>
      <w:proofErr w:type="gramStart"/>
      <w:r w:rsidR="00DD27AF" w:rsidRPr="004865EF">
        <w:rPr>
          <w:rFonts w:ascii="Times New Roman" w:eastAsia="宋体" w:hAnsi="Times New Roman" w:cs="Times New Roman" w:hint="eastAsia"/>
          <w:sz w:val="24"/>
          <w:szCs w:val="22"/>
        </w:rPr>
        <w:t>募投项目</w:t>
      </w:r>
      <w:proofErr w:type="gramEnd"/>
      <w:r w:rsidR="009F24F2" w:rsidRPr="004865EF">
        <w:rPr>
          <w:rFonts w:ascii="Times New Roman" w:eastAsia="宋体" w:hAnsi="Times New Roman" w:cs="Times New Roman" w:hint="eastAsia"/>
          <w:sz w:val="24"/>
          <w:szCs w:val="22"/>
        </w:rPr>
        <w:t>截至目前</w:t>
      </w:r>
      <w:r w:rsidR="00DD27AF" w:rsidRPr="004865EF">
        <w:rPr>
          <w:rFonts w:ascii="Times New Roman" w:eastAsia="宋体" w:hAnsi="Times New Roman" w:cs="Times New Roman" w:hint="eastAsia"/>
          <w:sz w:val="24"/>
          <w:szCs w:val="22"/>
        </w:rPr>
        <w:t>的建设进度、已投入资金及用途、已形成资产的具体内容</w:t>
      </w:r>
      <w:r w:rsidR="00442D34" w:rsidRPr="004865EF">
        <w:rPr>
          <w:rFonts w:ascii="Times New Roman" w:eastAsia="宋体" w:hAnsi="Times New Roman" w:cs="Times New Roman" w:hint="eastAsia"/>
          <w:sz w:val="24"/>
          <w:szCs w:val="22"/>
        </w:rPr>
        <w:t>、募集资金使用和项目建设的进度安排</w:t>
      </w:r>
      <w:r w:rsidR="00442D34" w:rsidRPr="004865EF">
        <w:rPr>
          <w:rFonts w:ascii="Times New Roman" w:eastAsia="宋体" w:hAnsi="Times New Roman" w:cs="Times New Roman"/>
          <w:sz w:val="24"/>
          <w:szCs w:val="22"/>
        </w:rPr>
        <w:t>。</w:t>
      </w:r>
    </w:p>
    <w:p w14:paraId="0BB63806" w14:textId="07BE80F4" w:rsidR="009157C2" w:rsidRPr="004865EF" w:rsidRDefault="008065F6" w:rsidP="0049462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2</w:t>
      </w:r>
      <w:r w:rsidRPr="004865EF">
        <w:rPr>
          <w:rFonts w:ascii="Times New Roman" w:eastAsia="宋体" w:hAnsi="Times New Roman" w:cs="Times New Roman" w:hint="eastAsia"/>
          <w:sz w:val="24"/>
          <w:szCs w:val="22"/>
        </w:rPr>
        <w:t>、</w:t>
      </w:r>
      <w:r w:rsidR="009157C2" w:rsidRPr="004865EF">
        <w:rPr>
          <w:rFonts w:ascii="Times New Roman" w:eastAsia="宋体" w:hAnsi="Times New Roman" w:cs="Times New Roman" w:hint="eastAsia"/>
          <w:sz w:val="24"/>
          <w:szCs w:val="22"/>
        </w:rPr>
        <w:t>发行人已在募集说明书</w:t>
      </w:r>
      <w:r w:rsidR="00720C0D" w:rsidRPr="004865EF">
        <w:rPr>
          <w:rFonts w:ascii="Times New Roman" w:eastAsia="宋体" w:hAnsi="Times New Roman" w:cs="Times New Roman" w:hint="eastAsia"/>
          <w:sz w:val="24"/>
          <w:szCs w:val="22"/>
        </w:rPr>
        <w:t>“</w:t>
      </w:r>
      <w:r w:rsidR="009157C2" w:rsidRPr="004865EF">
        <w:rPr>
          <w:rFonts w:ascii="Times New Roman" w:eastAsia="宋体" w:hAnsi="Times New Roman" w:cs="Times New Roman" w:hint="eastAsia"/>
          <w:sz w:val="24"/>
          <w:szCs w:val="22"/>
        </w:rPr>
        <w:t>第三节</w:t>
      </w:r>
      <w:r w:rsidR="009157C2" w:rsidRPr="004865EF">
        <w:rPr>
          <w:rFonts w:ascii="Times New Roman" w:eastAsia="宋体" w:hAnsi="Times New Roman" w:cs="Times New Roman"/>
          <w:sz w:val="24"/>
          <w:szCs w:val="22"/>
        </w:rPr>
        <w:t xml:space="preserve"> </w:t>
      </w:r>
      <w:r w:rsidR="009157C2" w:rsidRPr="004865EF">
        <w:rPr>
          <w:rFonts w:ascii="Times New Roman" w:eastAsia="宋体" w:hAnsi="Times New Roman" w:cs="Times New Roman"/>
          <w:sz w:val="24"/>
          <w:szCs w:val="22"/>
        </w:rPr>
        <w:t>董事会关于本次募集资金使用的可行性分析</w:t>
      </w:r>
      <w:r w:rsidR="00720C0D" w:rsidRPr="004865EF">
        <w:rPr>
          <w:rFonts w:ascii="Times New Roman" w:eastAsia="宋体" w:hAnsi="Times New Roman" w:cs="Times New Roman" w:hint="eastAsia"/>
          <w:sz w:val="24"/>
          <w:szCs w:val="22"/>
        </w:rPr>
        <w:t>”</w:t>
      </w:r>
      <w:r w:rsidR="009157C2" w:rsidRPr="004865EF">
        <w:rPr>
          <w:rFonts w:ascii="Times New Roman" w:eastAsia="宋体" w:hAnsi="Times New Roman" w:cs="Times New Roman"/>
          <w:sz w:val="24"/>
          <w:szCs w:val="22"/>
        </w:rPr>
        <w:t>之</w:t>
      </w:r>
      <w:r w:rsidR="00720C0D" w:rsidRPr="004865EF">
        <w:rPr>
          <w:rFonts w:ascii="Times New Roman" w:eastAsia="宋体" w:hAnsi="Times New Roman" w:cs="Times New Roman" w:hint="eastAsia"/>
          <w:sz w:val="24"/>
          <w:szCs w:val="22"/>
        </w:rPr>
        <w:t>“</w:t>
      </w:r>
      <w:r w:rsidR="009157C2" w:rsidRPr="004865EF">
        <w:rPr>
          <w:rFonts w:ascii="Times New Roman" w:eastAsia="宋体" w:hAnsi="Times New Roman" w:cs="Times New Roman" w:hint="eastAsia"/>
          <w:sz w:val="24"/>
          <w:szCs w:val="22"/>
        </w:rPr>
        <w:t>二、本次募集资金投资项目的可行性分析</w:t>
      </w:r>
      <w:r w:rsidR="00720C0D" w:rsidRPr="004865EF">
        <w:rPr>
          <w:rFonts w:ascii="Times New Roman" w:eastAsia="宋体" w:hAnsi="Times New Roman" w:cs="Times New Roman" w:hint="eastAsia"/>
          <w:sz w:val="24"/>
          <w:szCs w:val="22"/>
        </w:rPr>
        <w:t>”</w:t>
      </w:r>
      <w:r w:rsidR="009157C2" w:rsidRPr="004865EF">
        <w:rPr>
          <w:rFonts w:ascii="Times New Roman" w:eastAsia="宋体" w:hAnsi="Times New Roman" w:cs="Times New Roman"/>
          <w:sz w:val="24"/>
          <w:szCs w:val="22"/>
        </w:rPr>
        <w:t>之</w:t>
      </w:r>
      <w:r w:rsidR="00720C0D" w:rsidRPr="004865EF">
        <w:rPr>
          <w:rFonts w:ascii="Times New Roman" w:eastAsia="宋体" w:hAnsi="Times New Roman" w:cs="Times New Roman" w:hint="eastAsia"/>
          <w:sz w:val="24"/>
          <w:szCs w:val="22"/>
        </w:rPr>
        <w:t>“</w:t>
      </w:r>
      <w:r w:rsidR="009157C2" w:rsidRPr="004865EF">
        <w:rPr>
          <w:rFonts w:ascii="Times New Roman" w:eastAsia="宋体" w:hAnsi="Times New Roman" w:cs="Times New Roman" w:hint="eastAsia"/>
          <w:sz w:val="24"/>
          <w:szCs w:val="22"/>
        </w:rPr>
        <w:t>（一）云计算数据中心</w:t>
      </w:r>
      <w:r w:rsidR="00720C0D" w:rsidRPr="004865EF">
        <w:rPr>
          <w:rFonts w:ascii="Times New Roman" w:eastAsia="宋体" w:hAnsi="Times New Roman" w:cs="Times New Roman" w:hint="eastAsia"/>
          <w:sz w:val="24"/>
          <w:szCs w:val="22"/>
        </w:rPr>
        <w:t>”</w:t>
      </w:r>
      <w:r w:rsidR="009157C2" w:rsidRPr="004865EF">
        <w:rPr>
          <w:rFonts w:ascii="Times New Roman" w:eastAsia="宋体" w:hAnsi="Times New Roman" w:cs="Times New Roman" w:hint="eastAsia"/>
          <w:sz w:val="24"/>
          <w:szCs w:val="22"/>
        </w:rPr>
        <w:t>之</w:t>
      </w:r>
      <w:r w:rsidR="00720C0D" w:rsidRPr="004865EF">
        <w:rPr>
          <w:rFonts w:ascii="Times New Roman" w:eastAsia="宋体" w:hAnsi="Times New Roman" w:cs="Times New Roman" w:hint="eastAsia"/>
          <w:sz w:val="24"/>
          <w:szCs w:val="22"/>
        </w:rPr>
        <w:t>“</w:t>
      </w:r>
      <w:r w:rsidR="009157C2" w:rsidRPr="004865EF">
        <w:rPr>
          <w:rFonts w:ascii="Times New Roman" w:eastAsia="宋体" w:hAnsi="Times New Roman"/>
          <w:bCs/>
          <w:sz w:val="24"/>
        </w:rPr>
        <w:t>6</w:t>
      </w:r>
      <w:r w:rsidR="009157C2" w:rsidRPr="004865EF">
        <w:rPr>
          <w:rFonts w:ascii="Times New Roman" w:eastAsia="宋体" w:hAnsi="Times New Roman" w:hint="eastAsia"/>
          <w:bCs/>
          <w:sz w:val="24"/>
        </w:rPr>
        <w:t>、项目经济效益</w:t>
      </w:r>
      <w:r w:rsidR="00720C0D" w:rsidRPr="004865EF">
        <w:rPr>
          <w:rFonts w:ascii="Times New Roman" w:eastAsia="宋体" w:hAnsi="Times New Roman" w:cs="Times New Roman" w:hint="eastAsia"/>
          <w:sz w:val="24"/>
          <w:szCs w:val="22"/>
        </w:rPr>
        <w:t>”</w:t>
      </w:r>
      <w:r w:rsidR="009157C2" w:rsidRPr="004865EF">
        <w:rPr>
          <w:rFonts w:ascii="Times New Roman" w:eastAsia="宋体" w:hAnsi="Times New Roman" w:cs="Times New Roman"/>
          <w:sz w:val="24"/>
          <w:szCs w:val="22"/>
        </w:rPr>
        <w:t>中补充披露</w:t>
      </w:r>
      <w:r w:rsidR="009157C2" w:rsidRPr="004865EF">
        <w:rPr>
          <w:rFonts w:ascii="Times New Roman" w:eastAsia="宋体" w:hAnsi="Times New Roman" w:cs="Times New Roman" w:hint="eastAsia"/>
          <w:sz w:val="24"/>
          <w:szCs w:val="22"/>
        </w:rPr>
        <w:t>本次</w:t>
      </w:r>
      <w:proofErr w:type="gramStart"/>
      <w:r w:rsidR="009157C2" w:rsidRPr="004865EF">
        <w:rPr>
          <w:rFonts w:ascii="Times New Roman" w:eastAsia="宋体" w:hAnsi="Times New Roman" w:cs="Times New Roman" w:hint="eastAsia"/>
          <w:sz w:val="24"/>
          <w:szCs w:val="22"/>
        </w:rPr>
        <w:t>募投项目</w:t>
      </w:r>
      <w:proofErr w:type="gramEnd"/>
      <w:r w:rsidR="009157C2" w:rsidRPr="004865EF">
        <w:rPr>
          <w:rFonts w:ascii="Times New Roman" w:eastAsia="宋体" w:hAnsi="Times New Roman" w:cs="Times New Roman" w:hint="eastAsia"/>
          <w:sz w:val="24"/>
          <w:szCs w:val="22"/>
        </w:rPr>
        <w:t>效益测算的过程及依据</w:t>
      </w:r>
      <w:r w:rsidR="009157C2" w:rsidRPr="004865EF">
        <w:rPr>
          <w:rFonts w:ascii="Times New Roman" w:eastAsia="宋体" w:hAnsi="Times New Roman" w:cs="Times New Roman"/>
          <w:sz w:val="24"/>
          <w:szCs w:val="22"/>
        </w:rPr>
        <w:t>。</w:t>
      </w:r>
    </w:p>
    <w:p w14:paraId="07D5D8D9" w14:textId="4C0BFAB0" w:rsidR="009157C2" w:rsidRPr="004865EF" w:rsidRDefault="00E07785" w:rsidP="00675378">
      <w:pPr>
        <w:spacing w:beforeLines="50" w:before="120" w:line="360" w:lineRule="auto"/>
        <w:ind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3</w:t>
      </w:r>
      <w:r w:rsidRPr="004865EF">
        <w:rPr>
          <w:rFonts w:ascii="Times New Roman" w:eastAsia="宋体" w:hAnsi="Times New Roman" w:cs="Times New Roman" w:hint="eastAsia"/>
          <w:sz w:val="24"/>
          <w:szCs w:val="22"/>
        </w:rPr>
        <w:t>、</w:t>
      </w:r>
      <w:r w:rsidR="00BE0111" w:rsidRPr="004865EF">
        <w:rPr>
          <w:rFonts w:ascii="Times New Roman" w:eastAsia="宋体" w:hAnsi="Times New Roman" w:cs="Times New Roman" w:hint="eastAsia"/>
          <w:kern w:val="0"/>
          <w:sz w:val="24"/>
        </w:rPr>
        <w:t>发行人已在募集说明书之“第六节</w:t>
      </w:r>
      <w:r w:rsidR="00BE0111" w:rsidRPr="004865EF">
        <w:rPr>
          <w:rFonts w:ascii="Times New Roman" w:eastAsia="宋体" w:hAnsi="Times New Roman" w:cs="Times New Roman"/>
          <w:kern w:val="0"/>
          <w:sz w:val="24"/>
        </w:rPr>
        <w:t xml:space="preserve"> </w:t>
      </w:r>
      <w:r w:rsidR="00BE0111" w:rsidRPr="004865EF">
        <w:rPr>
          <w:rFonts w:ascii="Times New Roman" w:eastAsia="宋体" w:hAnsi="Times New Roman" w:cs="Times New Roman" w:hint="eastAsia"/>
          <w:kern w:val="0"/>
          <w:sz w:val="24"/>
        </w:rPr>
        <w:t>与本次发行相关的风险因素”之“三、业务经营与管理风险”之“（二）募集资金投资项目的风险”中补充披露</w:t>
      </w:r>
      <w:proofErr w:type="gramStart"/>
      <w:r w:rsidR="00BE0111" w:rsidRPr="004865EF">
        <w:rPr>
          <w:rFonts w:ascii="Times New Roman" w:eastAsia="宋体" w:hAnsi="Times New Roman" w:cs="Times New Roman" w:hint="eastAsia"/>
          <w:kern w:val="0"/>
          <w:sz w:val="24"/>
        </w:rPr>
        <w:t>募投项目</w:t>
      </w:r>
      <w:proofErr w:type="gramEnd"/>
      <w:r w:rsidR="00BE0111" w:rsidRPr="004865EF">
        <w:rPr>
          <w:rFonts w:ascii="Times New Roman" w:eastAsia="宋体" w:hAnsi="Times New Roman" w:cs="Times New Roman" w:hint="eastAsia"/>
          <w:kern w:val="0"/>
          <w:sz w:val="24"/>
        </w:rPr>
        <w:t>商业拓展不及预期的相关风险提示。</w:t>
      </w:r>
    </w:p>
    <w:p w14:paraId="4B8F5281" w14:textId="77777777" w:rsidR="00BE0111" w:rsidRPr="004865EF" w:rsidRDefault="00BE0111" w:rsidP="00675378">
      <w:pPr>
        <w:spacing w:beforeLines="50" w:before="120" w:line="360" w:lineRule="auto"/>
        <w:ind w:firstLine="480"/>
        <w:rPr>
          <w:rFonts w:ascii="Times New Roman" w:eastAsia="宋体" w:hAnsi="Times New Roman" w:cs="Times New Roman"/>
          <w:sz w:val="24"/>
          <w:szCs w:val="22"/>
        </w:rPr>
      </w:pPr>
    </w:p>
    <w:p w14:paraId="2DC761DE" w14:textId="69255362" w:rsidR="00B4309A" w:rsidRPr="004865EF" w:rsidRDefault="00B4309A" w:rsidP="00181621">
      <w:pPr>
        <w:pStyle w:val="1"/>
        <w:spacing w:before="120"/>
      </w:pPr>
      <w:bookmarkStart w:id="4" w:name="_Toc46013711"/>
      <w:bookmarkStart w:id="5" w:name="_Toc47020536"/>
      <w:r w:rsidRPr="004865EF">
        <w:rPr>
          <w:rFonts w:hint="eastAsia"/>
        </w:rPr>
        <w:t>问题</w:t>
      </w:r>
      <w:r w:rsidRPr="004865EF">
        <w:t>2</w:t>
      </w:r>
      <w:r w:rsidR="0063025B" w:rsidRPr="004865EF">
        <w:t>.</w:t>
      </w:r>
      <w:r w:rsidR="0063025B" w:rsidRPr="004865EF">
        <w:rPr>
          <w:rFonts w:hint="eastAsia"/>
        </w:rPr>
        <w:t>关于使用募集资金</w:t>
      </w:r>
      <w:proofErr w:type="gramStart"/>
      <w:r w:rsidR="0063025B" w:rsidRPr="004865EF">
        <w:rPr>
          <w:rFonts w:hint="eastAsia"/>
        </w:rPr>
        <w:t>向</w:t>
      </w:r>
      <w:r w:rsidR="0063025B" w:rsidRPr="004865EF">
        <w:t>智达云创增资</w:t>
      </w:r>
      <w:bookmarkEnd w:id="4"/>
      <w:bookmarkEnd w:id="5"/>
      <w:proofErr w:type="gramEnd"/>
    </w:p>
    <w:p w14:paraId="0D07B022" w14:textId="57FCD3F5" w:rsidR="00785053" w:rsidRPr="004865EF" w:rsidRDefault="00785053"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hint="eastAsia"/>
          <w:b/>
          <w:sz w:val="24"/>
        </w:rPr>
        <w:t>公司将使用募集资金</w:t>
      </w:r>
      <w:r w:rsidRPr="004865EF">
        <w:rPr>
          <w:rFonts w:ascii="黑体" w:eastAsia="黑体" w:hAnsi="黑体"/>
          <w:b/>
          <w:sz w:val="24"/>
        </w:rPr>
        <w:t>152,000.00</w:t>
      </w:r>
      <w:r w:rsidRPr="004865EF">
        <w:rPr>
          <w:rFonts w:ascii="黑体" w:eastAsia="黑体" w:hAnsi="黑体" w:hint="eastAsia"/>
          <w:b/>
          <w:sz w:val="24"/>
        </w:rPr>
        <w:t>万元用于投资建设燕郊绿色</w:t>
      </w:r>
      <w:proofErr w:type="gramStart"/>
      <w:r w:rsidRPr="004865EF">
        <w:rPr>
          <w:rFonts w:ascii="黑体" w:eastAsia="黑体" w:hAnsi="黑体" w:hint="eastAsia"/>
          <w:b/>
          <w:sz w:val="24"/>
        </w:rPr>
        <w:t>云计算</w:t>
      </w:r>
      <w:proofErr w:type="gramEnd"/>
      <w:r w:rsidRPr="004865EF">
        <w:rPr>
          <w:rFonts w:ascii="黑体" w:eastAsia="黑体" w:hAnsi="黑体" w:hint="eastAsia"/>
          <w:b/>
          <w:sz w:val="24"/>
        </w:rPr>
        <w:t>基地三四期项目，其中</w:t>
      </w:r>
      <w:r w:rsidRPr="004865EF">
        <w:rPr>
          <w:rFonts w:ascii="黑体" w:eastAsia="黑体" w:hAnsi="黑体"/>
          <w:b/>
          <w:sz w:val="24"/>
        </w:rPr>
        <w:t>112,701.00</w:t>
      </w:r>
      <w:r w:rsidRPr="004865EF">
        <w:rPr>
          <w:rFonts w:ascii="黑体" w:eastAsia="黑体" w:hAnsi="黑体" w:hint="eastAsia"/>
          <w:b/>
          <w:sz w:val="24"/>
        </w:rPr>
        <w:t>万元用于</w:t>
      </w:r>
      <w:proofErr w:type="gramStart"/>
      <w:r w:rsidRPr="004865EF">
        <w:rPr>
          <w:rFonts w:ascii="黑体" w:eastAsia="黑体" w:hAnsi="黑体" w:hint="eastAsia"/>
          <w:b/>
          <w:sz w:val="24"/>
        </w:rPr>
        <w:t>向智达云创增资</w:t>
      </w:r>
      <w:proofErr w:type="gramEnd"/>
      <w:r w:rsidRPr="004865EF">
        <w:rPr>
          <w:rFonts w:ascii="黑体" w:eastAsia="黑体" w:hAnsi="黑体" w:hint="eastAsia"/>
          <w:b/>
          <w:sz w:val="24"/>
        </w:rPr>
        <w:t>取得</w:t>
      </w:r>
      <w:r w:rsidRPr="004865EF">
        <w:rPr>
          <w:rFonts w:ascii="黑体" w:eastAsia="黑体" w:hAnsi="黑体"/>
          <w:b/>
          <w:sz w:val="24"/>
        </w:rPr>
        <w:t>65%</w:t>
      </w:r>
      <w:r w:rsidRPr="004865EF">
        <w:rPr>
          <w:rFonts w:ascii="黑体" w:eastAsia="黑体" w:hAnsi="黑体" w:hint="eastAsia"/>
          <w:b/>
          <w:sz w:val="24"/>
        </w:rPr>
        <w:t>股权，剩余部分公司将通过</w:t>
      </w:r>
      <w:proofErr w:type="gramStart"/>
      <w:r w:rsidRPr="004865EF">
        <w:rPr>
          <w:rFonts w:ascii="黑体" w:eastAsia="黑体" w:hAnsi="黑体" w:hint="eastAsia"/>
          <w:b/>
          <w:sz w:val="24"/>
        </w:rPr>
        <w:t>向智达云创增资</w:t>
      </w:r>
      <w:proofErr w:type="gramEnd"/>
      <w:r w:rsidRPr="004865EF">
        <w:rPr>
          <w:rFonts w:ascii="黑体" w:eastAsia="黑体" w:hAnsi="黑体" w:hint="eastAsia"/>
          <w:b/>
          <w:sz w:val="24"/>
        </w:rPr>
        <w:t>或提供借款的方式来实施</w:t>
      </w:r>
      <w:proofErr w:type="gramStart"/>
      <w:r w:rsidRPr="004865EF">
        <w:rPr>
          <w:rFonts w:ascii="黑体" w:eastAsia="黑体" w:hAnsi="黑体" w:hint="eastAsia"/>
          <w:b/>
          <w:sz w:val="24"/>
        </w:rPr>
        <w:t>本募投项目</w:t>
      </w:r>
      <w:proofErr w:type="gramEnd"/>
      <w:r w:rsidRPr="004865EF">
        <w:rPr>
          <w:rFonts w:ascii="黑体" w:eastAsia="黑体" w:hAnsi="黑体" w:hint="eastAsia"/>
          <w:b/>
          <w:sz w:val="24"/>
        </w:rPr>
        <w:t>。本次增资以资产基础法评估结果为定价基础，评估结果显示固定资产和在建工程增值幅度</w:t>
      </w:r>
      <w:r w:rsidRPr="004865EF">
        <w:rPr>
          <w:rFonts w:ascii="黑体" w:eastAsia="黑体" w:hAnsi="黑体" w:hint="eastAsia"/>
          <w:b/>
          <w:sz w:val="24"/>
        </w:rPr>
        <w:lastRenderedPageBreak/>
        <w:t>较大。</w:t>
      </w:r>
    </w:p>
    <w:p w14:paraId="7AFCB8C1" w14:textId="77777777" w:rsidR="00785053" w:rsidRPr="004865EF" w:rsidRDefault="00785053"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b/>
          <w:sz w:val="24"/>
        </w:rPr>
        <w:t>请发行人补充说明：（1）以增资方式收购该公司的商业考虑，未采取新设方式实施相关</w:t>
      </w:r>
      <w:proofErr w:type="gramStart"/>
      <w:r w:rsidRPr="004865EF">
        <w:rPr>
          <w:rFonts w:ascii="黑体" w:eastAsia="黑体" w:hAnsi="黑体"/>
          <w:b/>
          <w:sz w:val="24"/>
        </w:rPr>
        <w:t>募投项目</w:t>
      </w:r>
      <w:proofErr w:type="gramEnd"/>
      <w:r w:rsidRPr="004865EF">
        <w:rPr>
          <w:rFonts w:ascii="黑体" w:eastAsia="黑体" w:hAnsi="黑体"/>
          <w:b/>
          <w:sz w:val="24"/>
        </w:rPr>
        <w:t>的原因及合理性；（2）结合固定资产和在建工程评估的具体方法、主要参数等，说明相关资产评估增值率较高的原因及本次交易作价的公允性；（3）本次增资的具体安排及募集资金剩余部分的实施方式，其他股东对剩余</w:t>
      </w:r>
      <w:proofErr w:type="gramStart"/>
      <w:r w:rsidRPr="004865EF">
        <w:rPr>
          <w:rFonts w:ascii="黑体" w:eastAsia="黑体" w:hAnsi="黑体"/>
          <w:b/>
          <w:sz w:val="24"/>
        </w:rPr>
        <w:t>投资款同比例</w:t>
      </w:r>
      <w:proofErr w:type="gramEnd"/>
      <w:r w:rsidRPr="004865EF">
        <w:rPr>
          <w:rFonts w:ascii="黑体" w:eastAsia="黑体" w:hAnsi="黑体"/>
          <w:b/>
          <w:sz w:val="24"/>
        </w:rPr>
        <w:t>增资的价格或提供贷款的主要条款（贷款利率等），是否损害上市公司利益。</w:t>
      </w:r>
    </w:p>
    <w:p w14:paraId="4C48AAFD" w14:textId="77777777" w:rsidR="00785053" w:rsidRPr="004865EF" w:rsidRDefault="00785053"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b/>
          <w:sz w:val="24"/>
        </w:rPr>
        <w:t>请保荐人及会计师核查并发表明确意见。</w:t>
      </w:r>
    </w:p>
    <w:p w14:paraId="1AD494E3" w14:textId="77777777" w:rsidR="00BA4D09" w:rsidRPr="004865EF" w:rsidRDefault="0039563E" w:rsidP="00CB6AA5">
      <w:pPr>
        <w:adjustRightInd w:val="0"/>
        <w:snapToGrid w:val="0"/>
        <w:spacing w:beforeLines="50" w:before="120" w:line="360" w:lineRule="auto"/>
        <w:ind w:firstLine="480"/>
        <w:rPr>
          <w:rFonts w:ascii="宋体" w:eastAsia="宋体" w:hAnsi="宋体"/>
          <w:sz w:val="24"/>
        </w:rPr>
      </w:pPr>
      <w:r w:rsidRPr="004865EF">
        <w:rPr>
          <w:rFonts w:ascii="宋体" w:eastAsia="宋体" w:hAnsi="宋体" w:hint="eastAsia"/>
          <w:sz w:val="24"/>
        </w:rPr>
        <w:t>【回复】</w:t>
      </w:r>
    </w:p>
    <w:p w14:paraId="68608E4C" w14:textId="77777777" w:rsidR="00AA392E" w:rsidRPr="004865EF" w:rsidRDefault="00EA0919" w:rsidP="0066058B">
      <w:pPr>
        <w:pStyle w:val="2"/>
      </w:pPr>
      <w:r w:rsidRPr="004865EF">
        <w:rPr>
          <w:rFonts w:hint="eastAsia"/>
        </w:rPr>
        <w:t>一</w:t>
      </w:r>
      <w:r w:rsidR="006B55D4" w:rsidRPr="004865EF">
        <w:rPr>
          <w:rFonts w:hint="eastAsia"/>
        </w:rPr>
        <w:t>、</w:t>
      </w:r>
      <w:r w:rsidR="00850460" w:rsidRPr="004865EF">
        <w:rPr>
          <w:rFonts w:hint="eastAsia"/>
        </w:rPr>
        <w:t>以</w:t>
      </w:r>
      <w:r w:rsidR="00850460" w:rsidRPr="004865EF">
        <w:t>增资方式收购该公司的商业考虑，未采取新设方式实施相关</w:t>
      </w:r>
      <w:proofErr w:type="gramStart"/>
      <w:r w:rsidR="00850460" w:rsidRPr="004865EF">
        <w:t>募投项目</w:t>
      </w:r>
      <w:proofErr w:type="gramEnd"/>
      <w:r w:rsidR="00850460" w:rsidRPr="004865EF">
        <w:t>的原因及合理性</w:t>
      </w:r>
    </w:p>
    <w:p w14:paraId="5B3FDE89" w14:textId="68408A20" w:rsidR="0031582B" w:rsidRPr="004865EF" w:rsidRDefault="004050B4" w:rsidP="0038323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根据</w:t>
      </w:r>
      <w:r w:rsidRPr="004865EF">
        <w:rPr>
          <w:rFonts w:ascii="Times New Roman" w:eastAsia="宋体" w:hAnsi="Times New Roman" w:cs="Times New Roman"/>
          <w:sz w:val="24"/>
          <w:szCs w:val="22"/>
        </w:rPr>
        <w:t>公司与智达云</w:t>
      </w:r>
      <w:proofErr w:type="gramStart"/>
      <w:r w:rsidRPr="004865EF">
        <w:rPr>
          <w:rFonts w:ascii="Times New Roman" w:eastAsia="宋体" w:hAnsi="Times New Roman" w:cs="Times New Roman"/>
          <w:sz w:val="24"/>
          <w:szCs w:val="22"/>
        </w:rPr>
        <w:t>创及其</w:t>
      </w:r>
      <w:proofErr w:type="gramEnd"/>
      <w:r w:rsidRPr="004865EF">
        <w:rPr>
          <w:rFonts w:ascii="Times New Roman" w:eastAsia="宋体" w:hAnsi="Times New Roman" w:cs="Times New Roman"/>
          <w:sz w:val="24"/>
          <w:szCs w:val="22"/>
        </w:rPr>
        <w:t>现有股东王禹方和石凤红</w:t>
      </w:r>
      <w:r w:rsidRPr="004865EF">
        <w:rPr>
          <w:rFonts w:ascii="Times New Roman" w:eastAsia="宋体" w:hAnsi="Times New Roman" w:cs="Times New Roman" w:hint="eastAsia"/>
          <w:sz w:val="24"/>
          <w:szCs w:val="22"/>
        </w:rPr>
        <w:t>于</w:t>
      </w:r>
      <w:r w:rsidRPr="004865EF">
        <w:rPr>
          <w:rFonts w:ascii="Times New Roman" w:eastAsia="宋体" w:hAnsi="Times New Roman" w:cs="Times New Roman"/>
          <w:sz w:val="24"/>
          <w:szCs w:val="22"/>
        </w:rPr>
        <w:t>2020</w:t>
      </w:r>
      <w:r w:rsidRPr="004865EF">
        <w:rPr>
          <w:rFonts w:ascii="Times New Roman" w:eastAsia="宋体" w:hAnsi="Times New Roman" w:cs="Times New Roman"/>
          <w:sz w:val="24"/>
          <w:szCs w:val="22"/>
        </w:rPr>
        <w:t>年</w:t>
      </w:r>
      <w:r w:rsidRPr="004865EF">
        <w:rPr>
          <w:rFonts w:ascii="Times New Roman" w:eastAsia="宋体" w:hAnsi="Times New Roman" w:cs="Times New Roman"/>
          <w:sz w:val="24"/>
          <w:szCs w:val="22"/>
        </w:rPr>
        <w:t>4</w:t>
      </w:r>
      <w:r w:rsidRPr="004865EF">
        <w:rPr>
          <w:rFonts w:ascii="Times New Roman" w:eastAsia="宋体" w:hAnsi="Times New Roman" w:cs="Times New Roman"/>
          <w:sz w:val="24"/>
          <w:szCs w:val="22"/>
        </w:rPr>
        <w:t>月</w:t>
      </w:r>
      <w:r w:rsidRPr="004865EF">
        <w:rPr>
          <w:rFonts w:ascii="Times New Roman" w:eastAsia="宋体" w:hAnsi="Times New Roman" w:cs="Times New Roman"/>
          <w:sz w:val="24"/>
          <w:szCs w:val="22"/>
        </w:rPr>
        <w:t>16</w:t>
      </w:r>
      <w:r w:rsidRPr="004865EF">
        <w:rPr>
          <w:rFonts w:ascii="Times New Roman" w:eastAsia="宋体" w:hAnsi="Times New Roman" w:cs="Times New Roman"/>
          <w:sz w:val="24"/>
          <w:szCs w:val="22"/>
        </w:rPr>
        <w:t>日共同签署</w:t>
      </w:r>
      <w:r w:rsidRPr="004865EF">
        <w:rPr>
          <w:rFonts w:ascii="Times New Roman" w:eastAsia="宋体" w:hAnsi="Times New Roman" w:cs="Times New Roman" w:hint="eastAsia"/>
          <w:sz w:val="24"/>
          <w:szCs w:val="22"/>
        </w:rPr>
        <w:t>的</w:t>
      </w:r>
      <w:r w:rsidRPr="004865EF">
        <w:rPr>
          <w:rFonts w:ascii="Times New Roman" w:eastAsia="宋体" w:hAnsi="Times New Roman" w:cs="Times New Roman"/>
          <w:sz w:val="24"/>
          <w:szCs w:val="22"/>
        </w:rPr>
        <w:t>《智达云创（三河）科技有限公司增资协议》，</w:t>
      </w:r>
      <w:r w:rsidR="007C6AE7" w:rsidRPr="004865EF">
        <w:rPr>
          <w:rFonts w:ascii="Times New Roman" w:eastAsia="宋体" w:hAnsi="Times New Roman" w:cs="Times New Roman" w:hint="eastAsia"/>
          <w:sz w:val="24"/>
          <w:szCs w:val="22"/>
        </w:rPr>
        <w:t>约定</w:t>
      </w:r>
      <w:r w:rsidRPr="004865EF">
        <w:rPr>
          <w:rFonts w:ascii="Times New Roman" w:eastAsia="宋体" w:hAnsi="Times New Roman" w:cs="Times New Roman"/>
          <w:sz w:val="24"/>
          <w:szCs w:val="22"/>
        </w:rPr>
        <w:t>公司</w:t>
      </w:r>
      <w:r w:rsidR="00995FCA" w:rsidRPr="004865EF">
        <w:rPr>
          <w:rFonts w:ascii="Times New Roman" w:eastAsia="宋体" w:hAnsi="Times New Roman" w:cs="Times New Roman" w:hint="eastAsia"/>
          <w:sz w:val="24"/>
          <w:szCs w:val="22"/>
        </w:rPr>
        <w:t>使用</w:t>
      </w:r>
      <w:r w:rsidR="0043304A" w:rsidRPr="004865EF">
        <w:rPr>
          <w:rFonts w:ascii="Times New Roman" w:eastAsia="宋体" w:hAnsi="Times New Roman" w:cs="Times New Roman" w:hint="eastAsia"/>
          <w:sz w:val="24"/>
          <w:szCs w:val="22"/>
        </w:rPr>
        <w:t>本次</w:t>
      </w:r>
      <w:r w:rsidR="008A6536" w:rsidRPr="004865EF">
        <w:rPr>
          <w:rFonts w:ascii="Times New Roman" w:eastAsia="宋体" w:hAnsi="Times New Roman" w:cs="Times New Roman" w:hint="eastAsia"/>
          <w:sz w:val="24"/>
          <w:szCs w:val="22"/>
        </w:rPr>
        <w:t>非公开</w:t>
      </w:r>
      <w:r w:rsidR="0043304A" w:rsidRPr="004865EF">
        <w:rPr>
          <w:rFonts w:ascii="Times New Roman" w:eastAsia="宋体" w:hAnsi="Times New Roman" w:cs="Times New Roman" w:hint="eastAsia"/>
          <w:sz w:val="24"/>
          <w:szCs w:val="22"/>
        </w:rPr>
        <w:t>发行募集资金</w:t>
      </w:r>
      <w:r w:rsidRPr="004865EF">
        <w:rPr>
          <w:rFonts w:ascii="Times New Roman" w:eastAsia="宋体" w:hAnsi="Times New Roman" w:cs="Times New Roman"/>
          <w:sz w:val="24"/>
          <w:szCs w:val="22"/>
        </w:rPr>
        <w:t>112,701</w:t>
      </w:r>
      <w:r w:rsidRPr="004865EF">
        <w:rPr>
          <w:rFonts w:ascii="Times New Roman" w:eastAsia="宋体" w:hAnsi="Times New Roman" w:cs="Times New Roman"/>
          <w:sz w:val="24"/>
          <w:szCs w:val="22"/>
        </w:rPr>
        <w:t>万元</w:t>
      </w:r>
      <w:proofErr w:type="gramStart"/>
      <w:r w:rsidR="0043304A" w:rsidRPr="004865EF">
        <w:rPr>
          <w:rFonts w:ascii="Times New Roman" w:eastAsia="宋体" w:hAnsi="Times New Roman" w:cs="Times New Roman" w:hint="eastAsia"/>
          <w:sz w:val="24"/>
          <w:szCs w:val="22"/>
        </w:rPr>
        <w:t>向</w:t>
      </w:r>
      <w:r w:rsidR="0043304A" w:rsidRPr="004865EF">
        <w:rPr>
          <w:rFonts w:ascii="Times New Roman" w:eastAsia="宋体" w:hAnsi="Times New Roman" w:cs="Times New Roman"/>
          <w:sz w:val="24"/>
          <w:szCs w:val="22"/>
        </w:rPr>
        <w:t>智达云创增资</w:t>
      </w:r>
      <w:proofErr w:type="gramEnd"/>
      <w:r w:rsidR="00225788" w:rsidRPr="004865EF">
        <w:rPr>
          <w:rFonts w:ascii="Times New Roman" w:eastAsia="宋体" w:hAnsi="Times New Roman" w:cs="Times New Roman" w:hint="eastAsia"/>
          <w:sz w:val="24"/>
          <w:szCs w:val="22"/>
        </w:rPr>
        <w:t>取得其</w:t>
      </w:r>
      <w:r w:rsidR="00225788" w:rsidRPr="004865EF">
        <w:rPr>
          <w:rFonts w:ascii="Times New Roman" w:eastAsia="宋体" w:hAnsi="Times New Roman" w:cs="Times New Roman" w:hint="eastAsia"/>
          <w:sz w:val="24"/>
          <w:szCs w:val="22"/>
        </w:rPr>
        <w:t>6</w:t>
      </w:r>
      <w:r w:rsidR="00225788" w:rsidRPr="004865EF">
        <w:rPr>
          <w:rFonts w:ascii="Times New Roman" w:eastAsia="宋体" w:hAnsi="Times New Roman" w:cs="Times New Roman"/>
          <w:sz w:val="24"/>
          <w:szCs w:val="22"/>
        </w:rPr>
        <w:t>5%</w:t>
      </w:r>
      <w:r w:rsidR="00225788" w:rsidRPr="004865EF">
        <w:rPr>
          <w:rFonts w:ascii="Times New Roman" w:eastAsia="宋体" w:hAnsi="Times New Roman" w:cs="Times New Roman" w:hint="eastAsia"/>
          <w:sz w:val="24"/>
          <w:szCs w:val="22"/>
        </w:rPr>
        <w:t>股权</w:t>
      </w:r>
      <w:r w:rsidRPr="004865EF">
        <w:rPr>
          <w:rFonts w:ascii="Times New Roman" w:eastAsia="宋体" w:hAnsi="Times New Roman" w:cs="Times New Roman"/>
          <w:sz w:val="24"/>
          <w:szCs w:val="22"/>
        </w:rPr>
        <w:t>。</w:t>
      </w:r>
      <w:proofErr w:type="gramStart"/>
      <w:r w:rsidR="00B3418F" w:rsidRPr="004865EF">
        <w:rPr>
          <w:rFonts w:ascii="Times New Roman" w:eastAsia="宋体" w:hAnsi="Times New Roman" w:cs="Times New Roman" w:hint="eastAsia"/>
          <w:sz w:val="24"/>
          <w:szCs w:val="22"/>
        </w:rPr>
        <w:t>智达云创系</w:t>
      </w:r>
      <w:r w:rsidR="00196915" w:rsidRPr="004865EF">
        <w:rPr>
          <w:rFonts w:ascii="Times New Roman" w:eastAsia="宋体" w:hAnsi="Times New Roman" w:cs="Times New Roman" w:hint="eastAsia"/>
          <w:sz w:val="24"/>
          <w:szCs w:val="22"/>
        </w:rPr>
        <w:t>三河</w:t>
      </w:r>
      <w:proofErr w:type="gramEnd"/>
      <w:r w:rsidR="00196915" w:rsidRPr="004865EF">
        <w:rPr>
          <w:rFonts w:ascii="Times New Roman" w:eastAsia="宋体" w:hAnsi="Times New Roman" w:cs="Times New Roman" w:hint="eastAsia"/>
          <w:sz w:val="24"/>
          <w:szCs w:val="22"/>
        </w:rPr>
        <w:t>市岩峰高新技术产业园有限公司（以下简称</w:t>
      </w:r>
      <w:r w:rsidR="00720C0D" w:rsidRPr="004865EF">
        <w:rPr>
          <w:rFonts w:ascii="Times New Roman" w:eastAsia="宋体" w:hAnsi="Times New Roman" w:cs="Times New Roman" w:hint="eastAsia"/>
          <w:sz w:val="24"/>
          <w:szCs w:val="22"/>
        </w:rPr>
        <w:t>“</w:t>
      </w:r>
      <w:r w:rsidR="00196915" w:rsidRPr="004865EF">
        <w:rPr>
          <w:rFonts w:ascii="Times New Roman" w:eastAsia="宋体" w:hAnsi="Times New Roman" w:cs="Times New Roman" w:hint="eastAsia"/>
          <w:sz w:val="24"/>
          <w:szCs w:val="22"/>
        </w:rPr>
        <w:t>岩峰公司</w:t>
      </w:r>
      <w:r w:rsidR="00720C0D" w:rsidRPr="004865EF">
        <w:rPr>
          <w:rFonts w:ascii="Times New Roman" w:eastAsia="宋体" w:hAnsi="Times New Roman" w:cs="Times New Roman" w:hint="eastAsia"/>
          <w:sz w:val="24"/>
          <w:szCs w:val="22"/>
        </w:rPr>
        <w:t>”</w:t>
      </w:r>
      <w:r w:rsidR="00196915" w:rsidRPr="004865EF">
        <w:rPr>
          <w:rFonts w:ascii="Times New Roman" w:eastAsia="宋体" w:hAnsi="Times New Roman" w:cs="Times New Roman" w:hint="eastAsia"/>
          <w:sz w:val="24"/>
          <w:szCs w:val="22"/>
        </w:rPr>
        <w:t>）</w:t>
      </w:r>
      <w:r w:rsidR="00E06697" w:rsidRPr="004865EF">
        <w:rPr>
          <w:rFonts w:ascii="Times New Roman" w:eastAsia="宋体" w:hAnsi="Times New Roman" w:cs="Times New Roman" w:hint="eastAsia"/>
          <w:sz w:val="24"/>
          <w:szCs w:val="22"/>
        </w:rPr>
        <w:t>进行</w:t>
      </w:r>
      <w:r w:rsidR="00966208" w:rsidRPr="004865EF">
        <w:rPr>
          <w:rFonts w:ascii="Times New Roman" w:eastAsia="宋体" w:hAnsi="Times New Roman" w:cs="Times New Roman" w:hint="eastAsia"/>
          <w:sz w:val="24"/>
          <w:szCs w:val="22"/>
        </w:rPr>
        <w:t>存续</w:t>
      </w:r>
      <w:r w:rsidR="00E06697" w:rsidRPr="004865EF">
        <w:rPr>
          <w:rFonts w:ascii="Times New Roman" w:eastAsia="宋体" w:hAnsi="Times New Roman" w:cs="Times New Roman" w:hint="eastAsia"/>
          <w:sz w:val="24"/>
          <w:szCs w:val="22"/>
        </w:rPr>
        <w:t>分立</w:t>
      </w:r>
      <w:r w:rsidR="006F5580" w:rsidRPr="004865EF">
        <w:rPr>
          <w:rFonts w:ascii="Times New Roman" w:eastAsia="宋体" w:hAnsi="Times New Roman" w:cs="Times New Roman" w:hint="eastAsia"/>
          <w:sz w:val="24"/>
          <w:szCs w:val="22"/>
        </w:rPr>
        <w:t>而</w:t>
      </w:r>
      <w:r w:rsidR="00E06697" w:rsidRPr="004865EF">
        <w:rPr>
          <w:rFonts w:ascii="Times New Roman" w:eastAsia="宋体" w:hAnsi="Times New Roman" w:cs="Times New Roman" w:hint="eastAsia"/>
          <w:sz w:val="24"/>
          <w:szCs w:val="22"/>
        </w:rPr>
        <w:t>新设的</w:t>
      </w:r>
      <w:r w:rsidR="00B32D98" w:rsidRPr="004865EF">
        <w:rPr>
          <w:rFonts w:ascii="Times New Roman" w:eastAsia="宋体" w:hAnsi="Times New Roman" w:cs="Times New Roman" w:hint="eastAsia"/>
          <w:sz w:val="24"/>
          <w:szCs w:val="22"/>
        </w:rPr>
        <w:t>公司</w:t>
      </w:r>
      <w:r w:rsidR="00E06697" w:rsidRPr="004865EF">
        <w:rPr>
          <w:rFonts w:ascii="Times New Roman" w:eastAsia="宋体" w:hAnsi="Times New Roman" w:cs="Times New Roman" w:hint="eastAsia"/>
          <w:sz w:val="24"/>
          <w:szCs w:val="22"/>
        </w:rPr>
        <w:t>，承继了</w:t>
      </w:r>
      <w:r w:rsidR="00EF3CE0" w:rsidRPr="004865EF">
        <w:rPr>
          <w:rFonts w:ascii="Times New Roman" w:eastAsia="宋体" w:hAnsi="Times New Roman" w:cs="Times New Roman" w:hint="eastAsia"/>
          <w:sz w:val="24"/>
          <w:szCs w:val="22"/>
        </w:rPr>
        <w:t>岩峰公司</w:t>
      </w:r>
      <w:r w:rsidR="006935DD" w:rsidRPr="004865EF">
        <w:rPr>
          <w:rFonts w:ascii="Times New Roman" w:eastAsia="宋体" w:hAnsi="Times New Roman" w:cs="Times New Roman" w:hint="eastAsia"/>
          <w:sz w:val="24"/>
          <w:szCs w:val="22"/>
        </w:rPr>
        <w:t>原</w:t>
      </w:r>
      <w:r w:rsidR="00174B92" w:rsidRPr="004865EF">
        <w:rPr>
          <w:rFonts w:ascii="Times New Roman" w:eastAsia="宋体" w:hAnsi="Times New Roman" w:cs="Times New Roman" w:hint="eastAsia"/>
          <w:sz w:val="24"/>
          <w:szCs w:val="22"/>
        </w:rPr>
        <w:t>拥有的</w:t>
      </w:r>
      <w:r w:rsidR="00757871" w:rsidRPr="004865EF">
        <w:rPr>
          <w:rFonts w:ascii="Times New Roman" w:eastAsia="宋体" w:hAnsi="Times New Roman" w:cs="Times New Roman" w:hint="eastAsia"/>
          <w:sz w:val="24"/>
          <w:szCs w:val="22"/>
        </w:rPr>
        <w:t>位于三河市燕郊</w:t>
      </w:r>
      <w:proofErr w:type="gramStart"/>
      <w:r w:rsidR="00757871" w:rsidRPr="004865EF">
        <w:rPr>
          <w:rFonts w:ascii="Times New Roman" w:eastAsia="宋体" w:hAnsi="Times New Roman" w:cs="Times New Roman" w:hint="eastAsia"/>
          <w:sz w:val="24"/>
          <w:szCs w:val="22"/>
        </w:rPr>
        <w:t>创意谷街南侧</w:t>
      </w:r>
      <w:proofErr w:type="gramEnd"/>
      <w:r w:rsidR="00757871" w:rsidRPr="004865EF">
        <w:rPr>
          <w:rFonts w:ascii="Times New Roman" w:eastAsia="宋体" w:hAnsi="Times New Roman" w:cs="Times New Roman" w:hint="eastAsia"/>
          <w:sz w:val="24"/>
          <w:szCs w:val="22"/>
        </w:rPr>
        <w:t>、</w:t>
      </w:r>
      <w:proofErr w:type="gramStart"/>
      <w:r w:rsidR="00757871" w:rsidRPr="004865EF">
        <w:rPr>
          <w:rFonts w:ascii="Times New Roman" w:eastAsia="宋体" w:hAnsi="Times New Roman" w:cs="Times New Roman" w:hint="eastAsia"/>
          <w:sz w:val="24"/>
          <w:szCs w:val="22"/>
        </w:rPr>
        <w:t>精工园</w:t>
      </w:r>
      <w:proofErr w:type="gramEnd"/>
      <w:r w:rsidR="00757871" w:rsidRPr="004865EF">
        <w:rPr>
          <w:rFonts w:ascii="Times New Roman" w:eastAsia="宋体" w:hAnsi="Times New Roman" w:cs="Times New Roman" w:hint="eastAsia"/>
          <w:sz w:val="24"/>
          <w:szCs w:val="22"/>
        </w:rPr>
        <w:t>东侧的</w:t>
      </w:r>
      <w:r w:rsidR="00757871" w:rsidRPr="004865EF">
        <w:rPr>
          <w:rFonts w:ascii="Times New Roman" w:eastAsia="宋体" w:hAnsi="Times New Roman" w:cs="Times New Roman" w:hint="eastAsia"/>
          <w:sz w:val="24"/>
          <w:szCs w:val="22"/>
        </w:rPr>
        <w:t>1</w:t>
      </w:r>
      <w:r w:rsidR="00757871" w:rsidRPr="004865EF">
        <w:rPr>
          <w:rFonts w:ascii="Times New Roman" w:eastAsia="宋体" w:hAnsi="Times New Roman" w:cs="Times New Roman" w:hint="eastAsia"/>
          <w:sz w:val="24"/>
          <w:szCs w:val="22"/>
        </w:rPr>
        <w:t>宗土地及对应的地上房产</w:t>
      </w:r>
      <w:r w:rsidR="00202922" w:rsidRPr="004865EF">
        <w:rPr>
          <w:rFonts w:ascii="Times New Roman" w:eastAsia="宋体" w:hAnsi="Times New Roman" w:cs="Times New Roman" w:hint="eastAsia"/>
          <w:sz w:val="24"/>
          <w:szCs w:val="22"/>
        </w:rPr>
        <w:t>。</w:t>
      </w:r>
      <w:r w:rsidR="00297E56" w:rsidRPr="004865EF">
        <w:rPr>
          <w:rFonts w:ascii="Times New Roman" w:eastAsia="宋体" w:hAnsi="Times New Roman" w:cs="Times New Roman" w:hint="eastAsia"/>
          <w:sz w:val="24"/>
          <w:szCs w:val="22"/>
        </w:rPr>
        <w:t>公司</w:t>
      </w:r>
      <w:r w:rsidR="005E2515" w:rsidRPr="004865EF">
        <w:rPr>
          <w:rFonts w:ascii="Times New Roman" w:eastAsia="宋体" w:hAnsi="Times New Roman" w:cs="Times New Roman" w:hint="eastAsia"/>
          <w:sz w:val="24"/>
          <w:szCs w:val="22"/>
        </w:rPr>
        <w:t>子公司光环云</w:t>
      </w:r>
      <w:proofErr w:type="gramStart"/>
      <w:r w:rsidR="005E2515" w:rsidRPr="004865EF">
        <w:rPr>
          <w:rFonts w:ascii="Times New Roman" w:eastAsia="宋体" w:hAnsi="Times New Roman" w:cs="Times New Roman" w:hint="eastAsia"/>
          <w:sz w:val="24"/>
          <w:szCs w:val="22"/>
        </w:rPr>
        <w:t>谷</w:t>
      </w:r>
      <w:r w:rsidR="00EF0079" w:rsidRPr="004865EF">
        <w:rPr>
          <w:rFonts w:ascii="Times New Roman" w:eastAsia="宋体" w:hAnsi="Times New Roman" w:cs="Times New Roman" w:hint="eastAsia"/>
          <w:sz w:val="24"/>
          <w:szCs w:val="22"/>
        </w:rPr>
        <w:t>分别</w:t>
      </w:r>
      <w:proofErr w:type="gramEnd"/>
      <w:r w:rsidR="004A5FB8" w:rsidRPr="004865EF">
        <w:rPr>
          <w:rFonts w:ascii="Times New Roman" w:eastAsia="宋体" w:hAnsi="Times New Roman" w:cs="Times New Roman" w:hint="eastAsia"/>
          <w:sz w:val="24"/>
          <w:szCs w:val="22"/>
        </w:rPr>
        <w:t>租赁</w:t>
      </w:r>
      <w:r w:rsidR="00F536EF" w:rsidRPr="004865EF">
        <w:rPr>
          <w:rFonts w:ascii="Times New Roman" w:eastAsia="宋体" w:hAnsi="Times New Roman" w:cs="Times New Roman" w:hint="eastAsia"/>
          <w:sz w:val="24"/>
          <w:szCs w:val="22"/>
        </w:rPr>
        <w:t>了</w:t>
      </w:r>
      <w:r w:rsidR="004A5FB8" w:rsidRPr="004865EF">
        <w:rPr>
          <w:rFonts w:ascii="Times New Roman" w:eastAsia="宋体" w:hAnsi="Times New Roman" w:cs="Times New Roman" w:hint="eastAsia"/>
          <w:sz w:val="24"/>
          <w:szCs w:val="22"/>
        </w:rPr>
        <w:t>该土地上建设的</w:t>
      </w:r>
      <w:r w:rsidR="001A47BB" w:rsidRPr="004865EF">
        <w:rPr>
          <w:rFonts w:ascii="Times New Roman" w:eastAsia="宋体" w:hAnsi="Times New Roman" w:cs="Times New Roman" w:hint="eastAsia"/>
          <w:sz w:val="24"/>
          <w:szCs w:val="22"/>
        </w:rPr>
        <w:t>房产</w:t>
      </w:r>
      <w:r w:rsidR="00426D9C" w:rsidRPr="004865EF">
        <w:rPr>
          <w:rFonts w:ascii="Times New Roman" w:eastAsia="宋体" w:hAnsi="Times New Roman" w:cs="Times New Roman" w:hint="eastAsia"/>
          <w:sz w:val="24"/>
          <w:szCs w:val="22"/>
        </w:rPr>
        <w:t>用于</w:t>
      </w:r>
      <w:r w:rsidR="00DF5DAD" w:rsidRPr="004865EF">
        <w:rPr>
          <w:rFonts w:ascii="Times New Roman" w:eastAsia="宋体" w:hAnsi="Times New Roman" w:cs="Times New Roman" w:hint="eastAsia"/>
          <w:sz w:val="24"/>
          <w:szCs w:val="22"/>
        </w:rPr>
        <w:t>建设燕郊绿色</w:t>
      </w:r>
      <w:proofErr w:type="gramStart"/>
      <w:r w:rsidR="00DF5DAD" w:rsidRPr="004865EF">
        <w:rPr>
          <w:rFonts w:ascii="Times New Roman" w:eastAsia="宋体" w:hAnsi="Times New Roman" w:cs="Times New Roman" w:hint="eastAsia"/>
          <w:sz w:val="24"/>
          <w:szCs w:val="22"/>
        </w:rPr>
        <w:t>云计算</w:t>
      </w:r>
      <w:proofErr w:type="gramEnd"/>
      <w:r w:rsidR="00DF5DAD" w:rsidRPr="004865EF">
        <w:rPr>
          <w:rFonts w:ascii="Times New Roman" w:eastAsia="宋体" w:hAnsi="Times New Roman" w:cs="Times New Roman" w:hint="eastAsia"/>
          <w:sz w:val="24"/>
          <w:szCs w:val="22"/>
        </w:rPr>
        <w:t>基地一期和二期项目</w:t>
      </w:r>
      <w:r w:rsidR="00CC5157" w:rsidRPr="004865EF">
        <w:rPr>
          <w:rFonts w:ascii="Times New Roman" w:eastAsia="宋体" w:hAnsi="Times New Roman" w:cs="Times New Roman" w:hint="eastAsia"/>
          <w:sz w:val="24"/>
          <w:szCs w:val="22"/>
        </w:rPr>
        <w:t>，</w:t>
      </w:r>
      <w:r w:rsidR="00E743EB" w:rsidRPr="004865EF">
        <w:rPr>
          <w:rFonts w:ascii="Times New Roman" w:eastAsia="宋体" w:hAnsi="Times New Roman" w:cs="Times New Roman" w:hint="eastAsia"/>
          <w:sz w:val="24"/>
          <w:szCs w:val="22"/>
        </w:rPr>
        <w:t>租期</w:t>
      </w:r>
      <w:r w:rsidR="00862A56" w:rsidRPr="004865EF">
        <w:rPr>
          <w:rFonts w:ascii="Times New Roman" w:eastAsia="宋体" w:hAnsi="Times New Roman" w:cs="Times New Roman" w:hint="eastAsia"/>
          <w:sz w:val="24"/>
          <w:szCs w:val="22"/>
        </w:rPr>
        <w:t>分别为</w:t>
      </w:r>
      <w:r w:rsidR="00862A56" w:rsidRPr="004865EF">
        <w:rPr>
          <w:rFonts w:ascii="Times New Roman" w:eastAsia="宋体" w:hAnsi="Times New Roman" w:cs="Times New Roman"/>
          <w:sz w:val="24"/>
          <w:szCs w:val="22"/>
        </w:rPr>
        <w:t>2013</w:t>
      </w:r>
      <w:r w:rsidR="00BC1791" w:rsidRPr="004865EF">
        <w:rPr>
          <w:rFonts w:ascii="Times New Roman" w:eastAsia="宋体" w:hAnsi="Times New Roman" w:cs="Times New Roman" w:hint="eastAsia"/>
          <w:sz w:val="24"/>
          <w:szCs w:val="22"/>
        </w:rPr>
        <w:t>年</w:t>
      </w:r>
      <w:r w:rsidR="00862A56" w:rsidRPr="004865EF">
        <w:rPr>
          <w:rFonts w:ascii="Times New Roman" w:eastAsia="宋体" w:hAnsi="Times New Roman" w:cs="Times New Roman"/>
          <w:sz w:val="24"/>
          <w:szCs w:val="22"/>
        </w:rPr>
        <w:t>1</w:t>
      </w:r>
      <w:r w:rsidR="0078726D" w:rsidRPr="004865EF">
        <w:rPr>
          <w:rFonts w:ascii="Times New Roman" w:eastAsia="宋体" w:hAnsi="Times New Roman" w:cs="Times New Roman" w:hint="eastAsia"/>
          <w:sz w:val="24"/>
          <w:szCs w:val="22"/>
        </w:rPr>
        <w:t>月</w:t>
      </w:r>
      <w:r w:rsidR="00862A56" w:rsidRPr="004865EF">
        <w:rPr>
          <w:rFonts w:ascii="Times New Roman" w:eastAsia="宋体" w:hAnsi="Times New Roman" w:cs="Times New Roman"/>
          <w:sz w:val="24"/>
          <w:szCs w:val="22"/>
        </w:rPr>
        <w:t>至</w:t>
      </w:r>
      <w:r w:rsidR="00862A56" w:rsidRPr="004865EF">
        <w:rPr>
          <w:rFonts w:ascii="Times New Roman" w:eastAsia="宋体" w:hAnsi="Times New Roman" w:cs="Times New Roman"/>
          <w:sz w:val="24"/>
          <w:szCs w:val="22"/>
        </w:rPr>
        <w:t>2022</w:t>
      </w:r>
      <w:r w:rsidR="00627996" w:rsidRPr="004865EF">
        <w:rPr>
          <w:rFonts w:ascii="Times New Roman" w:eastAsia="宋体" w:hAnsi="Times New Roman" w:cs="Times New Roman" w:hint="eastAsia"/>
          <w:sz w:val="24"/>
          <w:szCs w:val="22"/>
        </w:rPr>
        <w:t>年</w:t>
      </w:r>
      <w:r w:rsidR="00862A56" w:rsidRPr="004865EF">
        <w:rPr>
          <w:rFonts w:ascii="Times New Roman" w:eastAsia="宋体" w:hAnsi="Times New Roman" w:cs="Times New Roman"/>
          <w:sz w:val="24"/>
          <w:szCs w:val="22"/>
        </w:rPr>
        <w:t>12</w:t>
      </w:r>
      <w:r w:rsidR="00627996" w:rsidRPr="004865EF">
        <w:rPr>
          <w:rFonts w:ascii="Times New Roman" w:eastAsia="宋体" w:hAnsi="Times New Roman" w:cs="Times New Roman" w:hint="eastAsia"/>
          <w:sz w:val="24"/>
          <w:szCs w:val="22"/>
        </w:rPr>
        <w:t>月</w:t>
      </w:r>
      <w:r w:rsidR="00B7209A" w:rsidRPr="004865EF">
        <w:rPr>
          <w:rFonts w:ascii="Times New Roman" w:eastAsia="宋体" w:hAnsi="Times New Roman" w:cs="Times New Roman" w:hint="eastAsia"/>
          <w:sz w:val="24"/>
          <w:szCs w:val="22"/>
        </w:rPr>
        <w:t>、</w:t>
      </w:r>
      <w:r w:rsidR="00BC1791" w:rsidRPr="004865EF">
        <w:rPr>
          <w:rFonts w:ascii="Times New Roman" w:eastAsia="宋体" w:hAnsi="Times New Roman" w:cs="Times New Roman"/>
          <w:sz w:val="24"/>
          <w:szCs w:val="22"/>
        </w:rPr>
        <w:t>2017</w:t>
      </w:r>
      <w:r w:rsidR="00573B2B" w:rsidRPr="004865EF">
        <w:rPr>
          <w:rFonts w:ascii="Times New Roman" w:eastAsia="宋体" w:hAnsi="Times New Roman" w:cs="Times New Roman" w:hint="eastAsia"/>
          <w:sz w:val="24"/>
          <w:szCs w:val="22"/>
        </w:rPr>
        <w:t>年</w:t>
      </w:r>
      <w:r w:rsidR="00BC1791" w:rsidRPr="004865EF">
        <w:rPr>
          <w:rFonts w:ascii="Times New Roman" w:eastAsia="宋体" w:hAnsi="Times New Roman" w:cs="Times New Roman"/>
          <w:sz w:val="24"/>
          <w:szCs w:val="22"/>
        </w:rPr>
        <w:t>1</w:t>
      </w:r>
      <w:r w:rsidR="00DD40F2" w:rsidRPr="004865EF">
        <w:rPr>
          <w:rFonts w:ascii="Times New Roman" w:eastAsia="宋体" w:hAnsi="Times New Roman" w:cs="Times New Roman" w:hint="eastAsia"/>
          <w:sz w:val="24"/>
          <w:szCs w:val="22"/>
        </w:rPr>
        <w:t>月</w:t>
      </w:r>
      <w:r w:rsidR="00BC1791" w:rsidRPr="004865EF">
        <w:rPr>
          <w:rFonts w:ascii="Times New Roman" w:eastAsia="宋体" w:hAnsi="Times New Roman" w:cs="Times New Roman"/>
          <w:sz w:val="24"/>
          <w:szCs w:val="22"/>
        </w:rPr>
        <w:t>至</w:t>
      </w:r>
      <w:r w:rsidR="00BC1791" w:rsidRPr="004865EF">
        <w:rPr>
          <w:rFonts w:ascii="Times New Roman" w:eastAsia="宋体" w:hAnsi="Times New Roman" w:cs="Times New Roman"/>
          <w:sz w:val="24"/>
          <w:szCs w:val="22"/>
        </w:rPr>
        <w:t>2026</w:t>
      </w:r>
      <w:r w:rsidR="00573B2B" w:rsidRPr="004865EF">
        <w:rPr>
          <w:rFonts w:ascii="Times New Roman" w:eastAsia="宋体" w:hAnsi="Times New Roman" w:cs="Times New Roman" w:hint="eastAsia"/>
          <w:sz w:val="24"/>
          <w:szCs w:val="22"/>
        </w:rPr>
        <w:t>年</w:t>
      </w:r>
      <w:r w:rsidR="00BC1791" w:rsidRPr="004865EF">
        <w:rPr>
          <w:rFonts w:ascii="Times New Roman" w:eastAsia="宋体" w:hAnsi="Times New Roman" w:cs="Times New Roman"/>
          <w:sz w:val="24"/>
          <w:szCs w:val="22"/>
        </w:rPr>
        <w:t>12</w:t>
      </w:r>
      <w:r w:rsidR="00573B2B" w:rsidRPr="004865EF">
        <w:rPr>
          <w:rFonts w:ascii="Times New Roman" w:eastAsia="宋体" w:hAnsi="Times New Roman" w:cs="Times New Roman" w:hint="eastAsia"/>
          <w:sz w:val="24"/>
          <w:szCs w:val="22"/>
        </w:rPr>
        <w:t>月。</w:t>
      </w:r>
    </w:p>
    <w:p w14:paraId="3C49214F" w14:textId="77777777" w:rsidR="00D12D4F" w:rsidRPr="004865EF" w:rsidRDefault="00ED4EB6" w:rsidP="003C2212">
      <w:pPr>
        <w:pStyle w:val="zhengwen"/>
      </w:pPr>
      <w:r w:rsidRPr="004865EF">
        <w:rPr>
          <w:rFonts w:hint="eastAsia"/>
        </w:rPr>
        <w:t>本次增资完成后，公司</w:t>
      </w:r>
      <w:r w:rsidRPr="004865EF">
        <w:t>将</w:t>
      </w:r>
      <w:r w:rsidRPr="004865EF">
        <w:rPr>
          <w:rFonts w:hint="eastAsia"/>
        </w:rPr>
        <w:t>持有智达云创</w:t>
      </w:r>
      <w:r w:rsidRPr="004865EF">
        <w:rPr>
          <w:rFonts w:hint="eastAsia"/>
        </w:rPr>
        <w:t>65</w:t>
      </w:r>
      <w:r w:rsidRPr="004865EF">
        <w:t>%</w:t>
      </w:r>
      <w:r w:rsidRPr="004865EF">
        <w:t>股权</w:t>
      </w:r>
      <w:r w:rsidRPr="004865EF">
        <w:rPr>
          <w:rFonts w:hint="eastAsia"/>
        </w:rPr>
        <w:t>，智达云创将成为公司的控股子公司</w:t>
      </w:r>
      <w:r w:rsidR="00096276" w:rsidRPr="004865EF">
        <w:rPr>
          <w:rFonts w:hint="eastAsia"/>
        </w:rPr>
        <w:t>。</w:t>
      </w:r>
      <w:r w:rsidR="00AC76A6" w:rsidRPr="004865EF">
        <w:rPr>
          <w:rFonts w:hint="eastAsia"/>
        </w:rPr>
        <w:t>一方面，</w:t>
      </w:r>
      <w:r w:rsidR="000E5468" w:rsidRPr="004865EF">
        <w:rPr>
          <w:rFonts w:hint="eastAsia"/>
        </w:rPr>
        <w:t>有利于保障</w:t>
      </w:r>
      <w:r w:rsidR="00506911" w:rsidRPr="004865EF">
        <w:rPr>
          <w:rFonts w:hint="eastAsia"/>
        </w:rPr>
        <w:t>光环云谷</w:t>
      </w:r>
      <w:r w:rsidR="00A81782" w:rsidRPr="004865EF">
        <w:rPr>
          <w:rFonts w:hint="eastAsia"/>
        </w:rPr>
        <w:t>已建成</w:t>
      </w:r>
      <w:r w:rsidR="008A0F23" w:rsidRPr="004865EF">
        <w:rPr>
          <w:rFonts w:hint="eastAsia"/>
        </w:rPr>
        <w:t>的</w:t>
      </w:r>
      <w:r w:rsidR="003E5EEA" w:rsidRPr="004865EF">
        <w:rPr>
          <w:rFonts w:hint="eastAsia"/>
        </w:rPr>
        <w:t>燕郊绿色</w:t>
      </w:r>
      <w:proofErr w:type="gramStart"/>
      <w:r w:rsidR="003E5EEA" w:rsidRPr="004865EF">
        <w:rPr>
          <w:rFonts w:hint="eastAsia"/>
        </w:rPr>
        <w:t>云计算</w:t>
      </w:r>
      <w:proofErr w:type="gramEnd"/>
      <w:r w:rsidR="003E5EEA" w:rsidRPr="004865EF">
        <w:rPr>
          <w:rFonts w:hint="eastAsia"/>
        </w:rPr>
        <w:t>基地一期和二期项目</w:t>
      </w:r>
      <w:r w:rsidR="00D33F5A" w:rsidRPr="004865EF">
        <w:rPr>
          <w:rFonts w:hint="eastAsia"/>
        </w:rPr>
        <w:t>的</w:t>
      </w:r>
      <w:r w:rsidR="00F9112F" w:rsidRPr="004865EF">
        <w:rPr>
          <w:rFonts w:hint="eastAsia"/>
        </w:rPr>
        <w:t>房产租赁的稳定</w:t>
      </w:r>
      <w:r w:rsidR="00D2557F" w:rsidRPr="004865EF">
        <w:rPr>
          <w:rFonts w:hint="eastAsia"/>
        </w:rPr>
        <w:t>性</w:t>
      </w:r>
      <w:r w:rsidR="00045046" w:rsidRPr="004865EF">
        <w:rPr>
          <w:rFonts w:hint="eastAsia"/>
        </w:rPr>
        <w:t>。</w:t>
      </w:r>
      <w:r w:rsidR="00896BD2" w:rsidRPr="004865EF">
        <w:rPr>
          <w:rFonts w:hint="eastAsia"/>
        </w:rPr>
        <w:t>另一方面，</w:t>
      </w:r>
      <w:r w:rsidR="00770E11" w:rsidRPr="004865EF">
        <w:rPr>
          <w:rFonts w:hint="eastAsia"/>
        </w:rPr>
        <w:t>公司以</w:t>
      </w:r>
      <w:r w:rsidRPr="004865EF">
        <w:rPr>
          <w:rFonts w:hint="eastAsia"/>
        </w:rPr>
        <w:t>智达云创为项目实施主体</w:t>
      </w:r>
      <w:r w:rsidR="00D23390" w:rsidRPr="004865EF">
        <w:rPr>
          <w:rFonts w:hint="eastAsia"/>
        </w:rPr>
        <w:t>，</w:t>
      </w:r>
      <w:r w:rsidR="00753A50" w:rsidRPr="004865EF">
        <w:rPr>
          <w:rFonts w:hint="eastAsia"/>
        </w:rPr>
        <w:t>可以</w:t>
      </w:r>
      <w:r w:rsidRPr="004865EF">
        <w:rPr>
          <w:rFonts w:hint="eastAsia"/>
        </w:rPr>
        <w:t>利用其</w:t>
      </w:r>
      <w:r w:rsidR="00260254" w:rsidRPr="004865EF">
        <w:rPr>
          <w:rFonts w:hint="eastAsia"/>
        </w:rPr>
        <w:t>拥有的不动产</w:t>
      </w:r>
      <w:r w:rsidRPr="004865EF">
        <w:rPr>
          <w:rFonts w:hint="eastAsia"/>
        </w:rPr>
        <w:t>建设燕郊绿色</w:t>
      </w:r>
      <w:proofErr w:type="gramStart"/>
      <w:r w:rsidRPr="004865EF">
        <w:rPr>
          <w:rFonts w:hint="eastAsia"/>
        </w:rPr>
        <w:t>云计算</w:t>
      </w:r>
      <w:proofErr w:type="gramEnd"/>
      <w:r w:rsidRPr="004865EF">
        <w:rPr>
          <w:rFonts w:hint="eastAsia"/>
        </w:rPr>
        <w:t>基地三四期项目。</w:t>
      </w:r>
      <w:r w:rsidR="002C7BD5" w:rsidRPr="004865EF">
        <w:rPr>
          <w:rFonts w:hint="eastAsia"/>
        </w:rPr>
        <w:t>近年来，</w:t>
      </w:r>
      <w:r w:rsidR="00BD7276" w:rsidRPr="004865EF">
        <w:rPr>
          <w:rFonts w:hint="eastAsia"/>
        </w:rPr>
        <w:t>国内</w:t>
      </w:r>
      <w:r w:rsidR="00234AD6" w:rsidRPr="004865EF">
        <w:t>一线城市土地、电力资源稀缺，加之政策监管和项目趋严，供需失衡导致一线城市数据中心产生较大缺口。</w:t>
      </w:r>
      <w:r w:rsidR="00AE53A8" w:rsidRPr="004865EF">
        <w:rPr>
          <w:rFonts w:hint="eastAsia"/>
        </w:rPr>
        <w:t>智达云</w:t>
      </w:r>
      <w:proofErr w:type="gramStart"/>
      <w:r w:rsidR="00AE53A8" w:rsidRPr="004865EF">
        <w:rPr>
          <w:rFonts w:hint="eastAsia"/>
        </w:rPr>
        <w:t>创拥有</w:t>
      </w:r>
      <w:proofErr w:type="gramEnd"/>
      <w:r w:rsidR="00AE53A8" w:rsidRPr="004865EF">
        <w:rPr>
          <w:rFonts w:hint="eastAsia"/>
        </w:rPr>
        <w:t>的</w:t>
      </w:r>
      <w:r w:rsidR="00854FAF" w:rsidRPr="004865EF">
        <w:rPr>
          <w:rFonts w:hint="eastAsia"/>
        </w:rPr>
        <w:t>不动产</w:t>
      </w:r>
      <w:r w:rsidR="00B97F9D" w:rsidRPr="004865EF">
        <w:rPr>
          <w:rFonts w:hint="eastAsia"/>
        </w:rPr>
        <w:t>位于</w:t>
      </w:r>
      <w:r w:rsidR="00234AD6" w:rsidRPr="004865EF">
        <w:t>北京周边，存在客户储备丰富、网络状况良好等稀缺优势，</w:t>
      </w:r>
      <w:r w:rsidR="00C20374" w:rsidRPr="004865EF">
        <w:rPr>
          <w:rFonts w:hint="eastAsia"/>
        </w:rPr>
        <w:t>可以</w:t>
      </w:r>
      <w:r w:rsidR="00234AD6" w:rsidRPr="004865EF">
        <w:t>有效补充公司在</w:t>
      </w:r>
      <w:proofErr w:type="gramStart"/>
      <w:r w:rsidR="00234AD6" w:rsidRPr="004865EF">
        <w:t>一</w:t>
      </w:r>
      <w:proofErr w:type="gramEnd"/>
      <w:r w:rsidR="00234AD6" w:rsidRPr="004865EF">
        <w:t>二线城市的数据中心产能，具有良好的收益预期。</w:t>
      </w:r>
    </w:p>
    <w:p w14:paraId="5C8FB0FC" w14:textId="77777777" w:rsidR="00FB19B6" w:rsidRPr="004865EF" w:rsidRDefault="000939E0" w:rsidP="003C0BBB">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综上</w:t>
      </w:r>
      <w:r w:rsidR="009E0D16" w:rsidRPr="004865EF">
        <w:rPr>
          <w:rFonts w:ascii="Times New Roman" w:eastAsia="宋体" w:hAnsi="Times New Roman" w:cs="Times New Roman" w:hint="eastAsia"/>
          <w:sz w:val="24"/>
          <w:szCs w:val="22"/>
        </w:rPr>
        <w:t>，公司</w:t>
      </w:r>
      <w:r w:rsidR="00A102E0" w:rsidRPr="004865EF">
        <w:rPr>
          <w:rFonts w:ascii="Times New Roman" w:eastAsia="宋体" w:hAnsi="Times New Roman" w:cs="Times New Roman" w:hint="eastAsia"/>
          <w:sz w:val="24"/>
          <w:szCs w:val="22"/>
        </w:rPr>
        <w:t>本次采用</w:t>
      </w:r>
      <w:r w:rsidR="00AA1D87" w:rsidRPr="004865EF">
        <w:rPr>
          <w:rFonts w:ascii="Times New Roman" w:eastAsia="宋体" w:hAnsi="Times New Roman" w:cs="Times New Roman"/>
          <w:sz w:val="24"/>
          <w:szCs w:val="22"/>
        </w:rPr>
        <w:t>以增资方式收购</w:t>
      </w:r>
      <w:r w:rsidR="002E35FF" w:rsidRPr="004865EF">
        <w:rPr>
          <w:rFonts w:ascii="Times New Roman" w:eastAsia="宋体" w:hAnsi="Times New Roman" w:cs="Times New Roman" w:hint="eastAsia"/>
          <w:sz w:val="24"/>
          <w:szCs w:val="22"/>
        </w:rPr>
        <w:t>智达云创</w:t>
      </w:r>
      <w:r w:rsidR="00565756" w:rsidRPr="004865EF">
        <w:rPr>
          <w:rFonts w:ascii="Times New Roman" w:eastAsia="宋体" w:hAnsi="Times New Roman" w:cs="Times New Roman" w:hint="eastAsia"/>
          <w:sz w:val="24"/>
          <w:szCs w:val="22"/>
        </w:rPr>
        <w:t>6</w:t>
      </w:r>
      <w:r w:rsidR="00565756" w:rsidRPr="004865EF">
        <w:rPr>
          <w:rFonts w:ascii="Times New Roman" w:eastAsia="宋体" w:hAnsi="Times New Roman" w:cs="Times New Roman"/>
          <w:sz w:val="24"/>
          <w:szCs w:val="22"/>
        </w:rPr>
        <w:t>5%</w:t>
      </w:r>
      <w:r w:rsidR="00565756" w:rsidRPr="004865EF">
        <w:rPr>
          <w:rFonts w:ascii="Times New Roman" w:eastAsia="宋体" w:hAnsi="Times New Roman" w:cs="Times New Roman" w:hint="eastAsia"/>
          <w:sz w:val="24"/>
          <w:szCs w:val="22"/>
        </w:rPr>
        <w:t>股权</w:t>
      </w:r>
      <w:r w:rsidR="001539C5" w:rsidRPr="004865EF">
        <w:rPr>
          <w:rFonts w:ascii="Times New Roman" w:eastAsia="宋体" w:hAnsi="Times New Roman" w:cs="Times New Roman" w:hint="eastAsia"/>
          <w:sz w:val="24"/>
          <w:szCs w:val="22"/>
        </w:rPr>
        <w:t>并</w:t>
      </w:r>
      <w:r w:rsidR="003E1F8D" w:rsidRPr="004865EF">
        <w:rPr>
          <w:rFonts w:ascii="Times New Roman" w:eastAsia="宋体" w:hAnsi="Times New Roman" w:cs="Times New Roman" w:hint="eastAsia"/>
          <w:sz w:val="24"/>
          <w:szCs w:val="22"/>
        </w:rPr>
        <w:t>作为</w:t>
      </w:r>
      <w:r w:rsidR="00E813F8" w:rsidRPr="004865EF">
        <w:rPr>
          <w:rFonts w:ascii="Times New Roman" w:eastAsia="宋体" w:hAnsi="Times New Roman" w:cs="Times New Roman" w:hint="eastAsia"/>
          <w:sz w:val="24"/>
          <w:szCs w:val="22"/>
        </w:rPr>
        <w:t>燕郊绿色</w:t>
      </w:r>
      <w:proofErr w:type="gramStart"/>
      <w:r w:rsidR="00E813F8" w:rsidRPr="004865EF">
        <w:rPr>
          <w:rFonts w:ascii="Times New Roman" w:eastAsia="宋体" w:hAnsi="Times New Roman" w:cs="Times New Roman" w:hint="eastAsia"/>
          <w:sz w:val="24"/>
          <w:szCs w:val="22"/>
        </w:rPr>
        <w:t>云计</w:t>
      </w:r>
      <w:r w:rsidR="00E813F8" w:rsidRPr="004865EF">
        <w:rPr>
          <w:rFonts w:ascii="Times New Roman" w:eastAsia="宋体" w:hAnsi="Times New Roman" w:cs="Times New Roman" w:hint="eastAsia"/>
          <w:sz w:val="24"/>
          <w:szCs w:val="22"/>
        </w:rPr>
        <w:lastRenderedPageBreak/>
        <w:t>算</w:t>
      </w:r>
      <w:proofErr w:type="gramEnd"/>
      <w:r w:rsidR="00E813F8" w:rsidRPr="004865EF">
        <w:rPr>
          <w:rFonts w:ascii="Times New Roman" w:eastAsia="宋体" w:hAnsi="Times New Roman" w:cs="Times New Roman" w:hint="eastAsia"/>
          <w:sz w:val="24"/>
          <w:szCs w:val="22"/>
        </w:rPr>
        <w:t>基地三四期项目的</w:t>
      </w:r>
      <w:r w:rsidR="003E1F8D" w:rsidRPr="004865EF">
        <w:rPr>
          <w:rFonts w:ascii="Times New Roman" w:eastAsia="宋体" w:hAnsi="Times New Roman" w:cs="Times New Roman" w:hint="eastAsia"/>
          <w:sz w:val="24"/>
          <w:szCs w:val="22"/>
        </w:rPr>
        <w:t>实施主体</w:t>
      </w:r>
      <w:r w:rsidR="00AA1D87" w:rsidRPr="004865EF">
        <w:rPr>
          <w:rFonts w:ascii="Times New Roman" w:eastAsia="宋体" w:hAnsi="Times New Roman" w:cs="Times New Roman"/>
          <w:sz w:val="24"/>
          <w:szCs w:val="22"/>
        </w:rPr>
        <w:t>，</w:t>
      </w:r>
      <w:r w:rsidR="002857EE" w:rsidRPr="004865EF">
        <w:rPr>
          <w:rFonts w:ascii="Times New Roman" w:eastAsia="宋体" w:hAnsi="Times New Roman" w:cs="Times New Roman" w:hint="eastAsia"/>
          <w:sz w:val="24"/>
          <w:szCs w:val="22"/>
        </w:rPr>
        <w:t>而未</w:t>
      </w:r>
      <w:r w:rsidR="002857EE" w:rsidRPr="004865EF">
        <w:rPr>
          <w:rFonts w:ascii="Times New Roman" w:eastAsia="宋体" w:hAnsi="Times New Roman" w:cs="Times New Roman"/>
          <w:sz w:val="24"/>
          <w:szCs w:val="22"/>
        </w:rPr>
        <w:t>采取新设方式实施</w:t>
      </w:r>
      <w:proofErr w:type="gramStart"/>
      <w:r w:rsidR="002857EE" w:rsidRPr="004865EF">
        <w:rPr>
          <w:rFonts w:ascii="Times New Roman" w:eastAsia="宋体" w:hAnsi="Times New Roman" w:cs="Times New Roman" w:hint="eastAsia"/>
          <w:sz w:val="24"/>
          <w:szCs w:val="22"/>
        </w:rPr>
        <w:t>本募投项目</w:t>
      </w:r>
      <w:proofErr w:type="gramEnd"/>
      <w:r w:rsidR="003A3A8E" w:rsidRPr="004865EF">
        <w:rPr>
          <w:rFonts w:ascii="Times New Roman" w:eastAsia="宋体" w:hAnsi="Times New Roman" w:cs="Times New Roman" w:hint="eastAsia"/>
          <w:sz w:val="24"/>
          <w:szCs w:val="22"/>
        </w:rPr>
        <w:t>，</w:t>
      </w:r>
      <w:r w:rsidR="006F3CEC" w:rsidRPr="004865EF">
        <w:rPr>
          <w:rFonts w:ascii="Times New Roman" w:eastAsia="宋体" w:hAnsi="Times New Roman" w:cs="Times New Roman" w:hint="eastAsia"/>
          <w:sz w:val="24"/>
          <w:szCs w:val="22"/>
        </w:rPr>
        <w:t>系</w:t>
      </w:r>
      <w:r w:rsidR="00811BF7" w:rsidRPr="004865EF">
        <w:rPr>
          <w:rFonts w:ascii="Times New Roman" w:eastAsia="宋体" w:hAnsi="Times New Roman" w:cs="Times New Roman" w:hint="eastAsia"/>
          <w:sz w:val="24"/>
          <w:szCs w:val="22"/>
        </w:rPr>
        <w:t>相关</w:t>
      </w:r>
      <w:r w:rsidR="00734707" w:rsidRPr="004865EF">
        <w:rPr>
          <w:rFonts w:ascii="Times New Roman" w:eastAsia="宋体" w:hAnsi="Times New Roman" w:cs="Times New Roman" w:hint="eastAsia"/>
          <w:sz w:val="24"/>
          <w:szCs w:val="22"/>
        </w:rPr>
        <w:t>各方</w:t>
      </w:r>
      <w:r w:rsidR="000C500A" w:rsidRPr="004865EF">
        <w:rPr>
          <w:rFonts w:ascii="Times New Roman" w:eastAsia="宋体" w:hAnsi="Times New Roman" w:cs="Times New Roman" w:hint="eastAsia"/>
          <w:sz w:val="24"/>
          <w:szCs w:val="22"/>
        </w:rPr>
        <w:t>基于</w:t>
      </w:r>
      <w:r w:rsidR="00734707" w:rsidRPr="004865EF">
        <w:rPr>
          <w:rFonts w:ascii="Times New Roman" w:eastAsia="宋体" w:hAnsi="Times New Roman" w:cs="Times New Roman" w:hint="eastAsia"/>
          <w:sz w:val="24"/>
          <w:szCs w:val="22"/>
        </w:rPr>
        <w:t>各自拥有的不动产、技术或业务</w:t>
      </w:r>
      <w:r w:rsidR="00A31566" w:rsidRPr="004865EF">
        <w:rPr>
          <w:rFonts w:ascii="Times New Roman" w:eastAsia="宋体" w:hAnsi="Times New Roman" w:cs="Times New Roman" w:hint="eastAsia"/>
          <w:sz w:val="24"/>
          <w:szCs w:val="22"/>
        </w:rPr>
        <w:t>资源</w:t>
      </w:r>
      <w:r w:rsidR="007553B8" w:rsidRPr="004865EF">
        <w:rPr>
          <w:rFonts w:ascii="Times New Roman" w:eastAsia="宋体" w:hAnsi="Times New Roman" w:cs="Times New Roman" w:hint="eastAsia"/>
          <w:sz w:val="24"/>
          <w:szCs w:val="22"/>
        </w:rPr>
        <w:t>经协商一致而</w:t>
      </w:r>
      <w:proofErr w:type="gramStart"/>
      <w:r w:rsidR="00D033DB" w:rsidRPr="004865EF">
        <w:rPr>
          <w:rFonts w:ascii="Times New Roman" w:eastAsia="宋体" w:hAnsi="Times New Roman" w:cs="Times New Roman" w:hint="eastAsia"/>
          <w:sz w:val="24"/>
          <w:szCs w:val="22"/>
        </w:rPr>
        <w:t>作出</w:t>
      </w:r>
      <w:proofErr w:type="gramEnd"/>
      <w:r w:rsidR="00D033DB" w:rsidRPr="004865EF">
        <w:rPr>
          <w:rFonts w:ascii="Times New Roman" w:eastAsia="宋体" w:hAnsi="Times New Roman" w:cs="Times New Roman" w:hint="eastAsia"/>
          <w:sz w:val="24"/>
          <w:szCs w:val="22"/>
        </w:rPr>
        <w:t>的商业安排</w:t>
      </w:r>
      <w:r w:rsidR="00694B39" w:rsidRPr="004865EF">
        <w:rPr>
          <w:rFonts w:ascii="Times New Roman" w:eastAsia="宋体" w:hAnsi="Times New Roman" w:cs="Times New Roman" w:hint="eastAsia"/>
          <w:sz w:val="24"/>
          <w:szCs w:val="22"/>
        </w:rPr>
        <w:t>，</w:t>
      </w:r>
      <w:r w:rsidR="00F1380C" w:rsidRPr="004865EF">
        <w:rPr>
          <w:rFonts w:ascii="Times New Roman" w:eastAsia="宋体" w:hAnsi="Times New Roman" w:cs="Times New Roman" w:hint="eastAsia"/>
          <w:sz w:val="24"/>
          <w:szCs w:val="22"/>
        </w:rPr>
        <w:t>具有合理性。</w:t>
      </w:r>
    </w:p>
    <w:p w14:paraId="0F8592DC" w14:textId="77777777" w:rsidR="00BF6AA3" w:rsidRPr="004865EF" w:rsidRDefault="00782F8B" w:rsidP="0066058B">
      <w:pPr>
        <w:pStyle w:val="2"/>
      </w:pPr>
      <w:r w:rsidRPr="004865EF">
        <w:rPr>
          <w:rFonts w:hint="eastAsia"/>
        </w:rPr>
        <w:t>二</w:t>
      </w:r>
      <w:r w:rsidR="007060C7" w:rsidRPr="004865EF">
        <w:rPr>
          <w:rFonts w:hint="eastAsia"/>
        </w:rPr>
        <w:t>、</w:t>
      </w:r>
      <w:r w:rsidR="00850460" w:rsidRPr="004865EF">
        <w:rPr>
          <w:rFonts w:hint="eastAsia"/>
        </w:rPr>
        <w:t>结</w:t>
      </w:r>
      <w:r w:rsidR="00850460" w:rsidRPr="004865EF">
        <w:t>合固定资产和在建工程评估的具体方法、主要参数等，说明相关资产评估增值率较高的原因及本次交易作价的公允性</w:t>
      </w:r>
    </w:p>
    <w:p w14:paraId="125FB733" w14:textId="77777777" w:rsidR="00BE2F4A" w:rsidRPr="004865EF" w:rsidRDefault="00BE2F4A" w:rsidP="00766FF1">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根据中</w:t>
      </w:r>
      <w:proofErr w:type="gramStart"/>
      <w:r w:rsidRPr="004865EF">
        <w:rPr>
          <w:rFonts w:ascii="Times New Roman" w:eastAsia="宋体" w:hAnsi="Times New Roman" w:cs="Times New Roman"/>
          <w:sz w:val="24"/>
          <w:szCs w:val="22"/>
        </w:rPr>
        <w:t>铭国际</w:t>
      </w:r>
      <w:proofErr w:type="gramEnd"/>
      <w:r w:rsidRPr="004865EF">
        <w:rPr>
          <w:rFonts w:ascii="Times New Roman" w:eastAsia="宋体" w:hAnsi="Times New Roman" w:cs="Times New Roman"/>
          <w:sz w:val="24"/>
          <w:szCs w:val="22"/>
        </w:rPr>
        <w:t>出具的《北京光环新网科技股份有限公司拟实施增资事宜涉及的智达云创（三河）科技有限公司股东全部权益资产评估报告》（中铭评报字</w:t>
      </w:r>
      <w:r w:rsidRPr="004865EF">
        <w:rPr>
          <w:rFonts w:ascii="Times New Roman" w:eastAsia="宋体" w:hAnsi="Times New Roman" w:cs="Times New Roman"/>
          <w:sz w:val="24"/>
          <w:szCs w:val="22"/>
        </w:rPr>
        <w:t>[2020]</w:t>
      </w:r>
      <w:r w:rsidRPr="004865EF">
        <w:rPr>
          <w:rFonts w:ascii="Times New Roman" w:eastAsia="宋体" w:hAnsi="Times New Roman" w:cs="Times New Roman"/>
          <w:sz w:val="24"/>
          <w:szCs w:val="22"/>
        </w:rPr>
        <w:t>第</w:t>
      </w:r>
      <w:r w:rsidRPr="004865EF">
        <w:rPr>
          <w:rFonts w:ascii="Times New Roman" w:eastAsia="宋体" w:hAnsi="Times New Roman" w:cs="Times New Roman"/>
          <w:sz w:val="24"/>
          <w:szCs w:val="22"/>
        </w:rPr>
        <w:t>1006</w:t>
      </w:r>
      <w:r w:rsidRPr="004865EF">
        <w:rPr>
          <w:rFonts w:ascii="Times New Roman" w:eastAsia="宋体" w:hAnsi="Times New Roman" w:cs="Times New Roman"/>
          <w:sz w:val="24"/>
          <w:szCs w:val="22"/>
        </w:rPr>
        <w:t>号），截至评估基准日</w:t>
      </w:r>
      <w:r w:rsidRPr="004865EF">
        <w:rPr>
          <w:rFonts w:ascii="Times New Roman" w:eastAsia="宋体" w:hAnsi="Times New Roman" w:cs="Times New Roman"/>
          <w:sz w:val="24"/>
          <w:szCs w:val="22"/>
        </w:rPr>
        <w:t>2019</w:t>
      </w:r>
      <w:r w:rsidRPr="004865EF">
        <w:rPr>
          <w:rFonts w:ascii="Times New Roman" w:eastAsia="宋体" w:hAnsi="Times New Roman" w:cs="Times New Roman"/>
          <w:sz w:val="24"/>
          <w:szCs w:val="22"/>
        </w:rPr>
        <w:t>年</w:t>
      </w:r>
      <w:r w:rsidRPr="004865EF">
        <w:rPr>
          <w:rFonts w:ascii="Times New Roman" w:eastAsia="宋体" w:hAnsi="Times New Roman" w:cs="Times New Roman"/>
          <w:sz w:val="24"/>
          <w:szCs w:val="22"/>
        </w:rPr>
        <w:t>12</w:t>
      </w:r>
      <w:r w:rsidRPr="004865EF">
        <w:rPr>
          <w:rFonts w:ascii="Times New Roman" w:eastAsia="宋体" w:hAnsi="Times New Roman" w:cs="Times New Roman"/>
          <w:sz w:val="24"/>
          <w:szCs w:val="22"/>
        </w:rPr>
        <w:t>月</w:t>
      </w:r>
      <w:r w:rsidRPr="004865EF">
        <w:rPr>
          <w:rFonts w:ascii="Times New Roman" w:eastAsia="宋体" w:hAnsi="Times New Roman" w:cs="Times New Roman"/>
          <w:sz w:val="24"/>
          <w:szCs w:val="22"/>
        </w:rPr>
        <w:t>31</w:t>
      </w:r>
      <w:r w:rsidRPr="004865EF">
        <w:rPr>
          <w:rFonts w:ascii="Times New Roman" w:eastAsia="宋体" w:hAnsi="Times New Roman" w:cs="Times New Roman"/>
          <w:sz w:val="24"/>
          <w:szCs w:val="22"/>
        </w:rPr>
        <w:t>日，智达云创</w:t>
      </w:r>
      <w:r w:rsidRPr="004865EF">
        <w:rPr>
          <w:rFonts w:ascii="Times New Roman" w:eastAsia="宋体" w:hAnsi="Times New Roman" w:cs="Times New Roman"/>
          <w:sz w:val="24"/>
          <w:szCs w:val="22"/>
        </w:rPr>
        <w:t>100%</w:t>
      </w:r>
      <w:r w:rsidRPr="004865EF">
        <w:rPr>
          <w:rFonts w:ascii="Times New Roman" w:eastAsia="宋体" w:hAnsi="Times New Roman" w:cs="Times New Roman"/>
          <w:sz w:val="24"/>
          <w:szCs w:val="22"/>
        </w:rPr>
        <w:t>股权的评估价值为</w:t>
      </w:r>
      <w:r w:rsidRPr="004865EF">
        <w:rPr>
          <w:rFonts w:ascii="Times New Roman" w:eastAsia="宋体" w:hAnsi="Times New Roman" w:cs="Times New Roman"/>
          <w:sz w:val="24"/>
          <w:szCs w:val="22"/>
        </w:rPr>
        <w:t>58,487.65</w:t>
      </w:r>
      <w:r w:rsidRPr="004865EF">
        <w:rPr>
          <w:rFonts w:ascii="Times New Roman" w:eastAsia="宋体" w:hAnsi="Times New Roman" w:cs="Times New Roman"/>
          <w:sz w:val="24"/>
          <w:szCs w:val="22"/>
        </w:rPr>
        <w:t>万元，</w:t>
      </w:r>
      <w:r w:rsidRPr="004865EF">
        <w:rPr>
          <w:rFonts w:ascii="Times New Roman" w:eastAsia="宋体" w:hAnsi="Times New Roman" w:cs="Times New Roman" w:hint="eastAsia"/>
          <w:sz w:val="24"/>
          <w:szCs w:val="22"/>
        </w:rPr>
        <w:t>经审计的股东全部权益总额账面价值为</w:t>
      </w:r>
      <w:r w:rsidRPr="004865EF">
        <w:rPr>
          <w:rFonts w:ascii="Times New Roman" w:eastAsia="宋体" w:hAnsi="Times New Roman" w:cs="Times New Roman" w:hint="eastAsia"/>
          <w:sz w:val="24"/>
          <w:szCs w:val="22"/>
        </w:rPr>
        <w:t>10,517.25</w:t>
      </w:r>
      <w:r w:rsidRPr="004865EF">
        <w:rPr>
          <w:rFonts w:ascii="Times New Roman" w:eastAsia="宋体" w:hAnsi="Times New Roman" w:cs="Times New Roman" w:hint="eastAsia"/>
          <w:sz w:val="24"/>
          <w:szCs w:val="22"/>
        </w:rPr>
        <w:t>万元，评估价值较账面价值评估增值</w:t>
      </w:r>
      <w:r w:rsidRPr="004865EF">
        <w:rPr>
          <w:rFonts w:ascii="Times New Roman" w:eastAsia="宋体" w:hAnsi="Times New Roman" w:cs="Times New Roman" w:hint="eastAsia"/>
          <w:sz w:val="24"/>
          <w:szCs w:val="22"/>
        </w:rPr>
        <w:t>47,970.40</w:t>
      </w:r>
      <w:r w:rsidRPr="004865EF">
        <w:rPr>
          <w:rFonts w:ascii="Times New Roman" w:eastAsia="宋体" w:hAnsi="Times New Roman" w:cs="Times New Roman" w:hint="eastAsia"/>
          <w:sz w:val="24"/>
          <w:szCs w:val="22"/>
        </w:rPr>
        <w:t>万元，增值率为</w:t>
      </w:r>
      <w:r w:rsidRPr="004865EF">
        <w:rPr>
          <w:rFonts w:ascii="Times New Roman" w:eastAsia="宋体" w:hAnsi="Times New Roman" w:cs="Times New Roman" w:hint="eastAsia"/>
          <w:sz w:val="24"/>
          <w:szCs w:val="22"/>
        </w:rPr>
        <w:t>456.11%</w:t>
      </w:r>
      <w:r w:rsidRPr="004865EF">
        <w:rPr>
          <w:rFonts w:ascii="Times New Roman" w:eastAsia="宋体" w:hAnsi="Times New Roman" w:cs="Times New Roman" w:hint="eastAsia"/>
          <w:sz w:val="24"/>
          <w:szCs w:val="22"/>
        </w:rPr>
        <w:t>。</w:t>
      </w:r>
    </w:p>
    <w:p w14:paraId="7D03D89F" w14:textId="77777777" w:rsidR="00BE2F4A" w:rsidRPr="004865EF" w:rsidRDefault="00BE2F4A" w:rsidP="00E81D06">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本次以</w:t>
      </w: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年</w:t>
      </w:r>
      <w:r w:rsidRPr="004865EF">
        <w:rPr>
          <w:rFonts w:ascii="Times New Roman" w:eastAsia="宋体" w:hAnsi="Times New Roman" w:cs="Times New Roman" w:hint="eastAsia"/>
          <w:sz w:val="24"/>
          <w:szCs w:val="22"/>
        </w:rPr>
        <w:t>12</w:t>
      </w:r>
      <w:r w:rsidRPr="004865EF">
        <w:rPr>
          <w:rFonts w:ascii="Times New Roman" w:eastAsia="宋体" w:hAnsi="Times New Roman" w:cs="Times New Roman" w:hint="eastAsia"/>
          <w:sz w:val="24"/>
          <w:szCs w:val="22"/>
        </w:rPr>
        <w:t>月</w:t>
      </w:r>
      <w:r w:rsidRPr="004865EF">
        <w:rPr>
          <w:rFonts w:ascii="Times New Roman" w:eastAsia="宋体" w:hAnsi="Times New Roman" w:cs="Times New Roman" w:hint="eastAsia"/>
          <w:sz w:val="24"/>
          <w:szCs w:val="22"/>
        </w:rPr>
        <w:t>31</w:t>
      </w:r>
      <w:r w:rsidRPr="004865EF">
        <w:rPr>
          <w:rFonts w:ascii="Times New Roman" w:eastAsia="宋体" w:hAnsi="Times New Roman" w:cs="Times New Roman" w:hint="eastAsia"/>
          <w:sz w:val="24"/>
          <w:szCs w:val="22"/>
        </w:rPr>
        <w:t>日为评估基准日，采用资产基础法评估结果作为标的公司全部股东权益的评估值，具体评估结果如下：</w:t>
      </w:r>
    </w:p>
    <w:p w14:paraId="179A3557" w14:textId="77777777" w:rsidR="00BE2F4A" w:rsidRPr="004865EF" w:rsidRDefault="00BE2F4A" w:rsidP="00D67E7C">
      <w:pPr>
        <w:adjustRightInd w:val="0"/>
        <w:snapToGrid w:val="0"/>
        <w:ind w:firstLineChars="200" w:firstLine="420"/>
        <w:jc w:val="right"/>
        <w:rPr>
          <w:rFonts w:ascii="Times New Roman" w:eastAsia="宋体" w:hAnsi="Times New Roman" w:cs="Times New Roman"/>
          <w:szCs w:val="20"/>
        </w:rPr>
      </w:pPr>
      <w:r w:rsidRPr="004865EF">
        <w:rPr>
          <w:rFonts w:ascii="Times New Roman" w:eastAsia="宋体" w:hAnsi="Times New Roman" w:cs="Times New Roman" w:hint="eastAsia"/>
          <w:szCs w:val="20"/>
        </w:rPr>
        <w:t>单位：万元</w:t>
      </w:r>
    </w:p>
    <w:tbl>
      <w:tblPr>
        <w:tblW w:w="8549" w:type="dxa"/>
        <w:tblInd w:w="93" w:type="dxa"/>
        <w:tblLook w:val="04A0" w:firstRow="1" w:lastRow="0" w:firstColumn="1" w:lastColumn="0" w:noHBand="0" w:noVBand="1"/>
      </w:tblPr>
      <w:tblGrid>
        <w:gridCol w:w="3075"/>
        <w:gridCol w:w="1282"/>
        <w:gridCol w:w="1282"/>
        <w:gridCol w:w="1282"/>
        <w:gridCol w:w="1628"/>
      </w:tblGrid>
      <w:tr w:rsidR="004865EF" w:rsidRPr="004865EF" w14:paraId="38DBB7A1" w14:textId="77777777" w:rsidTr="00E43A69">
        <w:trPr>
          <w:trHeight w:val="397"/>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CFB89" w14:textId="77777777" w:rsidR="00BE2F4A" w:rsidRPr="004865EF" w:rsidRDefault="00BE2F4A" w:rsidP="00D752CA">
            <w:pPr>
              <w:widowControl/>
              <w:jc w:val="center"/>
              <w:rPr>
                <w:rFonts w:ascii="Times New Roman" w:eastAsia="宋体" w:hAnsi="Times New Roman" w:cs="Times New Roman"/>
                <w:b/>
                <w:bCs/>
                <w:sz w:val="22"/>
                <w:szCs w:val="21"/>
              </w:rPr>
            </w:pPr>
            <w:r w:rsidRPr="004865EF">
              <w:rPr>
                <w:rFonts w:ascii="Times New Roman" w:eastAsia="宋体" w:hAnsi="Times New Roman" w:cs="Times New Roman"/>
                <w:b/>
                <w:bCs/>
                <w:sz w:val="22"/>
                <w:szCs w:val="21"/>
              </w:rPr>
              <w:t>项目</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314A81B3" w14:textId="77777777" w:rsidR="00BE2F4A" w:rsidRPr="004865EF" w:rsidRDefault="00BE2F4A" w:rsidP="00D752CA">
            <w:pPr>
              <w:widowControl/>
              <w:jc w:val="center"/>
              <w:rPr>
                <w:rFonts w:ascii="Times New Roman" w:eastAsia="宋体" w:hAnsi="Times New Roman" w:cs="Times New Roman"/>
                <w:b/>
                <w:bCs/>
                <w:sz w:val="22"/>
                <w:szCs w:val="21"/>
              </w:rPr>
            </w:pPr>
            <w:r w:rsidRPr="004865EF">
              <w:rPr>
                <w:rFonts w:ascii="Times New Roman" w:eastAsia="宋体" w:hAnsi="Times New Roman" w:cs="Times New Roman"/>
                <w:b/>
                <w:bCs/>
                <w:sz w:val="22"/>
                <w:szCs w:val="21"/>
              </w:rPr>
              <w:t>账面价值</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125E7C15" w14:textId="77777777" w:rsidR="00BE2F4A" w:rsidRPr="004865EF" w:rsidRDefault="00BE2F4A" w:rsidP="00D752CA">
            <w:pPr>
              <w:widowControl/>
              <w:jc w:val="center"/>
              <w:rPr>
                <w:rFonts w:ascii="Times New Roman" w:eastAsia="宋体" w:hAnsi="Times New Roman" w:cs="Times New Roman"/>
                <w:b/>
                <w:bCs/>
                <w:sz w:val="22"/>
                <w:szCs w:val="21"/>
              </w:rPr>
            </w:pPr>
            <w:r w:rsidRPr="004865EF">
              <w:rPr>
                <w:rFonts w:ascii="Times New Roman" w:eastAsia="宋体" w:hAnsi="Times New Roman" w:cs="Times New Roman"/>
                <w:b/>
                <w:bCs/>
                <w:sz w:val="22"/>
                <w:szCs w:val="21"/>
              </w:rPr>
              <w:t>评估价值</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4DCAF31E" w14:textId="77777777" w:rsidR="00BE2F4A" w:rsidRPr="004865EF" w:rsidRDefault="00BE2F4A" w:rsidP="00D752CA">
            <w:pPr>
              <w:widowControl/>
              <w:jc w:val="center"/>
              <w:rPr>
                <w:rFonts w:ascii="Times New Roman" w:eastAsia="宋体" w:hAnsi="Times New Roman" w:cs="Times New Roman"/>
                <w:b/>
                <w:bCs/>
                <w:sz w:val="22"/>
                <w:szCs w:val="21"/>
              </w:rPr>
            </w:pPr>
            <w:r w:rsidRPr="004865EF">
              <w:rPr>
                <w:rFonts w:ascii="Times New Roman" w:eastAsia="宋体" w:hAnsi="Times New Roman" w:cs="Times New Roman"/>
                <w:b/>
                <w:bCs/>
                <w:sz w:val="22"/>
                <w:szCs w:val="21"/>
              </w:rPr>
              <w:t>增值额</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14:paraId="7DDD964B" w14:textId="77777777" w:rsidR="00BE2F4A" w:rsidRPr="004865EF" w:rsidRDefault="00BE2F4A" w:rsidP="00D752CA">
            <w:pPr>
              <w:widowControl/>
              <w:jc w:val="center"/>
              <w:rPr>
                <w:rFonts w:ascii="Times New Roman" w:eastAsiaTheme="majorEastAsia" w:hAnsi="Times New Roman" w:cs="Times New Roman"/>
                <w:b/>
                <w:bCs/>
                <w:kern w:val="0"/>
                <w:szCs w:val="21"/>
              </w:rPr>
            </w:pPr>
            <w:r w:rsidRPr="004865EF">
              <w:rPr>
                <w:rFonts w:ascii="Times New Roman" w:eastAsia="宋体" w:hAnsi="Times New Roman" w:cs="Times New Roman"/>
                <w:b/>
                <w:bCs/>
                <w:sz w:val="22"/>
                <w:szCs w:val="21"/>
              </w:rPr>
              <w:t>增值率（</w:t>
            </w:r>
            <w:r w:rsidRPr="004865EF">
              <w:rPr>
                <w:rFonts w:ascii="Times New Roman" w:eastAsia="宋体" w:hAnsi="Times New Roman" w:cs="Times New Roman"/>
                <w:b/>
                <w:bCs/>
                <w:sz w:val="22"/>
                <w:szCs w:val="21"/>
              </w:rPr>
              <w:t>%</w:t>
            </w:r>
            <w:r w:rsidRPr="004865EF">
              <w:rPr>
                <w:rFonts w:ascii="Times New Roman" w:eastAsia="宋体" w:hAnsi="Times New Roman" w:cs="Times New Roman"/>
                <w:b/>
                <w:bCs/>
                <w:sz w:val="22"/>
                <w:szCs w:val="21"/>
              </w:rPr>
              <w:t>）</w:t>
            </w:r>
          </w:p>
        </w:tc>
      </w:tr>
      <w:tr w:rsidR="004865EF" w:rsidRPr="004865EF" w14:paraId="43327E99" w14:textId="77777777" w:rsidTr="00E43A69">
        <w:trPr>
          <w:trHeight w:val="397"/>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14:paraId="6020630B" w14:textId="77777777" w:rsidR="00BE2F4A" w:rsidRPr="004865EF" w:rsidRDefault="00BE2F4A" w:rsidP="00D752CA">
            <w:pPr>
              <w:widowControl/>
              <w:rPr>
                <w:rFonts w:ascii="Times New Roman" w:eastAsia="宋体" w:hAnsi="Times New Roman" w:cs="Times New Roman"/>
                <w:b/>
                <w:bCs/>
                <w:szCs w:val="20"/>
              </w:rPr>
            </w:pPr>
            <w:r w:rsidRPr="004865EF">
              <w:rPr>
                <w:rFonts w:ascii="Times New Roman" w:eastAsia="宋体" w:hAnsi="Times New Roman" w:cs="Times New Roman"/>
                <w:b/>
                <w:bCs/>
                <w:szCs w:val="20"/>
              </w:rPr>
              <w:t>资产总计</w:t>
            </w:r>
          </w:p>
        </w:tc>
        <w:tc>
          <w:tcPr>
            <w:tcW w:w="1282" w:type="dxa"/>
            <w:tcBorders>
              <w:top w:val="nil"/>
              <w:left w:val="nil"/>
              <w:bottom w:val="single" w:sz="4" w:space="0" w:color="auto"/>
              <w:right w:val="single" w:sz="4" w:space="0" w:color="auto"/>
            </w:tcBorders>
            <w:shd w:val="clear" w:color="auto" w:fill="auto"/>
            <w:noWrap/>
            <w:vAlign w:val="center"/>
            <w:hideMark/>
          </w:tcPr>
          <w:p w14:paraId="558488BE"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44,363.24</w:t>
            </w:r>
          </w:p>
        </w:tc>
        <w:tc>
          <w:tcPr>
            <w:tcW w:w="1282" w:type="dxa"/>
            <w:tcBorders>
              <w:top w:val="nil"/>
              <w:left w:val="nil"/>
              <w:bottom w:val="single" w:sz="4" w:space="0" w:color="auto"/>
              <w:right w:val="single" w:sz="4" w:space="0" w:color="auto"/>
            </w:tcBorders>
            <w:shd w:val="clear" w:color="auto" w:fill="auto"/>
            <w:noWrap/>
            <w:vAlign w:val="center"/>
            <w:hideMark/>
          </w:tcPr>
          <w:p w14:paraId="587EC281"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92,333.64</w:t>
            </w:r>
          </w:p>
        </w:tc>
        <w:tc>
          <w:tcPr>
            <w:tcW w:w="1282" w:type="dxa"/>
            <w:tcBorders>
              <w:top w:val="nil"/>
              <w:left w:val="nil"/>
              <w:bottom w:val="single" w:sz="4" w:space="0" w:color="auto"/>
              <w:right w:val="single" w:sz="4" w:space="0" w:color="auto"/>
            </w:tcBorders>
            <w:shd w:val="clear" w:color="auto" w:fill="auto"/>
            <w:noWrap/>
            <w:vAlign w:val="center"/>
            <w:hideMark/>
          </w:tcPr>
          <w:p w14:paraId="11F8B4C5"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47,970.40</w:t>
            </w:r>
          </w:p>
        </w:tc>
        <w:tc>
          <w:tcPr>
            <w:tcW w:w="1628" w:type="dxa"/>
            <w:tcBorders>
              <w:top w:val="nil"/>
              <w:left w:val="nil"/>
              <w:bottom w:val="single" w:sz="4" w:space="0" w:color="auto"/>
              <w:right w:val="single" w:sz="4" w:space="0" w:color="auto"/>
            </w:tcBorders>
            <w:shd w:val="clear" w:color="auto" w:fill="auto"/>
            <w:noWrap/>
            <w:vAlign w:val="center"/>
            <w:hideMark/>
          </w:tcPr>
          <w:p w14:paraId="0D3B9E3F"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108.13</w:t>
            </w:r>
          </w:p>
        </w:tc>
      </w:tr>
      <w:tr w:rsidR="004865EF" w:rsidRPr="004865EF" w14:paraId="0D365698" w14:textId="77777777" w:rsidTr="00E43A69">
        <w:trPr>
          <w:trHeight w:val="397"/>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14:paraId="032F97C4" w14:textId="77777777" w:rsidR="00BE2F4A" w:rsidRPr="004865EF" w:rsidRDefault="00BE2F4A" w:rsidP="00D752CA">
            <w:pPr>
              <w:widowControl/>
              <w:ind w:leftChars="100" w:left="210"/>
              <w:rPr>
                <w:rFonts w:ascii="Times New Roman" w:eastAsia="宋体" w:hAnsi="Times New Roman" w:cs="Times New Roman"/>
                <w:szCs w:val="20"/>
              </w:rPr>
            </w:pPr>
            <w:r w:rsidRPr="004865EF">
              <w:rPr>
                <w:rFonts w:ascii="Times New Roman" w:eastAsia="宋体" w:hAnsi="Times New Roman" w:cs="Times New Roman"/>
                <w:szCs w:val="20"/>
              </w:rPr>
              <w:t>其中：固定资产</w:t>
            </w:r>
          </w:p>
        </w:tc>
        <w:tc>
          <w:tcPr>
            <w:tcW w:w="1282" w:type="dxa"/>
            <w:tcBorders>
              <w:top w:val="nil"/>
              <w:left w:val="nil"/>
              <w:bottom w:val="single" w:sz="4" w:space="0" w:color="auto"/>
              <w:right w:val="single" w:sz="4" w:space="0" w:color="auto"/>
            </w:tcBorders>
            <w:shd w:val="clear" w:color="auto" w:fill="auto"/>
            <w:noWrap/>
            <w:vAlign w:val="center"/>
            <w:hideMark/>
          </w:tcPr>
          <w:p w14:paraId="53DDE80F"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4,981.27</w:t>
            </w:r>
          </w:p>
        </w:tc>
        <w:tc>
          <w:tcPr>
            <w:tcW w:w="1282" w:type="dxa"/>
            <w:tcBorders>
              <w:top w:val="nil"/>
              <w:left w:val="nil"/>
              <w:bottom w:val="single" w:sz="4" w:space="0" w:color="auto"/>
              <w:right w:val="single" w:sz="4" w:space="0" w:color="auto"/>
            </w:tcBorders>
            <w:shd w:val="clear" w:color="auto" w:fill="auto"/>
            <w:noWrap/>
            <w:vAlign w:val="center"/>
            <w:hideMark/>
          </w:tcPr>
          <w:p w14:paraId="031C6797"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26,842.78</w:t>
            </w:r>
          </w:p>
        </w:tc>
        <w:tc>
          <w:tcPr>
            <w:tcW w:w="1282" w:type="dxa"/>
            <w:tcBorders>
              <w:top w:val="nil"/>
              <w:left w:val="nil"/>
              <w:bottom w:val="single" w:sz="4" w:space="0" w:color="auto"/>
              <w:right w:val="single" w:sz="4" w:space="0" w:color="auto"/>
            </w:tcBorders>
            <w:shd w:val="clear" w:color="auto" w:fill="auto"/>
            <w:noWrap/>
            <w:vAlign w:val="center"/>
            <w:hideMark/>
          </w:tcPr>
          <w:p w14:paraId="73BEB1B1"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21,861.51</w:t>
            </w:r>
          </w:p>
        </w:tc>
        <w:tc>
          <w:tcPr>
            <w:tcW w:w="1628" w:type="dxa"/>
            <w:tcBorders>
              <w:top w:val="nil"/>
              <w:left w:val="nil"/>
              <w:bottom w:val="single" w:sz="4" w:space="0" w:color="auto"/>
              <w:right w:val="single" w:sz="4" w:space="0" w:color="auto"/>
            </w:tcBorders>
            <w:shd w:val="clear" w:color="auto" w:fill="auto"/>
            <w:noWrap/>
            <w:vAlign w:val="center"/>
            <w:hideMark/>
          </w:tcPr>
          <w:p w14:paraId="75B3C916"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438.87</w:t>
            </w:r>
          </w:p>
        </w:tc>
      </w:tr>
      <w:tr w:rsidR="004865EF" w:rsidRPr="004865EF" w14:paraId="0BE88491" w14:textId="77777777" w:rsidTr="00E43A69">
        <w:trPr>
          <w:trHeight w:val="397"/>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14:paraId="78A4B399" w14:textId="77777777" w:rsidR="00BE2F4A" w:rsidRPr="004865EF" w:rsidRDefault="00BE2F4A" w:rsidP="00D752CA">
            <w:pPr>
              <w:widowControl/>
              <w:ind w:leftChars="400" w:left="840"/>
              <w:rPr>
                <w:rFonts w:ascii="Times New Roman" w:eastAsia="宋体" w:hAnsi="Times New Roman" w:cs="Times New Roman"/>
                <w:szCs w:val="20"/>
              </w:rPr>
            </w:pPr>
            <w:r w:rsidRPr="004865EF">
              <w:rPr>
                <w:rFonts w:ascii="Times New Roman" w:eastAsia="宋体" w:hAnsi="Times New Roman" w:cs="Times New Roman"/>
                <w:szCs w:val="20"/>
              </w:rPr>
              <w:t>在建工程</w:t>
            </w:r>
          </w:p>
        </w:tc>
        <w:tc>
          <w:tcPr>
            <w:tcW w:w="1282" w:type="dxa"/>
            <w:tcBorders>
              <w:top w:val="nil"/>
              <w:left w:val="nil"/>
              <w:bottom w:val="single" w:sz="4" w:space="0" w:color="auto"/>
              <w:right w:val="single" w:sz="4" w:space="0" w:color="auto"/>
            </w:tcBorders>
            <w:shd w:val="clear" w:color="auto" w:fill="auto"/>
            <w:noWrap/>
            <w:vAlign w:val="center"/>
            <w:hideMark/>
          </w:tcPr>
          <w:p w14:paraId="618ADF21"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25,494.73</w:t>
            </w:r>
          </w:p>
        </w:tc>
        <w:tc>
          <w:tcPr>
            <w:tcW w:w="1282" w:type="dxa"/>
            <w:tcBorders>
              <w:top w:val="nil"/>
              <w:left w:val="nil"/>
              <w:bottom w:val="single" w:sz="4" w:space="0" w:color="auto"/>
              <w:right w:val="single" w:sz="4" w:space="0" w:color="auto"/>
            </w:tcBorders>
            <w:shd w:val="clear" w:color="auto" w:fill="auto"/>
            <w:noWrap/>
            <w:vAlign w:val="center"/>
            <w:hideMark/>
          </w:tcPr>
          <w:p w14:paraId="279EDA38"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56,412.00</w:t>
            </w:r>
          </w:p>
        </w:tc>
        <w:tc>
          <w:tcPr>
            <w:tcW w:w="1282" w:type="dxa"/>
            <w:tcBorders>
              <w:top w:val="nil"/>
              <w:left w:val="nil"/>
              <w:bottom w:val="single" w:sz="4" w:space="0" w:color="auto"/>
              <w:right w:val="single" w:sz="4" w:space="0" w:color="auto"/>
            </w:tcBorders>
            <w:shd w:val="clear" w:color="auto" w:fill="auto"/>
            <w:noWrap/>
            <w:vAlign w:val="center"/>
            <w:hideMark/>
          </w:tcPr>
          <w:p w14:paraId="14265908"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30,917.27</w:t>
            </w:r>
          </w:p>
        </w:tc>
        <w:tc>
          <w:tcPr>
            <w:tcW w:w="1628" w:type="dxa"/>
            <w:tcBorders>
              <w:top w:val="nil"/>
              <w:left w:val="nil"/>
              <w:bottom w:val="single" w:sz="4" w:space="0" w:color="auto"/>
              <w:right w:val="single" w:sz="4" w:space="0" w:color="auto"/>
            </w:tcBorders>
            <w:shd w:val="clear" w:color="auto" w:fill="auto"/>
            <w:noWrap/>
            <w:vAlign w:val="center"/>
            <w:hideMark/>
          </w:tcPr>
          <w:p w14:paraId="1E3254B6"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121.27</w:t>
            </w:r>
          </w:p>
        </w:tc>
      </w:tr>
      <w:tr w:rsidR="004865EF" w:rsidRPr="004865EF" w14:paraId="58AD3ADC" w14:textId="77777777" w:rsidTr="00E43A69">
        <w:trPr>
          <w:trHeight w:val="397"/>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14:paraId="723255DC" w14:textId="77777777" w:rsidR="00BE2F4A" w:rsidRPr="004865EF" w:rsidRDefault="00BE2F4A" w:rsidP="00D752CA">
            <w:pPr>
              <w:widowControl/>
              <w:ind w:leftChars="400" w:left="840"/>
              <w:rPr>
                <w:rFonts w:ascii="Times New Roman" w:eastAsia="宋体" w:hAnsi="Times New Roman" w:cs="Times New Roman"/>
                <w:szCs w:val="20"/>
              </w:rPr>
            </w:pPr>
            <w:r w:rsidRPr="004865EF">
              <w:rPr>
                <w:rFonts w:ascii="Times New Roman" w:eastAsia="宋体" w:hAnsi="Times New Roman" w:cs="Times New Roman"/>
                <w:szCs w:val="20"/>
              </w:rPr>
              <w:t>无形资产</w:t>
            </w:r>
          </w:p>
        </w:tc>
        <w:tc>
          <w:tcPr>
            <w:tcW w:w="1282" w:type="dxa"/>
            <w:tcBorders>
              <w:top w:val="nil"/>
              <w:left w:val="nil"/>
              <w:bottom w:val="single" w:sz="4" w:space="0" w:color="auto"/>
              <w:right w:val="single" w:sz="4" w:space="0" w:color="auto"/>
            </w:tcBorders>
            <w:shd w:val="clear" w:color="auto" w:fill="auto"/>
            <w:noWrap/>
            <w:vAlign w:val="center"/>
            <w:hideMark/>
          </w:tcPr>
          <w:p w14:paraId="1014D90D"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4,808.38</w:t>
            </w:r>
          </w:p>
        </w:tc>
        <w:tc>
          <w:tcPr>
            <w:tcW w:w="1282" w:type="dxa"/>
            <w:tcBorders>
              <w:top w:val="nil"/>
              <w:left w:val="nil"/>
              <w:bottom w:val="single" w:sz="4" w:space="0" w:color="auto"/>
              <w:right w:val="single" w:sz="4" w:space="0" w:color="auto"/>
            </w:tcBorders>
            <w:shd w:val="clear" w:color="auto" w:fill="auto"/>
            <w:noWrap/>
            <w:vAlign w:val="center"/>
            <w:hideMark/>
          </w:tcPr>
          <w:p w14:paraId="0AD79294"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w:t>
            </w:r>
          </w:p>
        </w:tc>
        <w:tc>
          <w:tcPr>
            <w:tcW w:w="1282" w:type="dxa"/>
            <w:tcBorders>
              <w:top w:val="nil"/>
              <w:left w:val="nil"/>
              <w:bottom w:val="single" w:sz="4" w:space="0" w:color="auto"/>
              <w:right w:val="single" w:sz="4" w:space="0" w:color="auto"/>
            </w:tcBorders>
            <w:shd w:val="clear" w:color="auto" w:fill="auto"/>
            <w:noWrap/>
            <w:vAlign w:val="center"/>
            <w:hideMark/>
          </w:tcPr>
          <w:p w14:paraId="0B1EFCDA"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-4,808.38</w:t>
            </w:r>
          </w:p>
        </w:tc>
        <w:tc>
          <w:tcPr>
            <w:tcW w:w="1628" w:type="dxa"/>
            <w:tcBorders>
              <w:top w:val="nil"/>
              <w:left w:val="nil"/>
              <w:bottom w:val="single" w:sz="4" w:space="0" w:color="auto"/>
              <w:right w:val="single" w:sz="4" w:space="0" w:color="auto"/>
            </w:tcBorders>
            <w:shd w:val="clear" w:color="auto" w:fill="auto"/>
            <w:noWrap/>
            <w:vAlign w:val="center"/>
            <w:hideMark/>
          </w:tcPr>
          <w:p w14:paraId="3ED6FCCE" w14:textId="77777777" w:rsidR="00BE2F4A" w:rsidRPr="004865EF" w:rsidRDefault="00BE2F4A" w:rsidP="00D752CA">
            <w:pPr>
              <w:widowControl/>
              <w:jc w:val="right"/>
              <w:rPr>
                <w:rFonts w:ascii="Times New Roman" w:eastAsiaTheme="majorEastAsia" w:hAnsi="Times New Roman" w:cs="Times New Roman"/>
                <w:kern w:val="0"/>
                <w:szCs w:val="21"/>
              </w:rPr>
            </w:pPr>
            <w:r w:rsidRPr="004865EF">
              <w:rPr>
                <w:rFonts w:ascii="Times New Roman" w:eastAsiaTheme="majorEastAsia" w:hAnsi="Times New Roman" w:cs="Times New Roman"/>
                <w:kern w:val="0"/>
                <w:szCs w:val="21"/>
              </w:rPr>
              <w:t>-100.00</w:t>
            </w:r>
          </w:p>
        </w:tc>
      </w:tr>
      <w:tr w:rsidR="004865EF" w:rsidRPr="004865EF" w14:paraId="2ACDF8FC" w14:textId="77777777" w:rsidTr="00E43A69">
        <w:trPr>
          <w:trHeight w:val="397"/>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14:paraId="08B7E377" w14:textId="77777777" w:rsidR="00BE2F4A" w:rsidRPr="004865EF" w:rsidRDefault="00BE2F4A" w:rsidP="00D752CA">
            <w:pPr>
              <w:widowControl/>
              <w:rPr>
                <w:rFonts w:ascii="Times New Roman" w:eastAsia="宋体" w:hAnsi="Times New Roman" w:cs="Times New Roman"/>
                <w:b/>
                <w:bCs/>
                <w:szCs w:val="20"/>
              </w:rPr>
            </w:pPr>
            <w:r w:rsidRPr="004865EF">
              <w:rPr>
                <w:rFonts w:ascii="Times New Roman" w:eastAsia="宋体" w:hAnsi="Times New Roman" w:cs="Times New Roman"/>
                <w:b/>
                <w:bCs/>
                <w:szCs w:val="20"/>
              </w:rPr>
              <w:t>负债总计</w:t>
            </w:r>
          </w:p>
        </w:tc>
        <w:tc>
          <w:tcPr>
            <w:tcW w:w="1282" w:type="dxa"/>
            <w:tcBorders>
              <w:top w:val="nil"/>
              <w:left w:val="nil"/>
              <w:bottom w:val="single" w:sz="4" w:space="0" w:color="auto"/>
              <w:right w:val="single" w:sz="4" w:space="0" w:color="auto"/>
            </w:tcBorders>
            <w:shd w:val="clear" w:color="auto" w:fill="auto"/>
            <w:noWrap/>
            <w:vAlign w:val="center"/>
            <w:hideMark/>
          </w:tcPr>
          <w:p w14:paraId="119E0208"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33,845.99</w:t>
            </w:r>
          </w:p>
        </w:tc>
        <w:tc>
          <w:tcPr>
            <w:tcW w:w="1282" w:type="dxa"/>
            <w:tcBorders>
              <w:top w:val="nil"/>
              <w:left w:val="nil"/>
              <w:bottom w:val="single" w:sz="4" w:space="0" w:color="auto"/>
              <w:right w:val="single" w:sz="4" w:space="0" w:color="auto"/>
            </w:tcBorders>
            <w:shd w:val="clear" w:color="auto" w:fill="auto"/>
            <w:noWrap/>
            <w:vAlign w:val="center"/>
            <w:hideMark/>
          </w:tcPr>
          <w:p w14:paraId="75C0B06A"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33,845.99</w:t>
            </w:r>
          </w:p>
        </w:tc>
        <w:tc>
          <w:tcPr>
            <w:tcW w:w="1282" w:type="dxa"/>
            <w:tcBorders>
              <w:top w:val="nil"/>
              <w:left w:val="nil"/>
              <w:bottom w:val="single" w:sz="4" w:space="0" w:color="auto"/>
              <w:right w:val="single" w:sz="4" w:space="0" w:color="auto"/>
            </w:tcBorders>
            <w:shd w:val="clear" w:color="auto" w:fill="auto"/>
            <w:noWrap/>
            <w:vAlign w:val="center"/>
            <w:hideMark/>
          </w:tcPr>
          <w:p w14:paraId="7C3CC598"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w:t>
            </w:r>
          </w:p>
        </w:tc>
        <w:tc>
          <w:tcPr>
            <w:tcW w:w="1628" w:type="dxa"/>
            <w:tcBorders>
              <w:top w:val="nil"/>
              <w:left w:val="nil"/>
              <w:bottom w:val="single" w:sz="4" w:space="0" w:color="auto"/>
              <w:right w:val="single" w:sz="4" w:space="0" w:color="auto"/>
            </w:tcBorders>
            <w:shd w:val="clear" w:color="auto" w:fill="auto"/>
            <w:noWrap/>
            <w:vAlign w:val="center"/>
            <w:hideMark/>
          </w:tcPr>
          <w:p w14:paraId="4275586C"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w:t>
            </w:r>
          </w:p>
        </w:tc>
      </w:tr>
      <w:tr w:rsidR="004865EF" w:rsidRPr="004865EF" w14:paraId="00F1624B" w14:textId="77777777" w:rsidTr="00E43A69">
        <w:trPr>
          <w:trHeight w:val="397"/>
        </w:trPr>
        <w:tc>
          <w:tcPr>
            <w:tcW w:w="3075" w:type="dxa"/>
            <w:tcBorders>
              <w:top w:val="nil"/>
              <w:left w:val="single" w:sz="4" w:space="0" w:color="auto"/>
              <w:bottom w:val="single" w:sz="4" w:space="0" w:color="auto"/>
              <w:right w:val="single" w:sz="4" w:space="0" w:color="auto"/>
            </w:tcBorders>
            <w:shd w:val="clear" w:color="auto" w:fill="auto"/>
            <w:noWrap/>
            <w:vAlign w:val="center"/>
            <w:hideMark/>
          </w:tcPr>
          <w:p w14:paraId="3AD5958B" w14:textId="77777777" w:rsidR="00BE2F4A" w:rsidRPr="004865EF" w:rsidRDefault="00BE2F4A" w:rsidP="00D752CA">
            <w:pPr>
              <w:widowControl/>
              <w:rPr>
                <w:rFonts w:ascii="Times New Roman" w:eastAsia="宋体" w:hAnsi="Times New Roman" w:cs="Times New Roman"/>
                <w:b/>
                <w:bCs/>
                <w:szCs w:val="20"/>
              </w:rPr>
            </w:pPr>
            <w:r w:rsidRPr="004865EF">
              <w:rPr>
                <w:rFonts w:ascii="Times New Roman" w:eastAsia="宋体" w:hAnsi="Times New Roman" w:cs="Times New Roman"/>
                <w:b/>
                <w:bCs/>
                <w:szCs w:val="20"/>
              </w:rPr>
              <w:t>股东权益合计</w:t>
            </w:r>
          </w:p>
        </w:tc>
        <w:tc>
          <w:tcPr>
            <w:tcW w:w="1282" w:type="dxa"/>
            <w:tcBorders>
              <w:top w:val="nil"/>
              <w:left w:val="nil"/>
              <w:bottom w:val="single" w:sz="4" w:space="0" w:color="auto"/>
              <w:right w:val="single" w:sz="4" w:space="0" w:color="auto"/>
            </w:tcBorders>
            <w:shd w:val="clear" w:color="auto" w:fill="auto"/>
            <w:noWrap/>
            <w:vAlign w:val="center"/>
            <w:hideMark/>
          </w:tcPr>
          <w:p w14:paraId="2ED6BF9A"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10,517.25</w:t>
            </w:r>
          </w:p>
        </w:tc>
        <w:tc>
          <w:tcPr>
            <w:tcW w:w="1282" w:type="dxa"/>
            <w:tcBorders>
              <w:top w:val="nil"/>
              <w:left w:val="nil"/>
              <w:bottom w:val="single" w:sz="4" w:space="0" w:color="auto"/>
              <w:right w:val="single" w:sz="4" w:space="0" w:color="auto"/>
            </w:tcBorders>
            <w:shd w:val="clear" w:color="auto" w:fill="auto"/>
            <w:noWrap/>
            <w:vAlign w:val="center"/>
            <w:hideMark/>
          </w:tcPr>
          <w:p w14:paraId="7F814312"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58,487.65</w:t>
            </w:r>
          </w:p>
        </w:tc>
        <w:tc>
          <w:tcPr>
            <w:tcW w:w="1282" w:type="dxa"/>
            <w:tcBorders>
              <w:top w:val="nil"/>
              <w:left w:val="nil"/>
              <w:bottom w:val="single" w:sz="4" w:space="0" w:color="auto"/>
              <w:right w:val="single" w:sz="4" w:space="0" w:color="auto"/>
            </w:tcBorders>
            <w:shd w:val="clear" w:color="auto" w:fill="auto"/>
            <w:noWrap/>
            <w:vAlign w:val="center"/>
            <w:hideMark/>
          </w:tcPr>
          <w:p w14:paraId="1CF6F85C"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47,970.40</w:t>
            </w:r>
          </w:p>
        </w:tc>
        <w:tc>
          <w:tcPr>
            <w:tcW w:w="1628" w:type="dxa"/>
            <w:tcBorders>
              <w:top w:val="nil"/>
              <w:left w:val="nil"/>
              <w:bottom w:val="single" w:sz="4" w:space="0" w:color="auto"/>
              <w:right w:val="single" w:sz="4" w:space="0" w:color="auto"/>
            </w:tcBorders>
            <w:shd w:val="clear" w:color="auto" w:fill="auto"/>
            <w:noWrap/>
            <w:vAlign w:val="center"/>
            <w:hideMark/>
          </w:tcPr>
          <w:p w14:paraId="49A2ADC6" w14:textId="77777777" w:rsidR="00BE2F4A" w:rsidRPr="004865EF" w:rsidRDefault="00BE2F4A" w:rsidP="00D752CA">
            <w:pPr>
              <w:widowControl/>
              <w:jc w:val="right"/>
              <w:rPr>
                <w:rFonts w:ascii="Times New Roman" w:eastAsiaTheme="majorEastAsia" w:hAnsi="Times New Roman" w:cs="Times New Roman"/>
                <w:b/>
                <w:bCs/>
                <w:kern w:val="0"/>
                <w:szCs w:val="21"/>
              </w:rPr>
            </w:pPr>
            <w:r w:rsidRPr="004865EF">
              <w:rPr>
                <w:rFonts w:ascii="Times New Roman" w:eastAsiaTheme="majorEastAsia" w:hAnsi="Times New Roman" w:cs="Times New Roman"/>
                <w:b/>
                <w:bCs/>
                <w:kern w:val="0"/>
                <w:szCs w:val="21"/>
              </w:rPr>
              <w:t>456.11</w:t>
            </w:r>
          </w:p>
        </w:tc>
      </w:tr>
    </w:tbl>
    <w:p w14:paraId="47549729" w14:textId="77777777" w:rsidR="004A3612" w:rsidRPr="004865EF" w:rsidRDefault="00BE2F4A" w:rsidP="0014561B">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根据上表，智达云创评估增值主要为固定资产和在建工程增值，无形资产</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土地使用权的评估价值已包含在固定资产和在建工程的评估值中，故无形资产评估值为零。</w:t>
      </w:r>
    </w:p>
    <w:p w14:paraId="4BAB294C" w14:textId="7C3AD6B6" w:rsidR="00913481" w:rsidRPr="004865EF" w:rsidRDefault="00486972" w:rsidP="00FE02AF">
      <w:pPr>
        <w:adjustRightInd w:val="0"/>
        <w:snapToGrid w:val="0"/>
        <w:spacing w:beforeLines="50" w:before="120" w:afterLines="50" w:after="120" w:line="360" w:lineRule="auto"/>
        <w:ind w:firstLineChars="200" w:firstLine="482"/>
        <w:rPr>
          <w:rFonts w:ascii="楷体" w:eastAsia="楷体" w:hAnsi="楷体" w:cs="Times New Roman"/>
          <w:b/>
          <w:sz w:val="24"/>
          <w:szCs w:val="22"/>
        </w:rPr>
      </w:pPr>
      <w:r w:rsidRPr="004865EF">
        <w:rPr>
          <w:rFonts w:ascii="楷体" w:eastAsia="楷体" w:hAnsi="楷体" w:cs="Times New Roman" w:hint="eastAsia"/>
          <w:b/>
          <w:sz w:val="24"/>
          <w:szCs w:val="22"/>
        </w:rPr>
        <w:t>智达云创</w:t>
      </w:r>
      <w:r w:rsidR="00A802EF" w:rsidRPr="004865EF">
        <w:rPr>
          <w:rFonts w:ascii="楷体" w:eastAsia="楷体" w:hAnsi="楷体" w:cs="Times New Roman" w:hint="eastAsia"/>
          <w:b/>
          <w:sz w:val="24"/>
          <w:szCs w:val="22"/>
        </w:rPr>
        <w:t>的经营范围主要为因特网数据中心业务和接入服务，但自分立设立至评估报告出具日，</w:t>
      </w:r>
      <w:proofErr w:type="gramStart"/>
      <w:r w:rsidR="00A802EF" w:rsidRPr="004865EF">
        <w:rPr>
          <w:rFonts w:ascii="楷体" w:eastAsia="楷体" w:hAnsi="楷体" w:cs="Times New Roman" w:hint="eastAsia"/>
          <w:b/>
          <w:sz w:val="24"/>
          <w:szCs w:val="22"/>
        </w:rPr>
        <w:t>智达云创除房屋</w:t>
      </w:r>
      <w:proofErr w:type="gramEnd"/>
      <w:r w:rsidR="00A802EF" w:rsidRPr="004865EF">
        <w:rPr>
          <w:rFonts w:ascii="楷体" w:eastAsia="楷体" w:hAnsi="楷体" w:cs="Times New Roman" w:hint="eastAsia"/>
          <w:b/>
          <w:sz w:val="24"/>
          <w:szCs w:val="22"/>
        </w:rPr>
        <w:t>租赁外，尚未独立开展数据中心相关业务，无法提供未来盈利预测，同时无法找到与评估对象相同或相似的可比企业交易案例，因此不适用收益法和市场法进行评估；智达云创的主要资产为土地、房产，公司本次以增资方式收购智达云创6</w:t>
      </w:r>
      <w:r w:rsidR="00A802EF" w:rsidRPr="004865EF">
        <w:rPr>
          <w:rFonts w:ascii="楷体" w:eastAsia="楷体" w:hAnsi="楷体" w:cs="Times New Roman"/>
          <w:b/>
          <w:sz w:val="24"/>
          <w:szCs w:val="22"/>
        </w:rPr>
        <w:t>5%</w:t>
      </w:r>
      <w:r w:rsidR="00A802EF" w:rsidRPr="004865EF">
        <w:rPr>
          <w:rFonts w:ascii="楷体" w:eastAsia="楷体" w:hAnsi="楷体" w:cs="Times New Roman" w:hint="eastAsia"/>
          <w:b/>
          <w:sz w:val="24"/>
          <w:szCs w:val="22"/>
        </w:rPr>
        <w:t>股权，主要目的是取得智达云创持有的房产和土地所有权。</w:t>
      </w:r>
      <w:r w:rsidRPr="004865EF">
        <w:rPr>
          <w:rFonts w:ascii="楷体" w:eastAsia="楷体" w:hAnsi="楷体" w:cs="Times New Roman" w:hint="eastAsia"/>
          <w:b/>
          <w:sz w:val="24"/>
          <w:szCs w:val="22"/>
        </w:rPr>
        <w:t>因此，</w:t>
      </w:r>
      <w:r w:rsidR="00A802EF" w:rsidRPr="004865EF">
        <w:rPr>
          <w:rFonts w:ascii="楷体" w:eastAsia="楷体" w:hAnsi="楷体" w:cs="Times New Roman" w:hint="eastAsia"/>
          <w:b/>
          <w:sz w:val="24"/>
          <w:szCs w:val="22"/>
        </w:rPr>
        <w:t>基于本次交易的目的实质，并结合评估的客观</w:t>
      </w:r>
      <w:r w:rsidR="00A802EF" w:rsidRPr="004865EF">
        <w:rPr>
          <w:rFonts w:ascii="楷体" w:eastAsia="楷体" w:hAnsi="楷体" w:cs="Times New Roman" w:hint="eastAsia"/>
          <w:b/>
          <w:sz w:val="24"/>
          <w:szCs w:val="22"/>
        </w:rPr>
        <w:lastRenderedPageBreak/>
        <w:t>条件，本次</w:t>
      </w:r>
      <w:r w:rsidRPr="004865EF">
        <w:rPr>
          <w:rFonts w:ascii="楷体" w:eastAsia="楷体" w:hAnsi="楷体" w:cs="Times New Roman" w:hint="eastAsia"/>
          <w:b/>
          <w:sz w:val="24"/>
          <w:szCs w:val="22"/>
        </w:rPr>
        <w:t>智达云创股东权益价值</w:t>
      </w:r>
      <w:proofErr w:type="gramStart"/>
      <w:r w:rsidRPr="004865EF">
        <w:rPr>
          <w:rFonts w:ascii="楷体" w:eastAsia="楷体" w:hAnsi="楷体" w:cs="Times New Roman" w:hint="eastAsia"/>
          <w:b/>
          <w:sz w:val="24"/>
          <w:szCs w:val="22"/>
        </w:rPr>
        <w:t>评估</w:t>
      </w:r>
      <w:r w:rsidR="00A802EF" w:rsidRPr="004865EF">
        <w:rPr>
          <w:rFonts w:ascii="楷体" w:eastAsia="楷体" w:hAnsi="楷体" w:cs="Times New Roman" w:hint="eastAsia"/>
          <w:b/>
          <w:sz w:val="24"/>
          <w:szCs w:val="22"/>
        </w:rPr>
        <w:t>仅</w:t>
      </w:r>
      <w:proofErr w:type="gramEnd"/>
      <w:r w:rsidRPr="004865EF">
        <w:rPr>
          <w:rFonts w:ascii="楷体" w:eastAsia="楷体" w:hAnsi="楷体" w:cs="Times New Roman" w:hint="eastAsia"/>
          <w:b/>
          <w:sz w:val="24"/>
          <w:szCs w:val="22"/>
        </w:rPr>
        <w:t>采用资产基础法</w:t>
      </w:r>
      <w:r w:rsidR="00913481" w:rsidRPr="004865EF">
        <w:rPr>
          <w:rFonts w:ascii="楷体" w:eastAsia="楷体" w:hAnsi="楷体" w:cs="Times New Roman" w:hint="eastAsia"/>
          <w:b/>
          <w:sz w:val="24"/>
          <w:szCs w:val="22"/>
        </w:rPr>
        <w:t>。</w:t>
      </w:r>
    </w:p>
    <w:p w14:paraId="1337D76A" w14:textId="36BEB290" w:rsidR="00B82D7F" w:rsidRPr="004865EF" w:rsidRDefault="00913481" w:rsidP="00FE02AF">
      <w:pPr>
        <w:adjustRightInd w:val="0"/>
        <w:snapToGrid w:val="0"/>
        <w:spacing w:beforeLines="50" w:before="120" w:afterLines="50" w:after="120" w:line="360" w:lineRule="auto"/>
        <w:ind w:firstLineChars="200" w:firstLine="482"/>
        <w:rPr>
          <w:rFonts w:ascii="Times New Roman" w:eastAsia="宋体" w:hAnsi="Times New Roman" w:cs="Times New Roman"/>
          <w:sz w:val="24"/>
          <w:szCs w:val="22"/>
        </w:rPr>
      </w:pPr>
      <w:r w:rsidRPr="004865EF">
        <w:rPr>
          <w:rFonts w:ascii="楷体" w:eastAsia="楷体" w:hAnsi="楷体" w:cs="Times New Roman" w:hint="eastAsia"/>
          <w:b/>
          <w:sz w:val="24"/>
          <w:szCs w:val="22"/>
        </w:rPr>
        <w:t>智达云创</w:t>
      </w:r>
      <w:r w:rsidR="00795EE5" w:rsidRPr="004865EF">
        <w:rPr>
          <w:rFonts w:ascii="楷体" w:eastAsia="楷体" w:hAnsi="楷体" w:cs="Times New Roman" w:hint="eastAsia"/>
          <w:b/>
          <w:sz w:val="24"/>
          <w:szCs w:val="22"/>
        </w:rPr>
        <w:t>本次资产基础法评估</w:t>
      </w:r>
      <w:r w:rsidR="00A802EF" w:rsidRPr="004865EF">
        <w:rPr>
          <w:rFonts w:ascii="楷体" w:eastAsia="楷体" w:hAnsi="楷体" w:cs="Times New Roman" w:hint="eastAsia"/>
          <w:b/>
          <w:sz w:val="24"/>
          <w:szCs w:val="22"/>
        </w:rPr>
        <w:t>，运用了市场法/假设开发法针对固定资产、在建工程（含土地）进行了</w:t>
      </w:r>
      <w:r w:rsidR="00795EE5" w:rsidRPr="004865EF">
        <w:rPr>
          <w:rFonts w:ascii="楷体" w:eastAsia="楷体" w:hAnsi="楷体" w:cs="Times New Roman" w:hint="eastAsia"/>
          <w:b/>
          <w:sz w:val="24"/>
          <w:szCs w:val="22"/>
        </w:rPr>
        <w:t>估值</w:t>
      </w:r>
      <w:r w:rsidR="00A802EF" w:rsidRPr="004865EF">
        <w:rPr>
          <w:rFonts w:ascii="楷体" w:eastAsia="楷体" w:hAnsi="楷体" w:cs="Times New Roman" w:hint="eastAsia"/>
          <w:b/>
          <w:sz w:val="24"/>
          <w:szCs w:val="22"/>
        </w:rPr>
        <w:t>，</w:t>
      </w:r>
      <w:r w:rsidR="00795EE5" w:rsidRPr="004865EF">
        <w:rPr>
          <w:rFonts w:ascii="楷体" w:eastAsia="楷体" w:hAnsi="楷体" w:cs="Times New Roman" w:hint="eastAsia"/>
          <w:b/>
          <w:sz w:val="24"/>
          <w:szCs w:val="22"/>
        </w:rPr>
        <w:t>已</w:t>
      </w:r>
      <w:r w:rsidR="00A802EF" w:rsidRPr="004865EF">
        <w:rPr>
          <w:rFonts w:ascii="楷体" w:eastAsia="楷体" w:hAnsi="楷体" w:cs="Times New Roman" w:hint="eastAsia"/>
          <w:b/>
          <w:sz w:val="24"/>
          <w:szCs w:val="22"/>
        </w:rPr>
        <w:t>公允反应了</w:t>
      </w:r>
      <w:r w:rsidR="00795EE5" w:rsidRPr="004865EF">
        <w:rPr>
          <w:rFonts w:ascii="楷体" w:eastAsia="楷体" w:hAnsi="楷体" w:cs="Times New Roman" w:hint="eastAsia"/>
          <w:b/>
          <w:sz w:val="24"/>
          <w:szCs w:val="22"/>
        </w:rPr>
        <w:t>上述资产的</w:t>
      </w:r>
      <w:r w:rsidR="00A802EF" w:rsidRPr="004865EF">
        <w:rPr>
          <w:rFonts w:ascii="楷体" w:eastAsia="楷体" w:hAnsi="楷体" w:cs="Times New Roman" w:hint="eastAsia"/>
          <w:b/>
          <w:sz w:val="24"/>
          <w:szCs w:val="22"/>
        </w:rPr>
        <w:t>公开市场</w:t>
      </w:r>
      <w:r w:rsidR="00795EE5" w:rsidRPr="004865EF">
        <w:rPr>
          <w:rFonts w:ascii="楷体" w:eastAsia="楷体" w:hAnsi="楷体" w:cs="Times New Roman" w:hint="eastAsia"/>
          <w:b/>
          <w:sz w:val="24"/>
          <w:szCs w:val="22"/>
        </w:rPr>
        <w:t>价值</w:t>
      </w:r>
      <w:r w:rsidR="00A802EF" w:rsidRPr="004865EF">
        <w:rPr>
          <w:rFonts w:ascii="楷体" w:eastAsia="楷体" w:hAnsi="楷体" w:cs="Times New Roman" w:hint="eastAsia"/>
          <w:b/>
          <w:sz w:val="24"/>
          <w:szCs w:val="22"/>
        </w:rPr>
        <w:t>，</w:t>
      </w:r>
      <w:r w:rsidRPr="004865EF">
        <w:rPr>
          <w:rFonts w:ascii="楷体" w:eastAsia="楷体" w:hAnsi="楷体" w:cs="Times New Roman" w:hint="eastAsia"/>
          <w:b/>
          <w:sz w:val="24"/>
          <w:szCs w:val="22"/>
        </w:rPr>
        <w:t>因此</w:t>
      </w:r>
      <w:r w:rsidR="006C57C9" w:rsidRPr="004865EF">
        <w:rPr>
          <w:rFonts w:ascii="楷体" w:eastAsia="楷体" w:hAnsi="楷体" w:cs="Times New Roman" w:hint="eastAsia"/>
          <w:b/>
          <w:sz w:val="24"/>
          <w:szCs w:val="22"/>
        </w:rPr>
        <w:t>不需要额外考虑租赁合同对评估结果的影响。</w:t>
      </w:r>
      <w:r w:rsidR="005A0D25" w:rsidRPr="004865EF">
        <w:rPr>
          <w:rFonts w:ascii="Times New Roman" w:eastAsia="宋体" w:hAnsi="Times New Roman" w:cs="Times New Roman" w:hint="eastAsia"/>
          <w:sz w:val="24"/>
          <w:szCs w:val="22"/>
        </w:rPr>
        <w:t>本次</w:t>
      </w:r>
      <w:r w:rsidR="00B82D7F" w:rsidRPr="004865EF">
        <w:rPr>
          <w:rFonts w:ascii="Times New Roman" w:eastAsia="宋体" w:hAnsi="Times New Roman" w:cs="Times New Roman"/>
          <w:sz w:val="24"/>
          <w:szCs w:val="22"/>
        </w:rPr>
        <w:t>固定资产和在建工程评估的具体方法、主要参数</w:t>
      </w:r>
      <w:r w:rsidR="00B82D7F" w:rsidRPr="004865EF">
        <w:rPr>
          <w:rFonts w:ascii="Times New Roman" w:eastAsia="宋体" w:hAnsi="Times New Roman" w:cs="Times New Roman" w:hint="eastAsia"/>
          <w:sz w:val="24"/>
          <w:szCs w:val="22"/>
        </w:rPr>
        <w:t>等相关情况说明如下：</w:t>
      </w:r>
    </w:p>
    <w:p w14:paraId="604FC271" w14:textId="77777777" w:rsidR="00BE2F4A" w:rsidRPr="004865EF" w:rsidRDefault="00BE2F4A" w:rsidP="00C674CB">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hint="eastAsia"/>
          <w:b/>
          <w:bCs/>
          <w:sz w:val="24"/>
          <w:szCs w:val="22"/>
        </w:rPr>
        <w:t>1</w:t>
      </w:r>
      <w:r w:rsidRPr="004865EF">
        <w:rPr>
          <w:rFonts w:ascii="Times New Roman" w:eastAsia="宋体" w:hAnsi="Times New Roman" w:cs="Times New Roman" w:hint="eastAsia"/>
          <w:b/>
          <w:bCs/>
          <w:sz w:val="24"/>
          <w:szCs w:val="22"/>
        </w:rPr>
        <w:t>、固定资产</w:t>
      </w:r>
    </w:p>
    <w:p w14:paraId="6EE34715" w14:textId="77777777" w:rsidR="00BE2F4A" w:rsidRPr="004865EF" w:rsidRDefault="00BE2F4A" w:rsidP="00E81D06">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智达云创的固定资产是位于河北省廊坊市三河市</w:t>
      </w:r>
      <w:proofErr w:type="gramStart"/>
      <w:r w:rsidRPr="004865EF">
        <w:rPr>
          <w:rFonts w:ascii="Times New Roman" w:eastAsia="宋体" w:hAnsi="Times New Roman" w:cs="Times New Roman" w:hint="eastAsia"/>
          <w:sz w:val="24"/>
          <w:szCs w:val="22"/>
        </w:rPr>
        <w:t>燕郊高新区创意谷街</w:t>
      </w:r>
      <w:r w:rsidRPr="004865EF">
        <w:rPr>
          <w:rFonts w:ascii="Times New Roman" w:eastAsia="宋体" w:hAnsi="Times New Roman" w:cs="Times New Roman" w:hint="eastAsia"/>
          <w:sz w:val="24"/>
          <w:szCs w:val="22"/>
        </w:rPr>
        <w:t>454</w:t>
      </w:r>
      <w:r w:rsidRPr="004865EF">
        <w:rPr>
          <w:rFonts w:ascii="Times New Roman" w:eastAsia="宋体" w:hAnsi="Times New Roman" w:cs="Times New Roman" w:hint="eastAsia"/>
          <w:sz w:val="24"/>
          <w:szCs w:val="22"/>
        </w:rPr>
        <w:t>号</w:t>
      </w:r>
      <w:proofErr w:type="gramEnd"/>
      <w:r w:rsidRPr="004865EF">
        <w:rPr>
          <w:rFonts w:ascii="Times New Roman" w:eastAsia="宋体" w:hAnsi="Times New Roman" w:cs="Times New Roman" w:hint="eastAsia"/>
          <w:sz w:val="24"/>
          <w:szCs w:val="22"/>
        </w:rPr>
        <w:t>的三栋房屋建筑物，是公司燕郊绿色</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基地一二期项目的租赁厂房。目前已取得《冀（</w:t>
      </w:r>
      <w:r w:rsidRPr="004865EF">
        <w:rPr>
          <w:rFonts w:ascii="Times New Roman" w:eastAsia="宋体" w:hAnsi="Times New Roman" w:cs="Times New Roman" w:hint="eastAsia"/>
          <w:sz w:val="24"/>
          <w:szCs w:val="22"/>
        </w:rPr>
        <w:t>2019</w:t>
      </w:r>
      <w:r w:rsidRPr="004865EF">
        <w:rPr>
          <w:rFonts w:ascii="Times New Roman" w:eastAsia="宋体" w:hAnsi="Times New Roman" w:cs="Times New Roman" w:hint="eastAsia"/>
          <w:sz w:val="24"/>
          <w:szCs w:val="22"/>
        </w:rPr>
        <w:t>）三河市内不动产权第</w:t>
      </w:r>
      <w:r w:rsidRPr="004865EF">
        <w:rPr>
          <w:rFonts w:ascii="Times New Roman" w:eastAsia="宋体" w:hAnsi="Times New Roman" w:cs="Times New Roman" w:hint="eastAsia"/>
          <w:sz w:val="24"/>
          <w:szCs w:val="22"/>
        </w:rPr>
        <w:t>0030347</w:t>
      </w:r>
      <w:r w:rsidRPr="004865EF">
        <w:rPr>
          <w:rFonts w:ascii="Times New Roman" w:eastAsia="宋体" w:hAnsi="Times New Roman" w:cs="Times New Roman" w:hint="eastAsia"/>
          <w:sz w:val="24"/>
          <w:szCs w:val="22"/>
        </w:rPr>
        <w:t>号》不动产权证，其</w:t>
      </w:r>
      <w:proofErr w:type="gramStart"/>
      <w:r w:rsidRPr="004865EF">
        <w:rPr>
          <w:rFonts w:ascii="Times New Roman" w:eastAsia="宋体" w:hAnsi="Times New Roman" w:cs="Times New Roman" w:hint="eastAsia"/>
          <w:sz w:val="24"/>
          <w:szCs w:val="22"/>
        </w:rPr>
        <w:t>证载总</w:t>
      </w:r>
      <w:proofErr w:type="gramEnd"/>
      <w:r w:rsidRPr="004865EF">
        <w:rPr>
          <w:rFonts w:ascii="Times New Roman" w:eastAsia="宋体" w:hAnsi="Times New Roman" w:cs="Times New Roman" w:hint="eastAsia"/>
          <w:sz w:val="24"/>
          <w:szCs w:val="22"/>
        </w:rPr>
        <w:t>建筑面积</w:t>
      </w:r>
      <w:r w:rsidRPr="004865EF">
        <w:rPr>
          <w:rFonts w:ascii="Times New Roman" w:eastAsia="宋体" w:hAnsi="Times New Roman" w:cs="Times New Roman" w:hint="eastAsia"/>
          <w:sz w:val="24"/>
          <w:szCs w:val="22"/>
        </w:rPr>
        <w:t>36,736.84</w:t>
      </w:r>
      <w:r w:rsidRPr="004865EF">
        <w:rPr>
          <w:rFonts w:ascii="Times New Roman" w:eastAsia="宋体" w:hAnsi="Times New Roman" w:cs="Times New Roman" w:hint="eastAsia"/>
          <w:sz w:val="24"/>
          <w:szCs w:val="22"/>
        </w:rPr>
        <w:t>平方米，钢混结构，账面价值为</w:t>
      </w:r>
      <w:r w:rsidRPr="004865EF">
        <w:rPr>
          <w:rFonts w:ascii="Times New Roman" w:eastAsia="宋体" w:hAnsi="Times New Roman" w:cs="Times New Roman"/>
          <w:sz w:val="24"/>
          <w:szCs w:val="22"/>
        </w:rPr>
        <w:t>4,981.27</w:t>
      </w:r>
      <w:r w:rsidRPr="004865EF">
        <w:rPr>
          <w:rFonts w:ascii="Times New Roman" w:eastAsia="宋体" w:hAnsi="Times New Roman" w:cs="Times New Roman" w:hint="eastAsia"/>
          <w:sz w:val="24"/>
          <w:szCs w:val="22"/>
        </w:rPr>
        <w:t>万元。三栋房屋建筑物建成于</w:t>
      </w:r>
      <w:r w:rsidRPr="004865EF">
        <w:rPr>
          <w:rFonts w:ascii="Times New Roman" w:eastAsia="宋体" w:hAnsi="Times New Roman" w:cs="Times New Roman" w:hint="eastAsia"/>
          <w:sz w:val="24"/>
          <w:szCs w:val="22"/>
        </w:rPr>
        <w:t>2015</w:t>
      </w:r>
      <w:r w:rsidRPr="004865EF">
        <w:rPr>
          <w:rFonts w:ascii="Times New Roman" w:eastAsia="宋体" w:hAnsi="Times New Roman" w:cs="Times New Roman" w:hint="eastAsia"/>
          <w:sz w:val="24"/>
          <w:szCs w:val="22"/>
        </w:rPr>
        <w:t>年，目前为出租状态，现状较好，具体情况如下：</w:t>
      </w:r>
    </w:p>
    <w:tbl>
      <w:tblPr>
        <w:tblW w:w="8662" w:type="dxa"/>
        <w:jc w:val="center"/>
        <w:tblLayout w:type="fixed"/>
        <w:tblLook w:val="04A0" w:firstRow="1" w:lastRow="0" w:firstColumn="1" w:lastColumn="0" w:noHBand="0" w:noVBand="1"/>
      </w:tblPr>
      <w:tblGrid>
        <w:gridCol w:w="1291"/>
        <w:gridCol w:w="1418"/>
        <w:gridCol w:w="1686"/>
        <w:gridCol w:w="1060"/>
        <w:gridCol w:w="1060"/>
        <w:gridCol w:w="1060"/>
        <w:gridCol w:w="1087"/>
      </w:tblGrid>
      <w:tr w:rsidR="004865EF" w:rsidRPr="004865EF" w14:paraId="22D38D19" w14:textId="77777777" w:rsidTr="00D752CA">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AEF43"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b/>
                <w:bCs/>
                <w:szCs w:val="20"/>
              </w:rPr>
              <w:t>权证编号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298FEB"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b/>
                <w:bCs/>
                <w:szCs w:val="20"/>
              </w:rPr>
              <w:t>建筑物名称</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1782F527"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b/>
                <w:bCs/>
                <w:szCs w:val="20"/>
              </w:rPr>
              <w:t>结构</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6039749"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b/>
                <w:bCs/>
                <w:szCs w:val="20"/>
              </w:rPr>
              <w:t>建成年月</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2CF9540"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b/>
                <w:bCs/>
                <w:szCs w:val="20"/>
              </w:rPr>
              <w:t>建筑面积</w:t>
            </w:r>
          </w:p>
          <w:p w14:paraId="109D87E7"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w:t>
            </w:r>
            <w:r w:rsidRPr="004865EF">
              <w:rPr>
                <w:rFonts w:ascii="Times New Roman" w:eastAsia="宋体" w:hAnsi="Times New Roman" w:cs="Times New Roman" w:hint="eastAsia"/>
                <w:b/>
                <w:bCs/>
                <w:szCs w:val="20"/>
              </w:rPr>
              <w:t>m</w:t>
            </w:r>
            <w:r w:rsidRPr="004865EF">
              <w:rPr>
                <w:rFonts w:ascii="Times New Roman" w:eastAsia="宋体" w:hAnsi="Times New Roman" w:cs="Times New Roman"/>
                <w:b/>
                <w:bCs/>
                <w:szCs w:val="20"/>
                <w:vertAlign w:val="superscript"/>
              </w:rPr>
              <w:t>2</w:t>
            </w:r>
            <w:r w:rsidRPr="004865EF">
              <w:rPr>
                <w:rFonts w:ascii="Times New Roman" w:eastAsia="宋体" w:hAnsi="Times New Roman" w:cs="Times New Roman" w:hint="eastAsia"/>
                <w:b/>
                <w:bCs/>
                <w:szCs w:val="20"/>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6735F9F"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b/>
                <w:bCs/>
                <w:szCs w:val="20"/>
              </w:rPr>
              <w:t>账面价值</w:t>
            </w:r>
          </w:p>
          <w:p w14:paraId="1327FACE"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（万元）</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FCD7278"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b/>
                <w:bCs/>
                <w:szCs w:val="20"/>
              </w:rPr>
              <w:t>评估值</w:t>
            </w:r>
          </w:p>
          <w:p w14:paraId="07AD6A4C" w14:textId="77777777" w:rsidR="00BE2F4A" w:rsidRPr="004865EF" w:rsidRDefault="00BE2F4A" w:rsidP="00D752CA">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（万元）</w:t>
            </w:r>
          </w:p>
        </w:tc>
      </w:tr>
      <w:tr w:rsidR="004865EF" w:rsidRPr="004865EF" w14:paraId="3A082FB9" w14:textId="77777777" w:rsidTr="00D752CA">
        <w:trPr>
          <w:trHeight w:val="397"/>
          <w:jc w:val="center"/>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14:paraId="28D8C75C"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冀（</w:t>
            </w:r>
            <w:r w:rsidRPr="004865EF">
              <w:rPr>
                <w:rFonts w:ascii="Times New Roman" w:eastAsia="宋体" w:hAnsi="Times New Roman" w:cs="Times New Roman"/>
                <w:szCs w:val="20"/>
              </w:rPr>
              <w:t>2019</w:t>
            </w:r>
            <w:r w:rsidRPr="004865EF">
              <w:rPr>
                <w:rFonts w:ascii="Times New Roman" w:eastAsia="宋体" w:hAnsi="Times New Roman" w:cs="Times New Roman"/>
                <w:szCs w:val="20"/>
              </w:rPr>
              <w:t>）三河市内不动产权第</w:t>
            </w:r>
            <w:r w:rsidRPr="004865EF">
              <w:rPr>
                <w:rFonts w:ascii="Times New Roman" w:eastAsia="宋体" w:hAnsi="Times New Roman" w:cs="Times New Roman"/>
                <w:szCs w:val="20"/>
              </w:rPr>
              <w:t>0030347</w:t>
            </w:r>
            <w:r w:rsidRPr="004865EF">
              <w:rPr>
                <w:rFonts w:ascii="Times New Roman" w:eastAsia="宋体" w:hAnsi="Times New Roman" w:cs="Times New Roman"/>
                <w:szCs w:val="20"/>
              </w:rPr>
              <w:t>号</w:t>
            </w:r>
          </w:p>
        </w:tc>
        <w:tc>
          <w:tcPr>
            <w:tcW w:w="1418" w:type="dxa"/>
            <w:tcBorders>
              <w:top w:val="nil"/>
              <w:left w:val="nil"/>
              <w:bottom w:val="single" w:sz="4" w:space="0" w:color="auto"/>
              <w:right w:val="single" w:sz="4" w:space="0" w:color="auto"/>
            </w:tcBorders>
            <w:shd w:val="clear" w:color="auto" w:fill="auto"/>
            <w:noWrap/>
            <w:vAlign w:val="center"/>
            <w:hideMark/>
          </w:tcPr>
          <w:p w14:paraId="1F64CEA5"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光环一期</w:t>
            </w:r>
          </w:p>
          <w:p w14:paraId="79584896"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w:t>
            </w:r>
            <w:r w:rsidRPr="004865EF">
              <w:rPr>
                <w:rFonts w:ascii="Times New Roman" w:eastAsia="宋体" w:hAnsi="Times New Roman" w:cs="Times New Roman"/>
                <w:szCs w:val="20"/>
              </w:rPr>
              <w:t>1</w:t>
            </w:r>
            <w:r w:rsidRPr="004865EF">
              <w:rPr>
                <w:rFonts w:ascii="Times New Roman" w:eastAsia="宋体" w:hAnsi="Times New Roman" w:cs="Times New Roman"/>
                <w:szCs w:val="20"/>
              </w:rPr>
              <w:t>号楼）</w:t>
            </w:r>
          </w:p>
        </w:tc>
        <w:tc>
          <w:tcPr>
            <w:tcW w:w="1686" w:type="dxa"/>
            <w:tcBorders>
              <w:top w:val="nil"/>
              <w:left w:val="nil"/>
              <w:bottom w:val="single" w:sz="4" w:space="0" w:color="auto"/>
              <w:right w:val="single" w:sz="4" w:space="0" w:color="auto"/>
            </w:tcBorders>
            <w:shd w:val="clear" w:color="auto" w:fill="auto"/>
            <w:noWrap/>
            <w:vAlign w:val="center"/>
            <w:hideMark/>
          </w:tcPr>
          <w:p w14:paraId="4AE5889E"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钢结构</w:t>
            </w:r>
          </w:p>
        </w:tc>
        <w:tc>
          <w:tcPr>
            <w:tcW w:w="1060" w:type="dxa"/>
            <w:tcBorders>
              <w:top w:val="nil"/>
              <w:left w:val="nil"/>
              <w:bottom w:val="single" w:sz="4" w:space="0" w:color="auto"/>
              <w:right w:val="single" w:sz="4" w:space="0" w:color="auto"/>
            </w:tcBorders>
            <w:shd w:val="clear" w:color="auto" w:fill="auto"/>
            <w:noWrap/>
            <w:vAlign w:val="center"/>
            <w:hideMark/>
          </w:tcPr>
          <w:p w14:paraId="62B7056A"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2015.1</w:t>
            </w:r>
          </w:p>
        </w:tc>
        <w:tc>
          <w:tcPr>
            <w:tcW w:w="1060" w:type="dxa"/>
            <w:tcBorders>
              <w:top w:val="nil"/>
              <w:left w:val="nil"/>
              <w:bottom w:val="single" w:sz="4" w:space="0" w:color="auto"/>
              <w:right w:val="single" w:sz="4" w:space="0" w:color="auto"/>
            </w:tcBorders>
            <w:shd w:val="clear" w:color="auto" w:fill="auto"/>
            <w:noWrap/>
            <w:vAlign w:val="center"/>
            <w:hideMark/>
          </w:tcPr>
          <w:p w14:paraId="2257A28E" w14:textId="77777777" w:rsidR="00BE2F4A" w:rsidRPr="004865EF" w:rsidRDefault="00BE2F4A" w:rsidP="00A04998">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11,142.98</w:t>
            </w:r>
          </w:p>
        </w:tc>
        <w:tc>
          <w:tcPr>
            <w:tcW w:w="1060" w:type="dxa"/>
            <w:tcBorders>
              <w:top w:val="nil"/>
              <w:left w:val="nil"/>
              <w:bottom w:val="single" w:sz="4" w:space="0" w:color="auto"/>
              <w:right w:val="single" w:sz="4" w:space="0" w:color="auto"/>
            </w:tcBorders>
            <w:shd w:val="clear" w:color="auto" w:fill="auto"/>
            <w:noWrap/>
            <w:vAlign w:val="center"/>
            <w:hideMark/>
          </w:tcPr>
          <w:p w14:paraId="1703DC68" w14:textId="77777777" w:rsidR="00BE2F4A" w:rsidRPr="004865EF" w:rsidRDefault="00BE2F4A" w:rsidP="00A04998">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1,912.97</w:t>
            </w:r>
          </w:p>
        </w:tc>
        <w:tc>
          <w:tcPr>
            <w:tcW w:w="1087" w:type="dxa"/>
            <w:tcBorders>
              <w:top w:val="nil"/>
              <w:left w:val="nil"/>
              <w:bottom w:val="single" w:sz="4" w:space="0" w:color="auto"/>
              <w:right w:val="single" w:sz="4" w:space="0" w:color="auto"/>
            </w:tcBorders>
            <w:shd w:val="clear" w:color="auto" w:fill="auto"/>
            <w:noWrap/>
            <w:vAlign w:val="center"/>
            <w:hideMark/>
          </w:tcPr>
          <w:p w14:paraId="0A2B4BD0" w14:textId="77777777" w:rsidR="00BE2F4A" w:rsidRPr="004865EF" w:rsidRDefault="00BE2F4A" w:rsidP="00A04998">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8,060.83</w:t>
            </w:r>
          </w:p>
        </w:tc>
      </w:tr>
      <w:tr w:rsidR="004865EF" w:rsidRPr="004865EF" w14:paraId="70796FD4" w14:textId="77777777" w:rsidTr="00D752CA">
        <w:trPr>
          <w:trHeight w:val="397"/>
          <w:jc w:val="center"/>
        </w:trPr>
        <w:tc>
          <w:tcPr>
            <w:tcW w:w="1291" w:type="dxa"/>
            <w:vMerge/>
            <w:tcBorders>
              <w:top w:val="nil"/>
              <w:left w:val="single" w:sz="4" w:space="0" w:color="auto"/>
              <w:bottom w:val="single" w:sz="4" w:space="0" w:color="000000"/>
              <w:right w:val="single" w:sz="4" w:space="0" w:color="auto"/>
            </w:tcBorders>
            <w:vAlign w:val="center"/>
            <w:hideMark/>
          </w:tcPr>
          <w:p w14:paraId="671B98C8" w14:textId="77777777" w:rsidR="00BE2F4A" w:rsidRPr="004865EF" w:rsidRDefault="00BE2F4A" w:rsidP="00D752CA">
            <w:pPr>
              <w:widowControl/>
              <w:jc w:val="left"/>
              <w:rPr>
                <w:rFonts w:ascii="Times New Roman" w:eastAsia="宋体" w:hAnsi="Times New Roman" w:cs="Times New Roman"/>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28C122EC"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光环二期</w:t>
            </w:r>
          </w:p>
          <w:p w14:paraId="146591A7"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w:t>
            </w:r>
            <w:r w:rsidRPr="004865EF">
              <w:rPr>
                <w:rFonts w:ascii="Times New Roman" w:eastAsia="宋体" w:hAnsi="Times New Roman" w:cs="Times New Roman"/>
                <w:szCs w:val="20"/>
              </w:rPr>
              <w:t>2</w:t>
            </w:r>
            <w:r w:rsidRPr="004865EF">
              <w:rPr>
                <w:rFonts w:ascii="Times New Roman" w:eastAsia="宋体" w:hAnsi="Times New Roman" w:cs="Times New Roman"/>
                <w:szCs w:val="20"/>
              </w:rPr>
              <w:t>号楼）</w:t>
            </w:r>
          </w:p>
        </w:tc>
        <w:tc>
          <w:tcPr>
            <w:tcW w:w="1686" w:type="dxa"/>
            <w:tcBorders>
              <w:top w:val="nil"/>
              <w:left w:val="nil"/>
              <w:bottom w:val="single" w:sz="4" w:space="0" w:color="auto"/>
              <w:right w:val="single" w:sz="4" w:space="0" w:color="auto"/>
            </w:tcBorders>
            <w:shd w:val="clear" w:color="auto" w:fill="auto"/>
            <w:noWrap/>
            <w:vAlign w:val="center"/>
            <w:hideMark/>
          </w:tcPr>
          <w:p w14:paraId="179165F3"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钢筋混凝土结构</w:t>
            </w:r>
          </w:p>
        </w:tc>
        <w:tc>
          <w:tcPr>
            <w:tcW w:w="1060" w:type="dxa"/>
            <w:tcBorders>
              <w:top w:val="nil"/>
              <w:left w:val="nil"/>
              <w:bottom w:val="single" w:sz="4" w:space="0" w:color="auto"/>
              <w:right w:val="single" w:sz="4" w:space="0" w:color="auto"/>
            </w:tcBorders>
            <w:shd w:val="clear" w:color="auto" w:fill="auto"/>
            <w:noWrap/>
            <w:vAlign w:val="center"/>
            <w:hideMark/>
          </w:tcPr>
          <w:p w14:paraId="4000CA2F"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2015.1</w:t>
            </w:r>
          </w:p>
        </w:tc>
        <w:tc>
          <w:tcPr>
            <w:tcW w:w="1060" w:type="dxa"/>
            <w:tcBorders>
              <w:top w:val="nil"/>
              <w:left w:val="nil"/>
              <w:bottom w:val="single" w:sz="4" w:space="0" w:color="auto"/>
              <w:right w:val="single" w:sz="4" w:space="0" w:color="auto"/>
            </w:tcBorders>
            <w:shd w:val="clear" w:color="auto" w:fill="auto"/>
            <w:noWrap/>
            <w:vAlign w:val="center"/>
            <w:hideMark/>
          </w:tcPr>
          <w:p w14:paraId="79593BAC" w14:textId="77777777" w:rsidR="00BE2F4A" w:rsidRPr="004865EF" w:rsidRDefault="00BE2F4A" w:rsidP="00A04998">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20,551.19</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532413" w14:textId="77777777" w:rsidR="00BE2F4A" w:rsidRPr="004865EF" w:rsidRDefault="00BE2F4A" w:rsidP="00A04998">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3,068.30</w:t>
            </w:r>
          </w:p>
        </w:tc>
        <w:tc>
          <w:tcPr>
            <w:tcW w:w="1087" w:type="dxa"/>
            <w:tcBorders>
              <w:top w:val="nil"/>
              <w:left w:val="nil"/>
              <w:bottom w:val="single" w:sz="4" w:space="0" w:color="auto"/>
              <w:right w:val="single" w:sz="4" w:space="0" w:color="auto"/>
            </w:tcBorders>
            <w:shd w:val="clear" w:color="auto" w:fill="auto"/>
            <w:noWrap/>
            <w:vAlign w:val="center"/>
            <w:hideMark/>
          </w:tcPr>
          <w:p w14:paraId="639BF100" w14:textId="77777777" w:rsidR="00BE2F4A" w:rsidRPr="004865EF" w:rsidRDefault="00BE2F4A" w:rsidP="00A04998">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15,170.89</w:t>
            </w:r>
          </w:p>
        </w:tc>
      </w:tr>
      <w:tr w:rsidR="004865EF" w:rsidRPr="004865EF" w14:paraId="7A2E26B4" w14:textId="77777777" w:rsidTr="00D752CA">
        <w:trPr>
          <w:trHeight w:val="397"/>
          <w:jc w:val="center"/>
        </w:trPr>
        <w:tc>
          <w:tcPr>
            <w:tcW w:w="1291" w:type="dxa"/>
            <w:vMerge/>
            <w:tcBorders>
              <w:top w:val="nil"/>
              <w:left w:val="single" w:sz="4" w:space="0" w:color="auto"/>
              <w:bottom w:val="single" w:sz="4" w:space="0" w:color="000000"/>
              <w:right w:val="single" w:sz="4" w:space="0" w:color="auto"/>
            </w:tcBorders>
            <w:vAlign w:val="center"/>
            <w:hideMark/>
          </w:tcPr>
          <w:p w14:paraId="7DC40841" w14:textId="77777777" w:rsidR="00BE2F4A" w:rsidRPr="004865EF" w:rsidRDefault="00BE2F4A" w:rsidP="00D752CA">
            <w:pPr>
              <w:widowControl/>
              <w:jc w:val="left"/>
              <w:rPr>
                <w:rFonts w:ascii="Times New Roman" w:eastAsia="宋体" w:hAnsi="Times New Roman" w:cs="Times New Roman"/>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647DA9B6"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光环二期</w:t>
            </w:r>
          </w:p>
          <w:p w14:paraId="43E48DF3"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w:t>
            </w:r>
            <w:r w:rsidRPr="004865EF">
              <w:rPr>
                <w:rFonts w:ascii="Times New Roman" w:eastAsia="宋体" w:hAnsi="Times New Roman" w:cs="Times New Roman"/>
                <w:szCs w:val="20"/>
              </w:rPr>
              <w:t>3</w:t>
            </w:r>
            <w:r w:rsidRPr="004865EF">
              <w:rPr>
                <w:rFonts w:ascii="Times New Roman" w:eastAsia="宋体" w:hAnsi="Times New Roman" w:cs="Times New Roman"/>
                <w:szCs w:val="20"/>
              </w:rPr>
              <w:t>号楼）</w:t>
            </w:r>
          </w:p>
        </w:tc>
        <w:tc>
          <w:tcPr>
            <w:tcW w:w="1686" w:type="dxa"/>
            <w:tcBorders>
              <w:top w:val="nil"/>
              <w:left w:val="nil"/>
              <w:bottom w:val="single" w:sz="4" w:space="0" w:color="auto"/>
              <w:right w:val="single" w:sz="4" w:space="0" w:color="auto"/>
            </w:tcBorders>
            <w:shd w:val="clear" w:color="auto" w:fill="auto"/>
            <w:noWrap/>
            <w:vAlign w:val="center"/>
            <w:hideMark/>
          </w:tcPr>
          <w:p w14:paraId="32266D28"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钢筋混凝土结构</w:t>
            </w:r>
          </w:p>
        </w:tc>
        <w:tc>
          <w:tcPr>
            <w:tcW w:w="1060" w:type="dxa"/>
            <w:tcBorders>
              <w:top w:val="nil"/>
              <w:left w:val="nil"/>
              <w:bottom w:val="single" w:sz="4" w:space="0" w:color="auto"/>
              <w:right w:val="single" w:sz="4" w:space="0" w:color="auto"/>
            </w:tcBorders>
            <w:shd w:val="clear" w:color="auto" w:fill="auto"/>
            <w:noWrap/>
            <w:vAlign w:val="center"/>
            <w:hideMark/>
          </w:tcPr>
          <w:p w14:paraId="0736751F" w14:textId="77777777" w:rsidR="00BE2F4A" w:rsidRPr="004865EF" w:rsidRDefault="00BE2F4A" w:rsidP="00D752CA">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2015.1</w:t>
            </w:r>
          </w:p>
        </w:tc>
        <w:tc>
          <w:tcPr>
            <w:tcW w:w="1060" w:type="dxa"/>
            <w:tcBorders>
              <w:top w:val="nil"/>
              <w:left w:val="nil"/>
              <w:bottom w:val="single" w:sz="4" w:space="0" w:color="auto"/>
              <w:right w:val="single" w:sz="4" w:space="0" w:color="auto"/>
            </w:tcBorders>
            <w:shd w:val="clear" w:color="auto" w:fill="auto"/>
            <w:noWrap/>
            <w:vAlign w:val="center"/>
            <w:hideMark/>
          </w:tcPr>
          <w:p w14:paraId="4F37D4B7" w14:textId="77777777" w:rsidR="00BE2F4A" w:rsidRPr="004865EF" w:rsidRDefault="00BE2F4A" w:rsidP="00A04998">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5,042.67</w:t>
            </w:r>
          </w:p>
        </w:tc>
        <w:tc>
          <w:tcPr>
            <w:tcW w:w="1060" w:type="dxa"/>
            <w:vMerge/>
            <w:tcBorders>
              <w:top w:val="nil"/>
              <w:left w:val="single" w:sz="4" w:space="0" w:color="auto"/>
              <w:bottom w:val="single" w:sz="4" w:space="0" w:color="auto"/>
              <w:right w:val="single" w:sz="4" w:space="0" w:color="auto"/>
            </w:tcBorders>
            <w:vAlign w:val="center"/>
            <w:hideMark/>
          </w:tcPr>
          <w:p w14:paraId="2BE86200" w14:textId="77777777" w:rsidR="00BE2F4A" w:rsidRPr="004865EF" w:rsidRDefault="00BE2F4A" w:rsidP="00A04998">
            <w:pPr>
              <w:widowControl/>
              <w:jc w:val="right"/>
              <w:rPr>
                <w:rFonts w:ascii="Times New Roman" w:eastAsia="宋体" w:hAnsi="Times New Roman" w:cs="Times New Roman"/>
                <w:szCs w:val="20"/>
              </w:rPr>
            </w:pPr>
          </w:p>
        </w:tc>
        <w:tc>
          <w:tcPr>
            <w:tcW w:w="1087" w:type="dxa"/>
            <w:tcBorders>
              <w:top w:val="nil"/>
              <w:left w:val="nil"/>
              <w:bottom w:val="single" w:sz="4" w:space="0" w:color="auto"/>
              <w:right w:val="single" w:sz="4" w:space="0" w:color="auto"/>
            </w:tcBorders>
            <w:shd w:val="clear" w:color="auto" w:fill="auto"/>
            <w:noWrap/>
            <w:vAlign w:val="center"/>
            <w:hideMark/>
          </w:tcPr>
          <w:p w14:paraId="0D045499" w14:textId="77777777" w:rsidR="00BE2F4A" w:rsidRPr="004865EF" w:rsidRDefault="00BE2F4A" w:rsidP="00A04998">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3,611.06</w:t>
            </w:r>
          </w:p>
        </w:tc>
      </w:tr>
    </w:tbl>
    <w:p w14:paraId="4DA2797D" w14:textId="604966E6" w:rsidR="007C4EEA" w:rsidRPr="004865EF" w:rsidRDefault="00BE2F4A" w:rsidP="00794AE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由于燕</w:t>
      </w:r>
      <w:proofErr w:type="gramStart"/>
      <w:r w:rsidRPr="004865EF">
        <w:rPr>
          <w:rFonts w:ascii="Times New Roman" w:eastAsia="宋体" w:hAnsi="Times New Roman" w:cs="Times New Roman" w:hint="eastAsia"/>
          <w:sz w:val="24"/>
          <w:szCs w:val="22"/>
        </w:rPr>
        <w:t>郊当地</w:t>
      </w:r>
      <w:proofErr w:type="gramEnd"/>
      <w:r w:rsidRPr="004865EF">
        <w:rPr>
          <w:rFonts w:ascii="Times New Roman" w:eastAsia="宋体" w:hAnsi="Times New Roman" w:cs="Times New Roman" w:hint="eastAsia"/>
          <w:sz w:val="24"/>
          <w:szCs w:val="22"/>
        </w:rPr>
        <w:t>同类房地产市场发达，有可供比较案例，因此上述房屋建筑物采用市场法进行评估，即选择</w:t>
      </w:r>
      <w:r w:rsidR="007D4BCA" w:rsidRPr="004865EF">
        <w:rPr>
          <w:rFonts w:ascii="Times New Roman" w:eastAsia="宋体" w:hAnsi="Times New Roman" w:cs="Times New Roman" w:hint="eastAsia"/>
          <w:sz w:val="24"/>
          <w:szCs w:val="22"/>
        </w:rPr>
        <w:t>交易情况、日期、区域以及个别因素相似的三个比较实例</w:t>
      </w:r>
      <w:r w:rsidR="005B5E10" w:rsidRPr="004865EF">
        <w:rPr>
          <w:rFonts w:ascii="Times New Roman" w:eastAsia="宋体" w:hAnsi="Times New Roman" w:cs="Times New Roman"/>
          <w:sz w:val="24"/>
          <w:szCs w:val="22"/>
        </w:rPr>
        <w:t>，</w:t>
      </w:r>
      <w:r w:rsidR="007C4EEA" w:rsidRPr="004865EF">
        <w:rPr>
          <w:rFonts w:ascii="Times New Roman" w:eastAsia="宋体" w:hAnsi="Times New Roman" w:cs="Times New Roman" w:hint="eastAsia"/>
          <w:sz w:val="24"/>
          <w:szCs w:val="22"/>
        </w:rPr>
        <w:t>具体情况如下：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1419"/>
        <w:gridCol w:w="1442"/>
        <w:gridCol w:w="1442"/>
      </w:tblGrid>
      <w:tr w:rsidR="004865EF" w:rsidRPr="004865EF" w14:paraId="6B76C5F2" w14:textId="44022B91" w:rsidTr="00675378">
        <w:trPr>
          <w:trHeight w:val="397"/>
          <w:jc w:val="center"/>
        </w:trPr>
        <w:tc>
          <w:tcPr>
            <w:tcW w:w="1668" w:type="dxa"/>
            <w:shd w:val="clear" w:color="auto" w:fill="auto"/>
            <w:noWrap/>
            <w:vAlign w:val="center"/>
            <w:hideMark/>
          </w:tcPr>
          <w:p w14:paraId="42F06C18" w14:textId="6B13D8CD" w:rsidR="000C4942" w:rsidRPr="004865EF" w:rsidRDefault="000C4942" w:rsidP="002137BE">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名称</w:t>
            </w:r>
          </w:p>
        </w:tc>
        <w:tc>
          <w:tcPr>
            <w:tcW w:w="2551" w:type="dxa"/>
            <w:shd w:val="clear" w:color="auto" w:fill="auto"/>
            <w:noWrap/>
            <w:vAlign w:val="center"/>
            <w:hideMark/>
          </w:tcPr>
          <w:p w14:paraId="1C6FB84D" w14:textId="22369764" w:rsidR="000C4942" w:rsidRPr="004865EF" w:rsidRDefault="000C4942" w:rsidP="002137BE">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地址</w:t>
            </w:r>
          </w:p>
        </w:tc>
        <w:tc>
          <w:tcPr>
            <w:tcW w:w="1419" w:type="dxa"/>
            <w:shd w:val="clear" w:color="auto" w:fill="auto"/>
            <w:vAlign w:val="center"/>
          </w:tcPr>
          <w:p w14:paraId="32ECB416" w14:textId="77777777" w:rsidR="00854657" w:rsidRPr="004865EF" w:rsidRDefault="000C4942" w:rsidP="00854657">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建筑面积</w:t>
            </w:r>
          </w:p>
          <w:p w14:paraId="03DF39A1" w14:textId="1080A954" w:rsidR="000C4942" w:rsidRPr="004865EF" w:rsidRDefault="000C4942" w:rsidP="00854657">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w:t>
            </w:r>
            <w:proofErr w:type="gramStart"/>
            <w:r w:rsidR="00854657" w:rsidRPr="004865EF">
              <w:rPr>
                <w:rFonts w:ascii="Times New Roman" w:eastAsia="宋体" w:hAnsi="Times New Roman" w:cs="Times New Roman" w:hint="eastAsia"/>
                <w:b/>
                <w:bCs/>
                <w:szCs w:val="20"/>
              </w:rPr>
              <w:t>万平方米</w:t>
            </w:r>
            <w:proofErr w:type="gramEnd"/>
            <w:r w:rsidRPr="004865EF">
              <w:rPr>
                <w:rFonts w:ascii="Times New Roman" w:eastAsia="宋体" w:hAnsi="Times New Roman" w:cs="Times New Roman" w:hint="eastAsia"/>
                <w:b/>
                <w:bCs/>
                <w:szCs w:val="20"/>
              </w:rPr>
              <w:t>）</w:t>
            </w:r>
          </w:p>
        </w:tc>
        <w:tc>
          <w:tcPr>
            <w:tcW w:w="1442" w:type="dxa"/>
            <w:noWrap/>
            <w:vAlign w:val="center"/>
            <w:hideMark/>
          </w:tcPr>
          <w:p w14:paraId="10DA8142" w14:textId="77777777" w:rsidR="000C4942" w:rsidRPr="004865EF" w:rsidRDefault="000C4942">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交易均价</w:t>
            </w:r>
          </w:p>
          <w:p w14:paraId="726D7036" w14:textId="0A3E41CA" w:rsidR="00854657" w:rsidRPr="004865EF" w:rsidRDefault="00854657">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（元</w:t>
            </w:r>
            <w:r w:rsidRPr="004865EF">
              <w:rPr>
                <w:rFonts w:ascii="Times New Roman" w:eastAsia="宋体" w:hAnsi="Times New Roman" w:cs="Times New Roman"/>
                <w:b/>
                <w:bCs/>
                <w:szCs w:val="20"/>
              </w:rPr>
              <w:t>/</w:t>
            </w:r>
            <w:r w:rsidRPr="004865EF">
              <w:rPr>
                <w:rFonts w:ascii="Times New Roman" w:eastAsia="宋体" w:hAnsi="Times New Roman" w:cs="Times New Roman"/>
                <w:b/>
                <w:bCs/>
                <w:szCs w:val="20"/>
              </w:rPr>
              <w:t>平方米</w:t>
            </w:r>
            <w:r w:rsidRPr="004865EF">
              <w:rPr>
                <w:rFonts w:ascii="Times New Roman" w:eastAsia="宋体" w:hAnsi="Times New Roman" w:cs="Times New Roman" w:hint="eastAsia"/>
                <w:b/>
                <w:bCs/>
                <w:szCs w:val="20"/>
              </w:rPr>
              <w:t>）</w:t>
            </w:r>
          </w:p>
        </w:tc>
        <w:tc>
          <w:tcPr>
            <w:tcW w:w="1442" w:type="dxa"/>
            <w:vAlign w:val="center"/>
          </w:tcPr>
          <w:p w14:paraId="224E32D8" w14:textId="03784C86" w:rsidR="000C4942" w:rsidRPr="004865EF" w:rsidRDefault="000C4942">
            <w:pPr>
              <w:widowControl/>
              <w:jc w:val="center"/>
              <w:rPr>
                <w:rFonts w:ascii="Times New Roman" w:eastAsia="宋体" w:hAnsi="Times New Roman" w:cs="Times New Roman"/>
                <w:b/>
                <w:bCs/>
                <w:szCs w:val="20"/>
              </w:rPr>
            </w:pPr>
            <w:r w:rsidRPr="004865EF">
              <w:rPr>
                <w:rFonts w:ascii="Times New Roman" w:eastAsia="宋体" w:hAnsi="Times New Roman" w:cs="Times New Roman" w:hint="eastAsia"/>
                <w:b/>
                <w:bCs/>
                <w:szCs w:val="20"/>
              </w:rPr>
              <w:t>交易日期</w:t>
            </w:r>
          </w:p>
        </w:tc>
      </w:tr>
      <w:tr w:rsidR="004865EF" w:rsidRPr="004865EF" w14:paraId="5E9B16D9" w14:textId="2D0141CA" w:rsidTr="00675378">
        <w:trPr>
          <w:trHeight w:val="397"/>
          <w:jc w:val="center"/>
        </w:trPr>
        <w:tc>
          <w:tcPr>
            <w:tcW w:w="1668" w:type="dxa"/>
            <w:shd w:val="clear" w:color="auto" w:fill="auto"/>
            <w:noWrap/>
            <w:vAlign w:val="center"/>
          </w:tcPr>
          <w:p w14:paraId="4FCD1149" w14:textId="1E028EC0" w:rsidR="000C4942" w:rsidRPr="004865EF" w:rsidRDefault="000C4942" w:rsidP="00675378">
            <w:pPr>
              <w:widowControl/>
              <w:jc w:val="left"/>
              <w:rPr>
                <w:rFonts w:ascii="Times New Roman" w:eastAsia="宋体" w:hAnsi="Times New Roman" w:cs="Times New Roman"/>
                <w:szCs w:val="20"/>
              </w:rPr>
            </w:pPr>
            <w:r w:rsidRPr="004865EF">
              <w:rPr>
                <w:rFonts w:ascii="Times New Roman" w:eastAsia="宋体" w:hAnsi="Times New Roman" w:cs="Times New Roman" w:hint="eastAsia"/>
                <w:szCs w:val="20"/>
              </w:rPr>
              <w:t>宏远智慧创新产业园</w:t>
            </w:r>
          </w:p>
        </w:tc>
        <w:tc>
          <w:tcPr>
            <w:tcW w:w="2551" w:type="dxa"/>
            <w:shd w:val="clear" w:color="auto" w:fill="auto"/>
            <w:noWrap/>
            <w:vAlign w:val="center"/>
            <w:hideMark/>
          </w:tcPr>
          <w:p w14:paraId="091CF138" w14:textId="16F812C0" w:rsidR="000C4942" w:rsidRPr="004865EF" w:rsidRDefault="000C4942" w:rsidP="00675378">
            <w:pPr>
              <w:widowControl/>
              <w:jc w:val="left"/>
              <w:rPr>
                <w:rFonts w:ascii="Times New Roman" w:eastAsia="宋体" w:hAnsi="Times New Roman" w:cs="Times New Roman"/>
                <w:szCs w:val="20"/>
              </w:rPr>
            </w:pPr>
            <w:r w:rsidRPr="004865EF">
              <w:rPr>
                <w:rFonts w:ascii="Times New Roman" w:eastAsia="宋体" w:hAnsi="Times New Roman" w:cs="Times New Roman" w:hint="eastAsia"/>
                <w:szCs w:val="20"/>
              </w:rPr>
              <w:t>福成路与神威北大街交汇处</w:t>
            </w:r>
          </w:p>
        </w:tc>
        <w:tc>
          <w:tcPr>
            <w:tcW w:w="1419" w:type="dxa"/>
            <w:shd w:val="clear" w:color="auto" w:fill="auto"/>
            <w:vAlign w:val="center"/>
          </w:tcPr>
          <w:p w14:paraId="4B06F6E1" w14:textId="2EB10AB0" w:rsidR="000C4942" w:rsidRPr="004865EF" w:rsidRDefault="00854657" w:rsidP="00854657">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12.21</w:t>
            </w:r>
          </w:p>
        </w:tc>
        <w:tc>
          <w:tcPr>
            <w:tcW w:w="1442" w:type="dxa"/>
            <w:noWrap/>
            <w:vAlign w:val="center"/>
          </w:tcPr>
          <w:p w14:paraId="527B488C" w14:textId="25B27A35" w:rsidR="000C4942" w:rsidRPr="004865EF" w:rsidRDefault="000C4942" w:rsidP="002137BE">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7,615.00</w:t>
            </w:r>
          </w:p>
        </w:tc>
        <w:tc>
          <w:tcPr>
            <w:tcW w:w="1442" w:type="dxa"/>
            <w:vAlign w:val="center"/>
          </w:tcPr>
          <w:p w14:paraId="2445BA80" w14:textId="620B3763" w:rsidR="000C4942" w:rsidRPr="004865EF" w:rsidRDefault="000C4942" w:rsidP="00675378">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2019</w:t>
            </w:r>
            <w:r w:rsidRPr="004865EF">
              <w:rPr>
                <w:rFonts w:ascii="Times New Roman" w:eastAsia="宋体" w:hAnsi="Times New Roman" w:cs="Times New Roman" w:hint="eastAsia"/>
                <w:szCs w:val="20"/>
              </w:rPr>
              <w:t>年</w:t>
            </w:r>
            <w:r w:rsidRPr="004865EF">
              <w:rPr>
                <w:rFonts w:ascii="Times New Roman" w:eastAsia="宋体" w:hAnsi="Times New Roman" w:cs="Times New Roman"/>
                <w:szCs w:val="20"/>
              </w:rPr>
              <w:t>12</w:t>
            </w:r>
            <w:r w:rsidRPr="004865EF">
              <w:rPr>
                <w:rFonts w:ascii="Times New Roman" w:eastAsia="宋体" w:hAnsi="Times New Roman" w:cs="Times New Roman" w:hint="eastAsia"/>
                <w:szCs w:val="20"/>
              </w:rPr>
              <w:t>月</w:t>
            </w:r>
          </w:p>
        </w:tc>
      </w:tr>
      <w:tr w:rsidR="004865EF" w:rsidRPr="004865EF" w14:paraId="0C244140" w14:textId="22108B5B" w:rsidTr="00675378">
        <w:trPr>
          <w:trHeight w:val="397"/>
          <w:jc w:val="center"/>
        </w:trPr>
        <w:tc>
          <w:tcPr>
            <w:tcW w:w="1668" w:type="dxa"/>
            <w:shd w:val="clear" w:color="auto" w:fill="auto"/>
            <w:noWrap/>
            <w:vAlign w:val="center"/>
          </w:tcPr>
          <w:p w14:paraId="6F325A02" w14:textId="5E6F651A" w:rsidR="000C4942" w:rsidRPr="004865EF" w:rsidRDefault="000C4942" w:rsidP="00675378">
            <w:pPr>
              <w:widowControl/>
              <w:jc w:val="left"/>
              <w:rPr>
                <w:rFonts w:ascii="Times New Roman" w:eastAsia="宋体" w:hAnsi="Times New Roman" w:cs="Times New Roman"/>
                <w:szCs w:val="20"/>
              </w:rPr>
            </w:pPr>
            <w:r w:rsidRPr="004865EF">
              <w:rPr>
                <w:rFonts w:ascii="Times New Roman" w:eastAsia="宋体" w:hAnsi="Times New Roman" w:cs="Times New Roman" w:hint="eastAsia"/>
                <w:szCs w:val="20"/>
              </w:rPr>
              <w:t>裕</w:t>
            </w:r>
            <w:proofErr w:type="gramStart"/>
            <w:r w:rsidRPr="004865EF">
              <w:rPr>
                <w:rFonts w:ascii="Times New Roman" w:eastAsia="宋体" w:hAnsi="Times New Roman" w:cs="Times New Roman" w:hint="eastAsia"/>
                <w:szCs w:val="20"/>
              </w:rPr>
              <w:t>泰产业</w:t>
            </w:r>
            <w:proofErr w:type="gramEnd"/>
            <w:r w:rsidRPr="004865EF">
              <w:rPr>
                <w:rFonts w:ascii="Times New Roman" w:eastAsia="宋体" w:hAnsi="Times New Roman" w:cs="Times New Roman" w:hint="eastAsia"/>
                <w:szCs w:val="20"/>
              </w:rPr>
              <w:t>园</w:t>
            </w:r>
          </w:p>
        </w:tc>
        <w:tc>
          <w:tcPr>
            <w:tcW w:w="2551" w:type="dxa"/>
            <w:shd w:val="clear" w:color="auto" w:fill="auto"/>
            <w:noWrap/>
            <w:vAlign w:val="center"/>
            <w:hideMark/>
          </w:tcPr>
          <w:p w14:paraId="79B3FD5A" w14:textId="2A3489BE" w:rsidR="000C4942" w:rsidRPr="004865EF" w:rsidRDefault="000C4942" w:rsidP="00675378">
            <w:pPr>
              <w:widowControl/>
              <w:jc w:val="left"/>
              <w:rPr>
                <w:rFonts w:ascii="Times New Roman" w:eastAsia="宋体" w:hAnsi="Times New Roman" w:cs="Times New Roman"/>
                <w:szCs w:val="20"/>
              </w:rPr>
            </w:pPr>
            <w:r w:rsidRPr="004865EF">
              <w:rPr>
                <w:rFonts w:ascii="Times New Roman" w:eastAsia="宋体" w:hAnsi="Times New Roman" w:cs="Times New Roman" w:hint="eastAsia"/>
                <w:szCs w:val="20"/>
              </w:rPr>
              <w:t>迎宾路与创意谷大街交口</w:t>
            </w:r>
          </w:p>
        </w:tc>
        <w:tc>
          <w:tcPr>
            <w:tcW w:w="1419" w:type="dxa"/>
            <w:shd w:val="clear" w:color="auto" w:fill="auto"/>
            <w:vAlign w:val="center"/>
          </w:tcPr>
          <w:p w14:paraId="7B86287A" w14:textId="56EC6C44" w:rsidR="000C4942" w:rsidRPr="004865EF" w:rsidRDefault="00854657" w:rsidP="00854657">
            <w:pPr>
              <w:widowControl/>
              <w:jc w:val="right"/>
              <w:rPr>
                <w:rFonts w:ascii="Times New Roman" w:eastAsia="宋体" w:hAnsi="Times New Roman" w:cs="Times New Roman"/>
                <w:szCs w:val="20"/>
              </w:rPr>
            </w:pPr>
            <w:r w:rsidRPr="004865EF">
              <w:rPr>
                <w:rFonts w:ascii="Times New Roman" w:eastAsia="宋体" w:hAnsi="Times New Roman" w:cs="Times New Roman" w:hint="eastAsia"/>
                <w:szCs w:val="20"/>
              </w:rPr>
              <w:t>15.00</w:t>
            </w:r>
          </w:p>
        </w:tc>
        <w:tc>
          <w:tcPr>
            <w:tcW w:w="1442" w:type="dxa"/>
            <w:noWrap/>
            <w:vAlign w:val="center"/>
          </w:tcPr>
          <w:p w14:paraId="7646908C" w14:textId="6539F558" w:rsidR="000C4942" w:rsidRPr="004865EF" w:rsidRDefault="000C4942" w:rsidP="002137BE">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7,615.00</w:t>
            </w:r>
          </w:p>
        </w:tc>
        <w:tc>
          <w:tcPr>
            <w:tcW w:w="1442" w:type="dxa"/>
            <w:vAlign w:val="center"/>
          </w:tcPr>
          <w:p w14:paraId="6FBEE724" w14:textId="7B6F28D8" w:rsidR="000C4942" w:rsidRPr="004865EF" w:rsidRDefault="000C4942" w:rsidP="00675378">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2019</w:t>
            </w:r>
            <w:r w:rsidRPr="004865EF">
              <w:rPr>
                <w:rFonts w:ascii="Times New Roman" w:eastAsia="宋体" w:hAnsi="Times New Roman" w:cs="Times New Roman" w:hint="eastAsia"/>
                <w:szCs w:val="20"/>
              </w:rPr>
              <w:t>年</w:t>
            </w:r>
            <w:r w:rsidRPr="004865EF">
              <w:rPr>
                <w:rFonts w:ascii="Times New Roman" w:eastAsia="宋体" w:hAnsi="Times New Roman" w:cs="Times New Roman"/>
                <w:szCs w:val="20"/>
              </w:rPr>
              <w:t>12</w:t>
            </w:r>
            <w:r w:rsidRPr="004865EF">
              <w:rPr>
                <w:rFonts w:ascii="Times New Roman" w:eastAsia="宋体" w:hAnsi="Times New Roman" w:cs="Times New Roman" w:hint="eastAsia"/>
                <w:szCs w:val="20"/>
              </w:rPr>
              <w:t>月</w:t>
            </w:r>
          </w:p>
        </w:tc>
      </w:tr>
      <w:tr w:rsidR="004865EF" w:rsidRPr="004865EF" w14:paraId="649ED935" w14:textId="09B63C0E" w:rsidTr="00675378">
        <w:trPr>
          <w:trHeight w:val="397"/>
          <w:jc w:val="center"/>
        </w:trPr>
        <w:tc>
          <w:tcPr>
            <w:tcW w:w="1668" w:type="dxa"/>
            <w:shd w:val="clear" w:color="auto" w:fill="auto"/>
            <w:noWrap/>
            <w:vAlign w:val="center"/>
          </w:tcPr>
          <w:p w14:paraId="5BAA2859" w14:textId="30F1E27E" w:rsidR="000C4942" w:rsidRPr="004865EF" w:rsidRDefault="000C4942" w:rsidP="00675378">
            <w:pPr>
              <w:widowControl/>
              <w:jc w:val="left"/>
              <w:rPr>
                <w:rFonts w:ascii="Times New Roman" w:eastAsia="宋体" w:hAnsi="Times New Roman" w:cs="Times New Roman"/>
                <w:szCs w:val="20"/>
              </w:rPr>
            </w:pPr>
            <w:r w:rsidRPr="004865EF">
              <w:rPr>
                <w:rFonts w:ascii="Times New Roman" w:eastAsia="宋体" w:hAnsi="Times New Roman" w:cs="Times New Roman" w:hint="eastAsia"/>
                <w:szCs w:val="20"/>
              </w:rPr>
              <w:t>全景工业园</w:t>
            </w:r>
          </w:p>
        </w:tc>
        <w:tc>
          <w:tcPr>
            <w:tcW w:w="2551" w:type="dxa"/>
            <w:shd w:val="clear" w:color="auto" w:fill="auto"/>
            <w:noWrap/>
            <w:vAlign w:val="center"/>
            <w:hideMark/>
          </w:tcPr>
          <w:p w14:paraId="29DAD16C" w14:textId="189C4F51" w:rsidR="000C4942" w:rsidRPr="004865EF" w:rsidRDefault="000C4942" w:rsidP="00675378">
            <w:pPr>
              <w:widowControl/>
              <w:jc w:val="left"/>
              <w:rPr>
                <w:rFonts w:ascii="Times New Roman" w:eastAsia="宋体" w:hAnsi="Times New Roman" w:cs="Times New Roman"/>
                <w:szCs w:val="20"/>
              </w:rPr>
            </w:pPr>
            <w:r w:rsidRPr="004865EF">
              <w:rPr>
                <w:rFonts w:ascii="Times New Roman" w:eastAsia="宋体" w:hAnsi="Times New Roman" w:cs="Times New Roman" w:hint="eastAsia"/>
                <w:szCs w:val="20"/>
              </w:rPr>
              <w:t>京平高速</w:t>
            </w:r>
            <w:proofErr w:type="gramStart"/>
            <w:r w:rsidRPr="004865EF">
              <w:rPr>
                <w:rFonts w:ascii="Times New Roman" w:eastAsia="宋体" w:hAnsi="Times New Roman" w:cs="Times New Roman" w:hint="eastAsia"/>
                <w:szCs w:val="20"/>
              </w:rPr>
              <w:t>木燕路出口南</w:t>
            </w:r>
            <w:proofErr w:type="gramEnd"/>
            <w:r w:rsidRPr="004865EF">
              <w:rPr>
                <w:rFonts w:ascii="Times New Roman" w:eastAsia="宋体" w:hAnsi="Times New Roman" w:cs="Times New Roman"/>
                <w:szCs w:val="20"/>
              </w:rPr>
              <w:t>3</w:t>
            </w:r>
            <w:r w:rsidRPr="004865EF">
              <w:rPr>
                <w:rFonts w:ascii="Times New Roman" w:eastAsia="宋体" w:hAnsi="Times New Roman" w:cs="Times New Roman" w:hint="eastAsia"/>
                <w:szCs w:val="20"/>
              </w:rPr>
              <w:t>公里</w:t>
            </w:r>
          </w:p>
        </w:tc>
        <w:tc>
          <w:tcPr>
            <w:tcW w:w="1419" w:type="dxa"/>
            <w:shd w:val="clear" w:color="auto" w:fill="auto"/>
            <w:vAlign w:val="center"/>
          </w:tcPr>
          <w:p w14:paraId="786AA940" w14:textId="2F9095C6" w:rsidR="000C4942" w:rsidRPr="004865EF" w:rsidRDefault="00854657" w:rsidP="00854657">
            <w:pPr>
              <w:widowControl/>
              <w:jc w:val="right"/>
              <w:rPr>
                <w:rFonts w:ascii="Times New Roman" w:eastAsia="宋体" w:hAnsi="Times New Roman" w:cs="Times New Roman"/>
                <w:szCs w:val="20"/>
              </w:rPr>
            </w:pPr>
            <w:r w:rsidRPr="004865EF">
              <w:rPr>
                <w:rFonts w:ascii="Times New Roman" w:eastAsia="宋体" w:hAnsi="Times New Roman" w:cs="Times New Roman" w:hint="eastAsia"/>
                <w:szCs w:val="20"/>
              </w:rPr>
              <w:t>0.64</w:t>
            </w:r>
          </w:p>
        </w:tc>
        <w:tc>
          <w:tcPr>
            <w:tcW w:w="1442" w:type="dxa"/>
            <w:noWrap/>
            <w:vAlign w:val="center"/>
          </w:tcPr>
          <w:p w14:paraId="4139E1F9" w14:textId="64CBC5A8" w:rsidR="000C4942" w:rsidRPr="004865EF" w:rsidRDefault="000C4942" w:rsidP="002137BE">
            <w:pPr>
              <w:widowControl/>
              <w:jc w:val="right"/>
              <w:rPr>
                <w:rFonts w:ascii="Times New Roman" w:eastAsia="宋体" w:hAnsi="Times New Roman" w:cs="Times New Roman"/>
                <w:szCs w:val="20"/>
              </w:rPr>
            </w:pPr>
            <w:r w:rsidRPr="004865EF">
              <w:rPr>
                <w:rFonts w:ascii="Times New Roman" w:eastAsia="宋体" w:hAnsi="Times New Roman" w:cs="Times New Roman"/>
                <w:szCs w:val="20"/>
              </w:rPr>
              <w:t>6,852.00</w:t>
            </w:r>
          </w:p>
        </w:tc>
        <w:tc>
          <w:tcPr>
            <w:tcW w:w="1442" w:type="dxa"/>
            <w:vAlign w:val="center"/>
          </w:tcPr>
          <w:p w14:paraId="2F2A8ED3" w14:textId="0C2A9B64" w:rsidR="000C4942" w:rsidRPr="004865EF" w:rsidRDefault="000C4942" w:rsidP="00675378">
            <w:pPr>
              <w:widowControl/>
              <w:jc w:val="center"/>
              <w:rPr>
                <w:rFonts w:ascii="Times New Roman" w:eastAsia="宋体" w:hAnsi="Times New Roman" w:cs="Times New Roman"/>
                <w:szCs w:val="20"/>
              </w:rPr>
            </w:pPr>
            <w:r w:rsidRPr="004865EF">
              <w:rPr>
                <w:rFonts w:ascii="Times New Roman" w:eastAsia="宋体" w:hAnsi="Times New Roman" w:cs="Times New Roman"/>
                <w:szCs w:val="20"/>
              </w:rPr>
              <w:t>2019</w:t>
            </w:r>
            <w:r w:rsidRPr="004865EF">
              <w:rPr>
                <w:rFonts w:ascii="Times New Roman" w:eastAsia="宋体" w:hAnsi="Times New Roman" w:cs="Times New Roman" w:hint="eastAsia"/>
                <w:szCs w:val="20"/>
              </w:rPr>
              <w:t>年</w:t>
            </w:r>
            <w:r w:rsidRPr="004865EF">
              <w:rPr>
                <w:rFonts w:ascii="Times New Roman" w:eastAsia="宋体" w:hAnsi="Times New Roman" w:cs="Times New Roman"/>
                <w:szCs w:val="20"/>
              </w:rPr>
              <w:t>12</w:t>
            </w:r>
            <w:r w:rsidRPr="004865EF">
              <w:rPr>
                <w:rFonts w:ascii="Times New Roman" w:eastAsia="宋体" w:hAnsi="Times New Roman" w:cs="Times New Roman" w:hint="eastAsia"/>
                <w:szCs w:val="20"/>
              </w:rPr>
              <w:t>月</w:t>
            </w:r>
          </w:p>
        </w:tc>
      </w:tr>
    </w:tbl>
    <w:p w14:paraId="0186735C" w14:textId="2D918414" w:rsidR="00854657" w:rsidRPr="004865EF" w:rsidRDefault="00854657" w:rsidP="00675378">
      <w:pPr>
        <w:adjustRightInd w:val="0"/>
        <w:snapToGrid w:val="0"/>
        <w:ind w:firstLine="420"/>
        <w:rPr>
          <w:rFonts w:ascii="Times New Roman" w:eastAsia="宋体" w:hAnsi="Times New Roman" w:cs="Times New Roman"/>
          <w:szCs w:val="22"/>
        </w:rPr>
      </w:pPr>
      <w:r w:rsidRPr="004865EF">
        <w:rPr>
          <w:rFonts w:ascii="Times New Roman" w:eastAsia="宋体" w:hAnsi="Times New Roman" w:cs="Times New Roman" w:hint="eastAsia"/>
          <w:szCs w:val="22"/>
        </w:rPr>
        <w:t>注：上表中的交易均价</w:t>
      </w:r>
      <w:r w:rsidRPr="004865EF">
        <w:rPr>
          <w:rFonts w:ascii="Times New Roman" w:eastAsia="宋体" w:hAnsi="Times New Roman" w:cs="Times New Roman"/>
          <w:szCs w:val="22"/>
        </w:rPr>
        <w:t>为不</w:t>
      </w:r>
      <w:r w:rsidRPr="004865EF">
        <w:rPr>
          <w:rFonts w:ascii="Times New Roman" w:eastAsia="宋体" w:hAnsi="Times New Roman" w:cs="Times New Roman" w:hint="eastAsia"/>
          <w:szCs w:val="22"/>
        </w:rPr>
        <w:t>含税</w:t>
      </w:r>
      <w:r w:rsidRPr="004865EF">
        <w:rPr>
          <w:rFonts w:ascii="Times New Roman" w:eastAsia="宋体" w:hAnsi="Times New Roman" w:cs="Times New Roman"/>
          <w:szCs w:val="22"/>
        </w:rPr>
        <w:t>价格。</w:t>
      </w:r>
    </w:p>
    <w:p w14:paraId="578FBF46" w14:textId="4D3B9315" w:rsidR="00BE2F4A" w:rsidRPr="004865EF" w:rsidRDefault="007C4EEA" w:rsidP="00794AE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以上述三个比较实例的市场交易价格为基础，</w:t>
      </w:r>
      <w:r w:rsidR="005B5E10" w:rsidRPr="004865EF">
        <w:rPr>
          <w:rFonts w:ascii="Times New Roman" w:eastAsia="宋体" w:hAnsi="Times New Roman" w:cs="Times New Roman" w:hint="eastAsia"/>
          <w:sz w:val="24"/>
          <w:szCs w:val="22"/>
        </w:rPr>
        <w:t>经进行交易情况、交易时间、区域因素、个别因素修正</w:t>
      </w:r>
      <w:r w:rsidR="00794AE0" w:rsidRPr="004865EF">
        <w:rPr>
          <w:rFonts w:ascii="Times New Roman" w:eastAsia="宋体" w:hAnsi="Times New Roman" w:cs="Times New Roman" w:hint="eastAsia"/>
          <w:sz w:val="24"/>
          <w:szCs w:val="22"/>
        </w:rPr>
        <w:t>后交易</w:t>
      </w:r>
      <w:r w:rsidR="00794AE0" w:rsidRPr="004865EF">
        <w:rPr>
          <w:rFonts w:ascii="Times New Roman" w:eastAsia="宋体" w:hAnsi="Times New Roman" w:cs="Times New Roman"/>
          <w:sz w:val="24"/>
          <w:szCs w:val="22"/>
        </w:rPr>
        <w:t>单价</w:t>
      </w:r>
      <w:r w:rsidR="00794AE0" w:rsidRPr="004865EF">
        <w:rPr>
          <w:rFonts w:ascii="Times New Roman" w:eastAsia="宋体" w:hAnsi="Times New Roman" w:cs="Times New Roman" w:hint="eastAsia"/>
          <w:sz w:val="24"/>
          <w:szCs w:val="22"/>
        </w:rPr>
        <w:t>为</w:t>
      </w:r>
      <w:r w:rsidR="007D4BCA" w:rsidRPr="004865EF">
        <w:rPr>
          <w:rFonts w:ascii="Times New Roman" w:eastAsia="宋体" w:hAnsi="Times New Roman" w:cs="Times New Roman"/>
          <w:sz w:val="24"/>
          <w:szCs w:val="22"/>
        </w:rPr>
        <w:t>7,543</w:t>
      </w:r>
      <w:r w:rsidR="007D4BCA" w:rsidRPr="004865EF">
        <w:rPr>
          <w:rFonts w:ascii="Times New Roman" w:eastAsia="宋体" w:hAnsi="Times New Roman" w:cs="Times New Roman" w:hint="eastAsia"/>
          <w:sz w:val="24"/>
          <w:szCs w:val="22"/>
        </w:rPr>
        <w:t>元</w:t>
      </w:r>
      <w:r w:rsidR="007D4BCA" w:rsidRPr="004865EF">
        <w:rPr>
          <w:rFonts w:ascii="Times New Roman" w:eastAsia="宋体" w:hAnsi="Times New Roman" w:cs="Times New Roman"/>
          <w:sz w:val="24"/>
          <w:szCs w:val="22"/>
        </w:rPr>
        <w:t>/</w:t>
      </w:r>
      <w:r w:rsidR="007D4BCA" w:rsidRPr="004865EF">
        <w:rPr>
          <w:rFonts w:ascii="Times New Roman" w:eastAsia="宋体" w:hAnsi="Times New Roman" w:cs="Times New Roman" w:hint="eastAsia"/>
          <w:sz w:val="24"/>
          <w:szCs w:val="22"/>
        </w:rPr>
        <w:t>平方米、</w:t>
      </w:r>
      <w:r w:rsidR="007D4BCA" w:rsidRPr="004865EF">
        <w:rPr>
          <w:rFonts w:ascii="Times New Roman" w:eastAsia="宋体" w:hAnsi="Times New Roman" w:cs="Times New Roman"/>
          <w:sz w:val="24"/>
          <w:szCs w:val="22"/>
        </w:rPr>
        <w:t>7,466</w:t>
      </w:r>
      <w:r w:rsidR="007D4BCA" w:rsidRPr="004865EF">
        <w:rPr>
          <w:rFonts w:ascii="Times New Roman" w:eastAsia="宋体" w:hAnsi="Times New Roman" w:cs="Times New Roman" w:hint="eastAsia"/>
          <w:sz w:val="24"/>
          <w:szCs w:val="22"/>
        </w:rPr>
        <w:t>元</w:t>
      </w:r>
      <w:r w:rsidR="007D4BCA" w:rsidRPr="004865EF">
        <w:rPr>
          <w:rFonts w:ascii="Times New Roman" w:eastAsia="宋体" w:hAnsi="Times New Roman" w:cs="Times New Roman"/>
          <w:sz w:val="24"/>
          <w:szCs w:val="22"/>
        </w:rPr>
        <w:t>/</w:t>
      </w:r>
      <w:r w:rsidR="007D4BCA" w:rsidRPr="004865EF">
        <w:rPr>
          <w:rFonts w:ascii="Times New Roman" w:eastAsia="宋体" w:hAnsi="Times New Roman" w:cs="Times New Roman" w:hint="eastAsia"/>
          <w:sz w:val="24"/>
          <w:szCs w:val="22"/>
        </w:rPr>
        <w:t>平方米、</w:t>
      </w:r>
      <w:r w:rsidR="007D4BCA" w:rsidRPr="004865EF">
        <w:rPr>
          <w:rFonts w:ascii="Times New Roman" w:eastAsia="宋体" w:hAnsi="Times New Roman" w:cs="Times New Roman"/>
          <w:sz w:val="24"/>
          <w:szCs w:val="22"/>
        </w:rPr>
        <w:t>7,137</w:t>
      </w:r>
      <w:r w:rsidR="007D4BCA" w:rsidRPr="004865EF">
        <w:rPr>
          <w:rFonts w:ascii="Times New Roman" w:eastAsia="宋体" w:hAnsi="Times New Roman" w:cs="Times New Roman" w:hint="eastAsia"/>
          <w:sz w:val="24"/>
          <w:szCs w:val="22"/>
        </w:rPr>
        <w:t>元</w:t>
      </w:r>
      <w:r w:rsidR="007D4BCA" w:rsidRPr="004865EF">
        <w:rPr>
          <w:rFonts w:ascii="Times New Roman" w:eastAsia="宋体" w:hAnsi="Times New Roman" w:cs="Times New Roman"/>
          <w:sz w:val="24"/>
          <w:szCs w:val="22"/>
        </w:rPr>
        <w:t>/</w:t>
      </w:r>
      <w:r w:rsidR="007D4BCA" w:rsidRPr="004865EF">
        <w:rPr>
          <w:rFonts w:ascii="Times New Roman" w:eastAsia="宋体" w:hAnsi="Times New Roman" w:cs="Times New Roman" w:hint="eastAsia"/>
          <w:sz w:val="24"/>
          <w:szCs w:val="22"/>
        </w:rPr>
        <w:t>平方米</w:t>
      </w:r>
      <w:r w:rsidR="00BE2F4A" w:rsidRPr="004865EF">
        <w:rPr>
          <w:rFonts w:ascii="Times New Roman" w:eastAsia="宋体" w:hAnsi="Times New Roman" w:cs="Times New Roman" w:hint="eastAsia"/>
          <w:sz w:val="24"/>
          <w:szCs w:val="22"/>
        </w:rPr>
        <w:t>，</w:t>
      </w:r>
      <w:r w:rsidR="007D4BCA" w:rsidRPr="004865EF">
        <w:rPr>
          <w:rFonts w:ascii="Times New Roman" w:eastAsia="宋体" w:hAnsi="Times New Roman" w:cs="Times New Roman" w:hint="eastAsia"/>
          <w:sz w:val="24"/>
          <w:szCs w:val="22"/>
        </w:rPr>
        <w:t>从而</w:t>
      </w:r>
      <w:r w:rsidR="00794AE0" w:rsidRPr="004865EF">
        <w:rPr>
          <w:rFonts w:ascii="Times New Roman" w:eastAsia="宋体" w:hAnsi="Times New Roman" w:cs="Times New Roman" w:hint="eastAsia"/>
          <w:sz w:val="24"/>
          <w:szCs w:val="22"/>
        </w:rPr>
        <w:t>取</w:t>
      </w:r>
      <w:r w:rsidR="00794AE0" w:rsidRPr="004865EF">
        <w:rPr>
          <w:rFonts w:ascii="Times New Roman" w:eastAsia="宋体" w:hAnsi="Times New Roman" w:cs="Times New Roman"/>
          <w:sz w:val="24"/>
          <w:szCs w:val="22"/>
        </w:rPr>
        <w:t>算术平均值</w:t>
      </w:r>
      <w:r w:rsidR="00BE2F4A" w:rsidRPr="004865EF">
        <w:rPr>
          <w:rFonts w:ascii="Times New Roman" w:eastAsia="宋体" w:hAnsi="Times New Roman" w:cs="Times New Roman" w:hint="eastAsia"/>
          <w:sz w:val="24"/>
          <w:szCs w:val="22"/>
        </w:rPr>
        <w:t>确定</w:t>
      </w:r>
      <w:r w:rsidR="00794AE0" w:rsidRPr="004865EF">
        <w:rPr>
          <w:rFonts w:ascii="Times New Roman" w:eastAsia="宋体" w:hAnsi="Times New Roman" w:cs="Times New Roman" w:hint="eastAsia"/>
          <w:sz w:val="24"/>
          <w:szCs w:val="22"/>
        </w:rPr>
        <w:t>评估价值</w:t>
      </w:r>
      <w:r w:rsidR="007D4BCA" w:rsidRPr="004865EF">
        <w:rPr>
          <w:rFonts w:ascii="Times New Roman" w:eastAsia="宋体" w:hAnsi="Times New Roman" w:cs="Times New Roman"/>
          <w:sz w:val="24"/>
          <w:szCs w:val="22"/>
        </w:rPr>
        <w:t>7,382</w:t>
      </w:r>
      <w:r w:rsidR="007D4BCA" w:rsidRPr="004865EF">
        <w:rPr>
          <w:rFonts w:ascii="Times New Roman" w:eastAsia="宋体" w:hAnsi="Times New Roman" w:cs="Times New Roman" w:hint="eastAsia"/>
          <w:sz w:val="24"/>
          <w:szCs w:val="22"/>
        </w:rPr>
        <w:t>元</w:t>
      </w:r>
      <w:r w:rsidR="007D4BCA" w:rsidRPr="004865EF">
        <w:rPr>
          <w:rFonts w:ascii="Times New Roman" w:eastAsia="宋体" w:hAnsi="Times New Roman" w:cs="Times New Roman"/>
          <w:sz w:val="24"/>
          <w:szCs w:val="22"/>
        </w:rPr>
        <w:t>/</w:t>
      </w:r>
      <w:r w:rsidR="007D4BCA" w:rsidRPr="004865EF">
        <w:rPr>
          <w:rFonts w:ascii="Times New Roman" w:eastAsia="宋体" w:hAnsi="Times New Roman" w:cs="Times New Roman" w:hint="eastAsia"/>
          <w:sz w:val="24"/>
          <w:szCs w:val="22"/>
        </w:rPr>
        <w:t>平方米</w:t>
      </w:r>
      <w:r w:rsidR="00BE2F4A" w:rsidRPr="004865EF">
        <w:rPr>
          <w:rFonts w:ascii="Times New Roman" w:eastAsia="宋体" w:hAnsi="Times New Roman" w:cs="Times New Roman" w:hint="eastAsia"/>
          <w:sz w:val="24"/>
          <w:szCs w:val="22"/>
        </w:rPr>
        <w:t>，评估值中包含土地使用权价值。具体计算公式为：</w:t>
      </w:r>
      <w:proofErr w:type="gramStart"/>
      <w:r w:rsidR="00BE2F4A" w:rsidRPr="004865EF">
        <w:rPr>
          <w:rFonts w:ascii="Times New Roman" w:eastAsia="宋体" w:hAnsi="Times New Roman" w:cs="Times New Roman" w:hint="eastAsia"/>
          <w:sz w:val="24"/>
          <w:szCs w:val="22"/>
        </w:rPr>
        <w:t>待估房地产</w:t>
      </w:r>
      <w:proofErr w:type="gramEnd"/>
      <w:r w:rsidR="00BE2F4A" w:rsidRPr="004865EF">
        <w:rPr>
          <w:rFonts w:ascii="Times New Roman" w:eastAsia="宋体" w:hAnsi="Times New Roman" w:cs="Times New Roman" w:hint="eastAsia"/>
          <w:sz w:val="24"/>
          <w:szCs w:val="22"/>
        </w:rPr>
        <w:t>价格</w:t>
      </w:r>
      <w:r w:rsidR="00BE2F4A" w:rsidRPr="004865EF">
        <w:rPr>
          <w:rFonts w:ascii="Times New Roman" w:eastAsia="宋体" w:hAnsi="Times New Roman" w:cs="Times New Roman" w:hint="eastAsia"/>
          <w:sz w:val="24"/>
          <w:szCs w:val="22"/>
        </w:rPr>
        <w:t>=</w:t>
      </w:r>
      <w:r w:rsidR="00BE2F4A" w:rsidRPr="004865EF">
        <w:rPr>
          <w:rFonts w:ascii="Times New Roman" w:eastAsia="宋体" w:hAnsi="Times New Roman" w:cs="Times New Roman" w:hint="eastAsia"/>
          <w:sz w:val="24"/>
          <w:szCs w:val="22"/>
        </w:rPr>
        <w:t>参照物交易价格×正常交易</w:t>
      </w:r>
      <w:r w:rsidR="00BE2F4A" w:rsidRPr="004865EF">
        <w:rPr>
          <w:rFonts w:ascii="Times New Roman" w:eastAsia="宋体" w:hAnsi="Times New Roman" w:cs="Times New Roman" w:hint="eastAsia"/>
          <w:sz w:val="24"/>
          <w:szCs w:val="22"/>
        </w:rPr>
        <w:lastRenderedPageBreak/>
        <w:t>情况</w:t>
      </w:r>
      <w:r w:rsidR="00BE2F4A" w:rsidRPr="004865EF">
        <w:rPr>
          <w:rFonts w:ascii="Times New Roman" w:eastAsia="宋体" w:hAnsi="Times New Roman" w:cs="Times New Roman" w:hint="eastAsia"/>
          <w:sz w:val="24"/>
          <w:szCs w:val="22"/>
        </w:rPr>
        <w:t>/</w:t>
      </w:r>
      <w:r w:rsidR="00BE2F4A" w:rsidRPr="004865EF">
        <w:rPr>
          <w:rFonts w:ascii="Times New Roman" w:eastAsia="宋体" w:hAnsi="Times New Roman" w:cs="Times New Roman" w:hint="eastAsia"/>
          <w:sz w:val="24"/>
          <w:szCs w:val="22"/>
        </w:rPr>
        <w:t>参照物交易情况×</w:t>
      </w:r>
      <w:proofErr w:type="gramStart"/>
      <w:r w:rsidR="00BE2F4A" w:rsidRPr="004865EF">
        <w:rPr>
          <w:rFonts w:ascii="Times New Roman" w:eastAsia="宋体" w:hAnsi="Times New Roman" w:cs="Times New Roman" w:hint="eastAsia"/>
          <w:sz w:val="24"/>
          <w:szCs w:val="22"/>
        </w:rPr>
        <w:t>待估房地产</w:t>
      </w:r>
      <w:proofErr w:type="gramEnd"/>
      <w:r w:rsidR="00BE2F4A" w:rsidRPr="004865EF">
        <w:rPr>
          <w:rFonts w:ascii="Times New Roman" w:eastAsia="宋体" w:hAnsi="Times New Roman" w:cs="Times New Roman" w:hint="eastAsia"/>
          <w:sz w:val="24"/>
          <w:szCs w:val="22"/>
        </w:rPr>
        <w:t>评估基准日价格指数</w:t>
      </w:r>
      <w:r w:rsidR="00BE2F4A" w:rsidRPr="004865EF">
        <w:rPr>
          <w:rFonts w:ascii="Times New Roman" w:eastAsia="宋体" w:hAnsi="Times New Roman" w:cs="Times New Roman" w:hint="eastAsia"/>
          <w:sz w:val="24"/>
          <w:szCs w:val="22"/>
        </w:rPr>
        <w:t>/</w:t>
      </w:r>
      <w:r w:rsidR="00BE2F4A" w:rsidRPr="004865EF">
        <w:rPr>
          <w:rFonts w:ascii="Times New Roman" w:eastAsia="宋体" w:hAnsi="Times New Roman" w:cs="Times New Roman" w:hint="eastAsia"/>
          <w:sz w:val="24"/>
          <w:szCs w:val="22"/>
        </w:rPr>
        <w:t>参照物房地产交易日价格指数×</w:t>
      </w:r>
      <w:proofErr w:type="gramStart"/>
      <w:r w:rsidR="00BE2F4A" w:rsidRPr="004865EF">
        <w:rPr>
          <w:rFonts w:ascii="Times New Roman" w:eastAsia="宋体" w:hAnsi="Times New Roman" w:cs="Times New Roman" w:hint="eastAsia"/>
          <w:sz w:val="24"/>
          <w:szCs w:val="22"/>
        </w:rPr>
        <w:t>待估房地产</w:t>
      </w:r>
      <w:proofErr w:type="gramEnd"/>
      <w:r w:rsidR="00BE2F4A" w:rsidRPr="004865EF">
        <w:rPr>
          <w:rFonts w:ascii="Times New Roman" w:eastAsia="宋体" w:hAnsi="Times New Roman" w:cs="Times New Roman" w:hint="eastAsia"/>
          <w:sz w:val="24"/>
          <w:szCs w:val="22"/>
        </w:rPr>
        <w:t>区域因素值</w:t>
      </w:r>
      <w:r w:rsidR="00BE2F4A" w:rsidRPr="004865EF">
        <w:rPr>
          <w:rFonts w:ascii="Times New Roman" w:eastAsia="宋体" w:hAnsi="Times New Roman" w:cs="Times New Roman" w:hint="eastAsia"/>
          <w:sz w:val="24"/>
          <w:szCs w:val="22"/>
        </w:rPr>
        <w:t>/</w:t>
      </w:r>
      <w:r w:rsidR="00BE2F4A" w:rsidRPr="004865EF">
        <w:rPr>
          <w:rFonts w:ascii="Times New Roman" w:eastAsia="宋体" w:hAnsi="Times New Roman" w:cs="Times New Roman" w:hint="eastAsia"/>
          <w:sz w:val="24"/>
          <w:szCs w:val="22"/>
        </w:rPr>
        <w:t>参照物房地产区域因素值×</w:t>
      </w:r>
      <w:proofErr w:type="gramStart"/>
      <w:r w:rsidR="00BE2F4A" w:rsidRPr="004865EF">
        <w:rPr>
          <w:rFonts w:ascii="Times New Roman" w:eastAsia="宋体" w:hAnsi="Times New Roman" w:cs="Times New Roman" w:hint="eastAsia"/>
          <w:sz w:val="24"/>
          <w:szCs w:val="22"/>
        </w:rPr>
        <w:t>待估房地产</w:t>
      </w:r>
      <w:proofErr w:type="gramEnd"/>
      <w:r w:rsidR="00BE2F4A" w:rsidRPr="004865EF">
        <w:rPr>
          <w:rFonts w:ascii="Times New Roman" w:eastAsia="宋体" w:hAnsi="Times New Roman" w:cs="Times New Roman" w:hint="eastAsia"/>
          <w:sz w:val="24"/>
          <w:szCs w:val="22"/>
        </w:rPr>
        <w:t>个别因素值</w:t>
      </w:r>
      <w:r w:rsidR="00BE2F4A" w:rsidRPr="004865EF">
        <w:rPr>
          <w:rFonts w:ascii="Times New Roman" w:eastAsia="宋体" w:hAnsi="Times New Roman" w:cs="Times New Roman" w:hint="eastAsia"/>
          <w:sz w:val="24"/>
          <w:szCs w:val="22"/>
        </w:rPr>
        <w:t>/</w:t>
      </w:r>
      <w:r w:rsidR="00BE2F4A" w:rsidRPr="004865EF">
        <w:rPr>
          <w:rFonts w:ascii="Times New Roman" w:eastAsia="宋体" w:hAnsi="Times New Roman" w:cs="Times New Roman" w:hint="eastAsia"/>
          <w:sz w:val="24"/>
          <w:szCs w:val="22"/>
        </w:rPr>
        <w:t>参照物房地产个别因素值。</w:t>
      </w:r>
    </w:p>
    <w:p w14:paraId="40A9D23F" w14:textId="77777777" w:rsidR="00BE2F4A" w:rsidRPr="004865EF" w:rsidRDefault="00BE2F4A" w:rsidP="00E81D06">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通过市场调查并查询有关</w:t>
      </w:r>
      <w:proofErr w:type="gramStart"/>
      <w:r w:rsidRPr="004865EF">
        <w:rPr>
          <w:rFonts w:ascii="Times New Roman" w:eastAsia="宋体" w:hAnsi="Times New Roman" w:cs="Times New Roman" w:hint="eastAsia"/>
          <w:sz w:val="24"/>
          <w:szCs w:val="22"/>
        </w:rPr>
        <w:t>燕郊高新区</w:t>
      </w:r>
      <w:proofErr w:type="gramEnd"/>
      <w:r w:rsidRPr="004865EF">
        <w:rPr>
          <w:rFonts w:ascii="Times New Roman" w:eastAsia="宋体" w:hAnsi="Times New Roman" w:cs="Times New Roman" w:hint="eastAsia"/>
          <w:sz w:val="24"/>
          <w:szCs w:val="22"/>
        </w:rPr>
        <w:t>工业地产租售信息，该区域或者类似区域与评估对象类似规模的工业厂房成交案例较多，选择交易情况、日期、区域以及个别因素与智达云</w:t>
      </w:r>
      <w:proofErr w:type="gramStart"/>
      <w:r w:rsidRPr="004865EF">
        <w:rPr>
          <w:rFonts w:ascii="Times New Roman" w:eastAsia="宋体" w:hAnsi="Times New Roman" w:cs="Times New Roman" w:hint="eastAsia"/>
          <w:sz w:val="24"/>
          <w:szCs w:val="22"/>
        </w:rPr>
        <w:t>创较为</w:t>
      </w:r>
      <w:proofErr w:type="gramEnd"/>
      <w:r w:rsidRPr="004865EF">
        <w:rPr>
          <w:rFonts w:ascii="Times New Roman" w:eastAsia="宋体" w:hAnsi="Times New Roman" w:cs="Times New Roman" w:hint="eastAsia"/>
          <w:sz w:val="24"/>
          <w:szCs w:val="22"/>
        </w:rPr>
        <w:t>相似的工业厂房的市场销售单价，并根据评估方法及市场价格修正，得出智达云创房屋建筑物在评估基准日的房地产价值为</w:t>
      </w:r>
      <w:r w:rsidRPr="004865EF">
        <w:rPr>
          <w:rFonts w:ascii="Times New Roman" w:eastAsia="宋体" w:hAnsi="Times New Roman" w:cs="Times New Roman"/>
          <w:sz w:val="24"/>
          <w:szCs w:val="22"/>
        </w:rPr>
        <w:t>26,842.78</w:t>
      </w:r>
      <w:r w:rsidRPr="004865EF">
        <w:rPr>
          <w:rFonts w:ascii="Times New Roman" w:eastAsia="宋体" w:hAnsi="Times New Roman" w:cs="Times New Roman" w:hint="eastAsia"/>
          <w:sz w:val="24"/>
          <w:szCs w:val="22"/>
        </w:rPr>
        <w:t>万元，增值率为</w:t>
      </w:r>
      <w:r w:rsidRPr="004865EF">
        <w:rPr>
          <w:rFonts w:ascii="Times New Roman" w:eastAsia="宋体" w:hAnsi="Times New Roman" w:cs="Times New Roman"/>
          <w:sz w:val="24"/>
          <w:szCs w:val="22"/>
        </w:rPr>
        <w:t>438.87%</w:t>
      </w:r>
      <w:r w:rsidRPr="004865EF">
        <w:rPr>
          <w:rFonts w:ascii="Times New Roman" w:eastAsia="宋体" w:hAnsi="Times New Roman" w:cs="Times New Roman" w:hint="eastAsia"/>
          <w:sz w:val="24"/>
          <w:szCs w:val="22"/>
        </w:rPr>
        <w:t>。</w:t>
      </w:r>
    </w:p>
    <w:p w14:paraId="4DF3915A" w14:textId="77777777" w:rsidR="00BE2F4A" w:rsidRPr="004865EF" w:rsidRDefault="00BE2F4A" w:rsidP="00C674CB">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hint="eastAsia"/>
          <w:b/>
          <w:bCs/>
          <w:sz w:val="24"/>
          <w:szCs w:val="22"/>
        </w:rPr>
        <w:t>2</w:t>
      </w:r>
      <w:r w:rsidRPr="004865EF">
        <w:rPr>
          <w:rFonts w:ascii="Times New Roman" w:eastAsia="宋体" w:hAnsi="Times New Roman" w:cs="Times New Roman" w:hint="eastAsia"/>
          <w:b/>
          <w:bCs/>
          <w:sz w:val="24"/>
          <w:szCs w:val="22"/>
        </w:rPr>
        <w:t>、在建工程</w:t>
      </w:r>
    </w:p>
    <w:p w14:paraId="141C1B11" w14:textId="77777777" w:rsidR="0045754F" w:rsidRPr="004865EF" w:rsidRDefault="00BE2F4A" w:rsidP="00333C9D">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智达云创的在建工程为位于河北省三河市</w:t>
      </w:r>
      <w:proofErr w:type="gramStart"/>
      <w:r w:rsidRPr="004865EF">
        <w:rPr>
          <w:rFonts w:ascii="Times New Roman" w:eastAsia="宋体" w:hAnsi="Times New Roman" w:cs="Times New Roman" w:hint="eastAsia"/>
          <w:sz w:val="24"/>
          <w:szCs w:val="22"/>
        </w:rPr>
        <w:t>燕郊高新区创意谷街</w:t>
      </w:r>
      <w:r w:rsidRPr="004865EF">
        <w:rPr>
          <w:rFonts w:ascii="Times New Roman" w:eastAsia="宋体" w:hAnsi="Times New Roman" w:cs="Times New Roman" w:hint="eastAsia"/>
          <w:sz w:val="24"/>
          <w:szCs w:val="22"/>
        </w:rPr>
        <w:t>454</w:t>
      </w:r>
      <w:r w:rsidRPr="004865EF">
        <w:rPr>
          <w:rFonts w:ascii="Times New Roman" w:eastAsia="宋体" w:hAnsi="Times New Roman" w:cs="Times New Roman" w:hint="eastAsia"/>
          <w:sz w:val="24"/>
          <w:szCs w:val="22"/>
        </w:rPr>
        <w:t>号</w:t>
      </w:r>
      <w:proofErr w:type="gramEnd"/>
      <w:r w:rsidRPr="004865EF">
        <w:rPr>
          <w:rFonts w:ascii="Times New Roman" w:eastAsia="宋体" w:hAnsi="Times New Roman" w:cs="Times New Roman" w:hint="eastAsia"/>
          <w:sz w:val="24"/>
          <w:szCs w:val="22"/>
        </w:rPr>
        <w:t>的光环燕郊绿色</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基地三、四期项目厂房。该在建工程（含土地使用权）所在区域类似物业的交易案例较多，能够比较容易预测项目开发完成后的房地产总价，因此采用假设开发法对在建工程进行评估。具体计算公式为：在建工程</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续建完成后房地产价值</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在建工程取得税费</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续建成本</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管理费用</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销售费用</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投资利息</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销售税费</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续建利润</w:t>
      </w:r>
      <w:r w:rsidR="00E2063D" w:rsidRPr="004865EF">
        <w:rPr>
          <w:rFonts w:ascii="Times New Roman" w:eastAsia="宋体" w:hAnsi="Times New Roman" w:cs="Times New Roman" w:hint="eastAsia"/>
          <w:sz w:val="24"/>
          <w:szCs w:val="22"/>
        </w:rPr>
        <w:t>，主要</w:t>
      </w:r>
      <w:r w:rsidR="00B52163" w:rsidRPr="004865EF">
        <w:rPr>
          <w:rFonts w:ascii="Times New Roman" w:eastAsia="宋体" w:hAnsi="Times New Roman" w:cs="Times New Roman" w:hint="eastAsia"/>
          <w:sz w:val="24"/>
          <w:szCs w:val="22"/>
        </w:rPr>
        <w:t>参数</w:t>
      </w:r>
      <w:r w:rsidR="00E2063D" w:rsidRPr="004865EF">
        <w:rPr>
          <w:rFonts w:ascii="Times New Roman" w:eastAsia="宋体" w:hAnsi="Times New Roman" w:cs="Times New Roman" w:hint="eastAsia"/>
          <w:sz w:val="24"/>
          <w:szCs w:val="22"/>
        </w:rPr>
        <w:t>说明如下：</w:t>
      </w:r>
    </w:p>
    <w:p w14:paraId="154707D6" w14:textId="42C7B35E" w:rsidR="008954B5" w:rsidRPr="004865EF" w:rsidRDefault="00FA0C53" w:rsidP="002867A4">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Pr="004865EF">
        <w:rPr>
          <w:rFonts w:ascii="Times New Roman" w:eastAsia="宋体" w:hAnsi="Times New Roman" w:cs="Times New Roman"/>
          <w:sz w:val="24"/>
          <w:szCs w:val="22"/>
        </w:rPr>
        <w:t>1</w:t>
      </w:r>
      <w:r w:rsidRPr="004865EF">
        <w:rPr>
          <w:rFonts w:ascii="Times New Roman" w:eastAsia="宋体" w:hAnsi="Times New Roman" w:cs="Times New Roman" w:hint="eastAsia"/>
          <w:sz w:val="24"/>
          <w:szCs w:val="22"/>
        </w:rPr>
        <w:t>）</w:t>
      </w:r>
      <w:r w:rsidR="00AA2A1E" w:rsidRPr="004865EF">
        <w:rPr>
          <w:rFonts w:ascii="Times New Roman" w:eastAsia="宋体" w:hAnsi="Times New Roman" w:cs="Times New Roman" w:hint="eastAsia"/>
          <w:sz w:val="24"/>
          <w:szCs w:val="22"/>
        </w:rPr>
        <w:t>续建完成后房地产价值</w:t>
      </w:r>
      <w:r w:rsidR="00A97BD3" w:rsidRPr="004865EF">
        <w:rPr>
          <w:rFonts w:ascii="Times New Roman" w:eastAsia="宋体" w:hAnsi="Times New Roman" w:cs="Times New Roman" w:hint="eastAsia"/>
          <w:sz w:val="24"/>
          <w:szCs w:val="22"/>
        </w:rPr>
        <w:t>按照</w:t>
      </w:r>
      <w:r w:rsidRPr="004865EF">
        <w:rPr>
          <w:rFonts w:ascii="Times New Roman" w:eastAsia="宋体" w:hAnsi="Times New Roman" w:cs="Times New Roman" w:hint="eastAsia"/>
          <w:sz w:val="24"/>
          <w:szCs w:val="22"/>
        </w:rPr>
        <w:t>前述</w:t>
      </w:r>
      <w:r w:rsidR="00A97BD3" w:rsidRPr="004865EF">
        <w:rPr>
          <w:rFonts w:ascii="Times New Roman" w:eastAsia="宋体" w:hAnsi="Times New Roman" w:cs="Times New Roman" w:hint="eastAsia"/>
          <w:sz w:val="24"/>
          <w:szCs w:val="22"/>
        </w:rPr>
        <w:t>已有</w:t>
      </w:r>
      <w:r w:rsidRPr="004865EF">
        <w:rPr>
          <w:rFonts w:ascii="Times New Roman" w:eastAsia="宋体" w:hAnsi="Times New Roman" w:cs="Times New Roman" w:hint="eastAsia"/>
          <w:sz w:val="24"/>
          <w:szCs w:val="22"/>
        </w:rPr>
        <w:t>房屋建筑物</w:t>
      </w:r>
      <w:r w:rsidR="00A97BD3" w:rsidRPr="004865EF">
        <w:rPr>
          <w:rFonts w:ascii="Times New Roman" w:eastAsia="宋体" w:hAnsi="Times New Roman" w:cs="Times New Roman" w:hint="eastAsia"/>
          <w:sz w:val="24"/>
          <w:szCs w:val="22"/>
        </w:rPr>
        <w:t>的</w:t>
      </w:r>
      <w:r w:rsidRPr="004865EF">
        <w:rPr>
          <w:rFonts w:ascii="Times New Roman" w:eastAsia="宋体" w:hAnsi="Times New Roman" w:cs="Times New Roman" w:hint="eastAsia"/>
          <w:sz w:val="24"/>
          <w:szCs w:val="22"/>
        </w:rPr>
        <w:t>评估单价</w:t>
      </w:r>
      <w:r w:rsidR="002F28A2" w:rsidRPr="004865EF">
        <w:rPr>
          <w:rFonts w:ascii="Times New Roman" w:eastAsia="宋体" w:hAnsi="Times New Roman" w:cs="Times New Roman"/>
          <w:sz w:val="24"/>
          <w:szCs w:val="22"/>
        </w:rPr>
        <w:t>7,382</w:t>
      </w:r>
      <w:r w:rsidR="002F28A2" w:rsidRPr="004865EF">
        <w:rPr>
          <w:rFonts w:ascii="Times New Roman" w:eastAsia="宋体" w:hAnsi="Times New Roman" w:cs="Times New Roman" w:hint="eastAsia"/>
          <w:sz w:val="24"/>
          <w:szCs w:val="22"/>
        </w:rPr>
        <w:t>元</w:t>
      </w:r>
      <w:r w:rsidR="002F28A2" w:rsidRPr="004865EF">
        <w:rPr>
          <w:rFonts w:ascii="Times New Roman" w:eastAsia="宋体" w:hAnsi="Times New Roman" w:cs="Times New Roman"/>
          <w:sz w:val="24"/>
          <w:szCs w:val="22"/>
        </w:rPr>
        <w:t>/</w:t>
      </w:r>
      <w:r w:rsidR="002F28A2" w:rsidRPr="004865EF">
        <w:rPr>
          <w:rFonts w:ascii="Times New Roman" w:eastAsia="宋体" w:hAnsi="Times New Roman" w:cs="Times New Roman" w:hint="eastAsia"/>
          <w:sz w:val="24"/>
          <w:szCs w:val="22"/>
        </w:rPr>
        <w:t>平方米</w:t>
      </w:r>
      <w:r w:rsidR="00A97BD3" w:rsidRPr="004865EF">
        <w:rPr>
          <w:rFonts w:ascii="Times New Roman" w:eastAsia="宋体" w:hAnsi="Times New Roman" w:cs="Times New Roman" w:hint="eastAsia"/>
          <w:sz w:val="24"/>
          <w:szCs w:val="22"/>
        </w:rPr>
        <w:t>为基础</w:t>
      </w:r>
      <w:r w:rsidR="003A5500" w:rsidRPr="004865EF">
        <w:rPr>
          <w:rFonts w:ascii="Times New Roman" w:eastAsia="宋体" w:hAnsi="Times New Roman" w:cs="Times New Roman" w:hint="eastAsia"/>
          <w:sz w:val="24"/>
          <w:szCs w:val="22"/>
        </w:rPr>
        <w:t>并</w:t>
      </w:r>
      <w:r w:rsidRPr="004865EF">
        <w:rPr>
          <w:rFonts w:ascii="Times New Roman" w:eastAsia="宋体" w:hAnsi="Times New Roman" w:cs="Times New Roman" w:hint="eastAsia"/>
          <w:sz w:val="24"/>
          <w:szCs w:val="22"/>
        </w:rPr>
        <w:t>进行新旧程度调整后</w:t>
      </w:r>
      <w:r w:rsidR="005E4BE3" w:rsidRPr="004865EF">
        <w:rPr>
          <w:rFonts w:ascii="Times New Roman" w:eastAsia="宋体" w:hAnsi="Times New Roman" w:cs="Times New Roman" w:hint="eastAsia"/>
          <w:sz w:val="24"/>
          <w:szCs w:val="22"/>
        </w:rPr>
        <w:t>确定</w:t>
      </w:r>
      <w:r w:rsidR="00A97BD3" w:rsidRPr="004865EF">
        <w:rPr>
          <w:rFonts w:ascii="Times New Roman" w:eastAsia="宋体" w:hAnsi="Times New Roman" w:cs="Times New Roman" w:hint="eastAsia"/>
          <w:sz w:val="24"/>
          <w:szCs w:val="22"/>
        </w:rPr>
        <w:t>为</w:t>
      </w:r>
      <w:r w:rsidR="00A97BD3" w:rsidRPr="004865EF">
        <w:rPr>
          <w:rFonts w:ascii="Times New Roman" w:eastAsia="宋体" w:hAnsi="Times New Roman" w:cs="Times New Roman"/>
          <w:sz w:val="24"/>
          <w:szCs w:val="22"/>
        </w:rPr>
        <w:t>7,456</w:t>
      </w:r>
      <w:r w:rsidR="00A97BD3" w:rsidRPr="004865EF">
        <w:rPr>
          <w:rFonts w:ascii="Times New Roman" w:eastAsia="宋体" w:hAnsi="Times New Roman" w:cs="Times New Roman" w:hint="eastAsia"/>
          <w:sz w:val="24"/>
          <w:szCs w:val="22"/>
        </w:rPr>
        <w:t>元</w:t>
      </w:r>
      <w:r w:rsidR="00A97BD3" w:rsidRPr="004865EF">
        <w:rPr>
          <w:rFonts w:ascii="Times New Roman" w:eastAsia="宋体" w:hAnsi="Times New Roman" w:cs="Times New Roman"/>
          <w:sz w:val="24"/>
          <w:szCs w:val="22"/>
        </w:rPr>
        <w:t>/</w:t>
      </w:r>
      <w:r w:rsidR="00A97BD3" w:rsidRPr="004865EF">
        <w:rPr>
          <w:rFonts w:ascii="Times New Roman" w:eastAsia="宋体" w:hAnsi="Times New Roman" w:cs="Times New Roman" w:hint="eastAsia"/>
          <w:sz w:val="24"/>
          <w:szCs w:val="22"/>
        </w:rPr>
        <w:t>平方米</w:t>
      </w:r>
      <w:r w:rsidR="0047156C" w:rsidRPr="004865EF">
        <w:rPr>
          <w:rFonts w:ascii="Times New Roman" w:eastAsia="宋体" w:hAnsi="Times New Roman" w:cs="Times New Roman" w:hint="eastAsia"/>
          <w:sz w:val="24"/>
          <w:szCs w:val="22"/>
        </w:rPr>
        <w:t>；</w:t>
      </w:r>
    </w:p>
    <w:p w14:paraId="61045A1B" w14:textId="77777777" w:rsidR="008954B5" w:rsidRPr="004865EF" w:rsidRDefault="008954B5" w:rsidP="0022329F">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00BD420D" w:rsidRPr="004865EF">
        <w:rPr>
          <w:rFonts w:ascii="Times New Roman" w:eastAsia="宋体" w:hAnsi="Times New Roman" w:cs="Times New Roman"/>
          <w:sz w:val="24"/>
          <w:szCs w:val="22"/>
        </w:rPr>
        <w:t>2</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sz w:val="24"/>
          <w:szCs w:val="22"/>
        </w:rPr>
        <w:t>在建工程取得的税费</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sz w:val="24"/>
          <w:szCs w:val="22"/>
        </w:rPr>
        <w:t>购地税费主要指取得土地时应缴纳的契税、印花税等，当地现行的契税标准按地价的</w:t>
      </w:r>
      <w:r w:rsidRPr="004865EF">
        <w:rPr>
          <w:rFonts w:ascii="Times New Roman" w:eastAsia="宋体" w:hAnsi="Times New Roman" w:cs="Times New Roman"/>
          <w:sz w:val="24"/>
          <w:szCs w:val="22"/>
        </w:rPr>
        <w:t>4%</w:t>
      </w:r>
      <w:r w:rsidRPr="004865EF">
        <w:rPr>
          <w:rFonts w:ascii="Times New Roman" w:eastAsia="宋体" w:hAnsi="Times New Roman" w:cs="Times New Roman"/>
          <w:sz w:val="24"/>
          <w:szCs w:val="22"/>
        </w:rPr>
        <w:t>计</w:t>
      </w:r>
      <w:r w:rsidR="00DA1A32" w:rsidRPr="004865EF">
        <w:rPr>
          <w:rFonts w:ascii="Times New Roman" w:eastAsia="宋体" w:hAnsi="Times New Roman" w:cs="Times New Roman" w:hint="eastAsia"/>
          <w:sz w:val="24"/>
          <w:szCs w:val="22"/>
        </w:rPr>
        <w:t>，</w:t>
      </w:r>
      <w:r w:rsidRPr="004865EF">
        <w:rPr>
          <w:rFonts w:ascii="Times New Roman" w:eastAsia="宋体" w:hAnsi="Times New Roman" w:cs="Times New Roman"/>
          <w:sz w:val="24"/>
          <w:szCs w:val="22"/>
        </w:rPr>
        <w:t>根据《中华人民共和国印花税暂行条例》，印花税约按地价的</w:t>
      </w:r>
      <w:r w:rsidRPr="004865EF">
        <w:rPr>
          <w:rFonts w:ascii="Times New Roman" w:eastAsia="宋体" w:hAnsi="Times New Roman" w:cs="Times New Roman"/>
          <w:sz w:val="24"/>
          <w:szCs w:val="22"/>
        </w:rPr>
        <w:t>0.05%</w:t>
      </w:r>
      <w:r w:rsidRPr="004865EF">
        <w:rPr>
          <w:rFonts w:ascii="Times New Roman" w:eastAsia="宋体" w:hAnsi="Times New Roman" w:cs="Times New Roman" w:hint="eastAsia"/>
          <w:sz w:val="24"/>
          <w:szCs w:val="22"/>
        </w:rPr>
        <w:t>；</w:t>
      </w:r>
    </w:p>
    <w:p w14:paraId="7F01B4F1" w14:textId="02284E7C" w:rsidR="0022329F" w:rsidRPr="004865EF" w:rsidRDefault="002035E1" w:rsidP="002867A4">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0022329F" w:rsidRPr="004865EF">
        <w:rPr>
          <w:rFonts w:ascii="Times New Roman" w:eastAsia="宋体" w:hAnsi="Times New Roman" w:cs="Times New Roman"/>
          <w:sz w:val="24"/>
          <w:szCs w:val="22"/>
        </w:rPr>
        <w:t>3</w:t>
      </w:r>
      <w:r w:rsidRPr="004865EF">
        <w:rPr>
          <w:rFonts w:ascii="Times New Roman" w:eastAsia="宋体" w:hAnsi="Times New Roman" w:cs="Times New Roman" w:hint="eastAsia"/>
          <w:sz w:val="24"/>
          <w:szCs w:val="22"/>
        </w:rPr>
        <w:t>）</w:t>
      </w:r>
      <w:r w:rsidR="00667C03" w:rsidRPr="004865EF">
        <w:rPr>
          <w:rFonts w:ascii="Times New Roman" w:eastAsia="宋体" w:hAnsi="Times New Roman" w:cs="Times New Roman" w:hint="eastAsia"/>
          <w:sz w:val="24"/>
          <w:szCs w:val="22"/>
        </w:rPr>
        <w:t>续建</w:t>
      </w:r>
      <w:r w:rsidR="00FA0C53" w:rsidRPr="004865EF">
        <w:rPr>
          <w:rFonts w:ascii="Times New Roman" w:eastAsia="宋体" w:hAnsi="Times New Roman" w:cs="Times New Roman"/>
          <w:sz w:val="24"/>
          <w:szCs w:val="22"/>
        </w:rPr>
        <w:t>成本主要包括建造房屋及附属工程所发生的土建工程费用、安装工程费用、装饰工程费用等</w:t>
      </w:r>
      <w:r w:rsidR="00A97BD3" w:rsidRPr="004865EF">
        <w:rPr>
          <w:rFonts w:ascii="Times New Roman" w:eastAsia="宋体" w:hAnsi="Times New Roman" w:cs="Times New Roman" w:hint="eastAsia"/>
          <w:sz w:val="24"/>
          <w:szCs w:val="22"/>
        </w:rPr>
        <w:t>。依据河北省建筑工程计价定额及配套文件、当地建筑材料价格信息，通过市场调查、分析、比较，结合委托方提供的相关资料，依据该房屋建筑物现场勘察情况，复核委托方提供的预算工程量，测算含税单方造价</w:t>
      </w:r>
      <w:r w:rsidR="00B51A9F" w:rsidRPr="004865EF">
        <w:rPr>
          <w:rFonts w:ascii="Times New Roman" w:eastAsia="宋体" w:hAnsi="Times New Roman" w:cs="Times New Roman"/>
          <w:sz w:val="24"/>
          <w:szCs w:val="22"/>
        </w:rPr>
        <w:t>2</w:t>
      </w:r>
      <w:r w:rsidR="00B51A9F" w:rsidRPr="004865EF">
        <w:rPr>
          <w:rFonts w:ascii="Times New Roman" w:eastAsia="宋体" w:hAnsi="Times New Roman" w:cs="Times New Roman" w:hint="eastAsia"/>
          <w:sz w:val="24"/>
          <w:szCs w:val="22"/>
        </w:rPr>
        <w:t>,</w:t>
      </w:r>
      <w:r w:rsidR="00B51A9F" w:rsidRPr="004865EF">
        <w:rPr>
          <w:rFonts w:ascii="Times New Roman" w:eastAsia="宋体" w:hAnsi="Times New Roman" w:cs="Times New Roman"/>
          <w:sz w:val="24"/>
          <w:szCs w:val="22"/>
        </w:rPr>
        <w:t>353</w:t>
      </w:r>
      <w:r w:rsidR="00A97BD3" w:rsidRPr="004865EF">
        <w:rPr>
          <w:rFonts w:ascii="Times New Roman" w:eastAsia="宋体" w:hAnsi="Times New Roman" w:cs="Times New Roman" w:hint="eastAsia"/>
          <w:sz w:val="24"/>
          <w:szCs w:val="22"/>
        </w:rPr>
        <w:t>元</w:t>
      </w:r>
      <w:r w:rsidR="00A97BD3" w:rsidRPr="004865EF">
        <w:rPr>
          <w:rFonts w:ascii="Times New Roman" w:eastAsia="宋体" w:hAnsi="Times New Roman" w:cs="Times New Roman"/>
          <w:sz w:val="24"/>
          <w:szCs w:val="22"/>
        </w:rPr>
        <w:t>/</w:t>
      </w:r>
      <w:r w:rsidR="00A97BD3" w:rsidRPr="004865EF">
        <w:rPr>
          <w:rFonts w:ascii="Times New Roman" w:eastAsia="宋体" w:hAnsi="Times New Roman" w:cs="Times New Roman" w:hint="eastAsia"/>
          <w:sz w:val="24"/>
          <w:szCs w:val="22"/>
        </w:rPr>
        <w:t>平米（取整后）；</w:t>
      </w:r>
    </w:p>
    <w:p w14:paraId="7F877A68" w14:textId="77777777" w:rsidR="0022329F" w:rsidRPr="004865EF" w:rsidRDefault="00E823EF" w:rsidP="002867A4">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0022329F" w:rsidRPr="004865EF">
        <w:rPr>
          <w:rFonts w:ascii="Times New Roman" w:eastAsia="宋体" w:hAnsi="Times New Roman" w:cs="Times New Roman"/>
          <w:sz w:val="24"/>
          <w:szCs w:val="22"/>
        </w:rPr>
        <w:t>4</w:t>
      </w:r>
      <w:r w:rsidRPr="004865EF">
        <w:rPr>
          <w:rFonts w:ascii="Times New Roman" w:eastAsia="宋体" w:hAnsi="Times New Roman" w:cs="Times New Roman" w:hint="eastAsia"/>
          <w:sz w:val="24"/>
          <w:szCs w:val="22"/>
        </w:rPr>
        <w:t>）</w:t>
      </w:r>
      <w:r w:rsidR="00AA78A9" w:rsidRPr="004865EF">
        <w:rPr>
          <w:rFonts w:ascii="Times New Roman" w:eastAsia="宋体" w:hAnsi="Times New Roman" w:cs="Times New Roman"/>
          <w:sz w:val="24"/>
          <w:szCs w:val="22"/>
        </w:rPr>
        <w:t>管理费用评估综合考虑评估对象所在区域的经济发展状况、行业发展水平、社会平均工资水平等影响因素，以续建成本为基数，结合本项目情况，本次</w:t>
      </w:r>
      <w:proofErr w:type="gramStart"/>
      <w:r w:rsidR="00AA78A9" w:rsidRPr="004865EF">
        <w:rPr>
          <w:rFonts w:ascii="Times New Roman" w:eastAsia="宋体" w:hAnsi="Times New Roman" w:cs="Times New Roman"/>
          <w:sz w:val="24"/>
          <w:szCs w:val="22"/>
        </w:rPr>
        <w:t>评估按</w:t>
      </w:r>
      <w:proofErr w:type="gramEnd"/>
      <w:r w:rsidR="00AA78A9" w:rsidRPr="004865EF">
        <w:rPr>
          <w:rFonts w:ascii="Times New Roman" w:eastAsia="宋体" w:hAnsi="Times New Roman" w:cs="Times New Roman"/>
          <w:sz w:val="24"/>
          <w:szCs w:val="22"/>
        </w:rPr>
        <w:t>1.96%</w:t>
      </w:r>
      <w:r w:rsidR="00CF60FF" w:rsidRPr="004865EF">
        <w:rPr>
          <w:rFonts w:ascii="Times New Roman" w:eastAsia="宋体" w:hAnsi="Times New Roman" w:cs="Times New Roman" w:hint="eastAsia"/>
          <w:sz w:val="24"/>
          <w:szCs w:val="22"/>
        </w:rPr>
        <w:t>计算</w:t>
      </w:r>
      <w:r w:rsidR="0099110B" w:rsidRPr="004865EF">
        <w:rPr>
          <w:rFonts w:ascii="Times New Roman" w:eastAsia="宋体" w:hAnsi="Times New Roman" w:cs="Times New Roman" w:hint="eastAsia"/>
          <w:sz w:val="24"/>
          <w:szCs w:val="22"/>
        </w:rPr>
        <w:t>；</w:t>
      </w:r>
    </w:p>
    <w:p w14:paraId="0B6FE78A" w14:textId="77777777" w:rsidR="0022329F" w:rsidRPr="004865EF" w:rsidRDefault="001A6468" w:rsidP="002867A4">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lastRenderedPageBreak/>
        <w:t>（</w:t>
      </w:r>
      <w:r w:rsidR="0022329F" w:rsidRPr="004865EF">
        <w:rPr>
          <w:rFonts w:ascii="Times New Roman" w:eastAsia="宋体" w:hAnsi="Times New Roman" w:cs="Times New Roman"/>
          <w:sz w:val="24"/>
          <w:szCs w:val="22"/>
        </w:rPr>
        <w:t>5</w:t>
      </w:r>
      <w:r w:rsidRPr="004865EF">
        <w:rPr>
          <w:rFonts w:ascii="Times New Roman" w:eastAsia="宋体" w:hAnsi="Times New Roman" w:cs="Times New Roman" w:hint="eastAsia"/>
          <w:sz w:val="24"/>
          <w:szCs w:val="22"/>
        </w:rPr>
        <w:t>）</w:t>
      </w:r>
      <w:r w:rsidR="00AA78A9" w:rsidRPr="004865EF">
        <w:rPr>
          <w:rFonts w:ascii="Times New Roman" w:eastAsia="宋体" w:hAnsi="Times New Roman" w:cs="Times New Roman"/>
          <w:sz w:val="24"/>
          <w:szCs w:val="22"/>
        </w:rPr>
        <w:t>销售费用包括房地产在销售过程中所需的费用，本次销售费用率</w:t>
      </w:r>
      <w:proofErr w:type="gramStart"/>
      <w:r w:rsidR="00AA78A9" w:rsidRPr="004865EF">
        <w:rPr>
          <w:rFonts w:ascii="Times New Roman" w:eastAsia="宋体" w:hAnsi="Times New Roman" w:cs="Times New Roman"/>
          <w:sz w:val="24"/>
          <w:szCs w:val="22"/>
        </w:rPr>
        <w:t>取销售</w:t>
      </w:r>
      <w:proofErr w:type="gramEnd"/>
      <w:r w:rsidR="00AA78A9" w:rsidRPr="004865EF">
        <w:rPr>
          <w:rFonts w:ascii="Times New Roman" w:eastAsia="宋体" w:hAnsi="Times New Roman" w:cs="Times New Roman"/>
          <w:sz w:val="24"/>
          <w:szCs w:val="22"/>
        </w:rPr>
        <w:t>收入的</w:t>
      </w:r>
      <w:r w:rsidR="00AA78A9" w:rsidRPr="004865EF">
        <w:rPr>
          <w:rFonts w:ascii="Times New Roman" w:eastAsia="宋体" w:hAnsi="Times New Roman" w:cs="Times New Roman"/>
          <w:sz w:val="24"/>
          <w:szCs w:val="22"/>
        </w:rPr>
        <w:t>3.3%</w:t>
      </w:r>
      <w:r w:rsidR="00AA78A9" w:rsidRPr="004865EF">
        <w:rPr>
          <w:rFonts w:ascii="Times New Roman" w:eastAsia="宋体" w:hAnsi="Times New Roman" w:cs="Times New Roman"/>
          <w:sz w:val="24"/>
          <w:szCs w:val="22"/>
        </w:rPr>
        <w:t>计算</w:t>
      </w:r>
      <w:r w:rsidR="0060590B" w:rsidRPr="004865EF">
        <w:rPr>
          <w:rFonts w:ascii="Times New Roman" w:eastAsia="宋体" w:hAnsi="Times New Roman" w:cs="Times New Roman" w:hint="eastAsia"/>
          <w:sz w:val="24"/>
          <w:szCs w:val="22"/>
        </w:rPr>
        <w:t>；</w:t>
      </w:r>
    </w:p>
    <w:p w14:paraId="5F124111" w14:textId="77777777" w:rsidR="00386F43" w:rsidRPr="004865EF" w:rsidRDefault="009C5D75" w:rsidP="003D442A">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0022329F" w:rsidRPr="004865EF">
        <w:rPr>
          <w:rFonts w:ascii="Times New Roman" w:eastAsia="宋体" w:hAnsi="Times New Roman" w:cs="Times New Roman"/>
          <w:sz w:val="24"/>
          <w:szCs w:val="22"/>
        </w:rPr>
        <w:t>6</w:t>
      </w:r>
      <w:r w:rsidRPr="004865EF">
        <w:rPr>
          <w:rFonts w:ascii="Times New Roman" w:eastAsia="宋体" w:hAnsi="Times New Roman" w:cs="Times New Roman" w:hint="eastAsia"/>
          <w:sz w:val="24"/>
          <w:szCs w:val="22"/>
        </w:rPr>
        <w:t>）</w:t>
      </w:r>
      <w:r w:rsidR="006318C0" w:rsidRPr="004865EF">
        <w:rPr>
          <w:rFonts w:ascii="Times New Roman" w:eastAsia="宋体" w:hAnsi="Times New Roman" w:cs="Times New Roman"/>
          <w:sz w:val="24"/>
          <w:szCs w:val="22"/>
        </w:rPr>
        <w:t>销售税</w:t>
      </w:r>
      <w:r w:rsidR="00815A85" w:rsidRPr="004865EF">
        <w:rPr>
          <w:rFonts w:ascii="Times New Roman" w:eastAsia="宋体" w:hAnsi="Times New Roman" w:cs="Times New Roman" w:hint="eastAsia"/>
          <w:sz w:val="24"/>
          <w:szCs w:val="22"/>
        </w:rPr>
        <w:t>金</w:t>
      </w:r>
      <w:r w:rsidR="006318C0" w:rsidRPr="004865EF">
        <w:rPr>
          <w:rFonts w:ascii="Times New Roman" w:eastAsia="宋体" w:hAnsi="Times New Roman" w:cs="Times New Roman"/>
          <w:sz w:val="24"/>
          <w:szCs w:val="22"/>
        </w:rPr>
        <w:t>为城建税及教育费附加等，建安工程费和红线内市政工程及配套工程费按</w:t>
      </w:r>
      <w:r w:rsidR="006318C0" w:rsidRPr="004865EF">
        <w:rPr>
          <w:rFonts w:ascii="Times New Roman" w:eastAsia="宋体" w:hAnsi="Times New Roman" w:cs="Times New Roman"/>
          <w:sz w:val="24"/>
          <w:szCs w:val="22"/>
        </w:rPr>
        <w:t>9%</w:t>
      </w:r>
      <w:r w:rsidR="006318C0" w:rsidRPr="004865EF">
        <w:rPr>
          <w:rFonts w:ascii="Times New Roman" w:eastAsia="宋体" w:hAnsi="Times New Roman" w:cs="Times New Roman"/>
          <w:sz w:val="24"/>
          <w:szCs w:val="22"/>
        </w:rPr>
        <w:t>税率抵扣销项税额，前期费和销售费用按</w:t>
      </w:r>
      <w:r w:rsidR="006318C0" w:rsidRPr="004865EF">
        <w:rPr>
          <w:rFonts w:ascii="Times New Roman" w:eastAsia="宋体" w:hAnsi="Times New Roman" w:cs="Times New Roman"/>
          <w:sz w:val="24"/>
          <w:szCs w:val="22"/>
        </w:rPr>
        <w:t>6%</w:t>
      </w:r>
      <w:r w:rsidR="006318C0" w:rsidRPr="004865EF">
        <w:rPr>
          <w:rFonts w:ascii="Times New Roman" w:eastAsia="宋体" w:hAnsi="Times New Roman" w:cs="Times New Roman"/>
          <w:sz w:val="24"/>
          <w:szCs w:val="22"/>
        </w:rPr>
        <w:t>税率抵扣销项税额，其他费用不在进项税额中抵扣，城建税、教育费附加等一般为以增值税为基础，税率合计为</w:t>
      </w:r>
      <w:r w:rsidR="006318C0" w:rsidRPr="004865EF">
        <w:rPr>
          <w:rFonts w:ascii="Times New Roman" w:eastAsia="宋体" w:hAnsi="Times New Roman" w:cs="Times New Roman"/>
          <w:sz w:val="24"/>
          <w:szCs w:val="22"/>
        </w:rPr>
        <w:t>12%</w:t>
      </w:r>
      <w:r w:rsidR="00A678E6" w:rsidRPr="004865EF">
        <w:rPr>
          <w:rFonts w:ascii="Times New Roman" w:eastAsia="宋体" w:hAnsi="Times New Roman" w:cs="Times New Roman" w:hint="eastAsia"/>
          <w:sz w:val="24"/>
          <w:szCs w:val="22"/>
        </w:rPr>
        <w:t>；</w:t>
      </w:r>
      <w:r w:rsidR="00AA78A9" w:rsidRPr="004865EF">
        <w:rPr>
          <w:rFonts w:ascii="Times New Roman" w:eastAsia="宋体" w:hAnsi="Times New Roman" w:cs="Times New Roman"/>
          <w:sz w:val="24"/>
          <w:szCs w:val="22"/>
        </w:rPr>
        <w:t>根据《河北省地方税务局关于调整房地产开发项目土地增值税预征率和核定征收率的公告》（</w:t>
      </w:r>
      <w:r w:rsidR="00AA78A9" w:rsidRPr="004865EF">
        <w:rPr>
          <w:rFonts w:ascii="Times New Roman" w:eastAsia="宋体" w:hAnsi="Times New Roman" w:cs="Times New Roman"/>
          <w:sz w:val="24"/>
          <w:szCs w:val="22"/>
        </w:rPr>
        <w:t>2010</w:t>
      </w:r>
      <w:r w:rsidR="00AA78A9" w:rsidRPr="004865EF">
        <w:rPr>
          <w:rFonts w:ascii="Times New Roman" w:eastAsia="宋体" w:hAnsi="Times New Roman" w:cs="Times New Roman"/>
          <w:sz w:val="24"/>
          <w:szCs w:val="22"/>
        </w:rPr>
        <w:t>年</w:t>
      </w:r>
      <w:r w:rsidR="00AA78A9" w:rsidRPr="004865EF">
        <w:rPr>
          <w:rFonts w:ascii="Times New Roman" w:eastAsia="宋体" w:hAnsi="Times New Roman" w:cs="Times New Roman"/>
          <w:sz w:val="24"/>
          <w:szCs w:val="22"/>
        </w:rPr>
        <w:t>11</w:t>
      </w:r>
      <w:r w:rsidR="00AA78A9" w:rsidRPr="004865EF">
        <w:rPr>
          <w:rFonts w:ascii="Times New Roman" w:eastAsia="宋体" w:hAnsi="Times New Roman" w:cs="Times New Roman"/>
          <w:sz w:val="24"/>
          <w:szCs w:val="22"/>
        </w:rPr>
        <w:t>月</w:t>
      </w:r>
      <w:r w:rsidR="00AA78A9" w:rsidRPr="004865EF">
        <w:rPr>
          <w:rFonts w:ascii="Times New Roman" w:eastAsia="宋体" w:hAnsi="Times New Roman" w:cs="Times New Roman"/>
          <w:sz w:val="24"/>
          <w:szCs w:val="22"/>
        </w:rPr>
        <w:t>3</w:t>
      </w:r>
      <w:r w:rsidR="00AA78A9" w:rsidRPr="004865EF">
        <w:rPr>
          <w:rFonts w:ascii="Times New Roman" w:eastAsia="宋体" w:hAnsi="Times New Roman" w:cs="Times New Roman"/>
          <w:sz w:val="24"/>
          <w:szCs w:val="22"/>
        </w:rPr>
        <w:t>日），房地产开发项目土地增值税核定征收率统一调整为</w:t>
      </w:r>
      <w:r w:rsidR="00AA78A9" w:rsidRPr="004865EF">
        <w:rPr>
          <w:rFonts w:ascii="Times New Roman" w:eastAsia="宋体" w:hAnsi="Times New Roman" w:cs="Times New Roman"/>
          <w:sz w:val="24"/>
          <w:szCs w:val="22"/>
        </w:rPr>
        <w:t>5%</w:t>
      </w:r>
      <w:r w:rsidR="00AA78A9" w:rsidRPr="004865EF">
        <w:rPr>
          <w:rFonts w:ascii="Times New Roman" w:eastAsia="宋体" w:hAnsi="Times New Roman" w:cs="Times New Roman"/>
          <w:sz w:val="24"/>
          <w:szCs w:val="22"/>
        </w:rPr>
        <w:t>。按上述规定，本次估价简化计算按售价的</w:t>
      </w:r>
      <w:r w:rsidR="00AA78A9" w:rsidRPr="004865EF">
        <w:rPr>
          <w:rFonts w:ascii="Times New Roman" w:eastAsia="宋体" w:hAnsi="Times New Roman" w:cs="Times New Roman"/>
          <w:sz w:val="24"/>
          <w:szCs w:val="22"/>
        </w:rPr>
        <w:t>5%</w:t>
      </w:r>
      <w:r w:rsidR="00AA78A9" w:rsidRPr="004865EF">
        <w:rPr>
          <w:rFonts w:ascii="Times New Roman" w:eastAsia="宋体" w:hAnsi="Times New Roman" w:cs="Times New Roman"/>
          <w:sz w:val="24"/>
          <w:szCs w:val="22"/>
        </w:rPr>
        <w:t>核定征收率进行计算</w:t>
      </w:r>
      <w:r w:rsidR="006F1366" w:rsidRPr="004865EF">
        <w:rPr>
          <w:rFonts w:ascii="Times New Roman" w:eastAsia="宋体" w:hAnsi="Times New Roman" w:cs="Times New Roman" w:hint="eastAsia"/>
          <w:sz w:val="24"/>
          <w:szCs w:val="22"/>
        </w:rPr>
        <w:t>；</w:t>
      </w:r>
    </w:p>
    <w:p w14:paraId="5A572242" w14:textId="77777777" w:rsidR="00C63C6A" w:rsidRPr="004865EF" w:rsidRDefault="006854F3" w:rsidP="00386F43">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000D2D69" w:rsidRPr="004865EF">
        <w:rPr>
          <w:rFonts w:ascii="Times New Roman" w:eastAsia="宋体" w:hAnsi="Times New Roman" w:cs="Times New Roman"/>
          <w:sz w:val="24"/>
          <w:szCs w:val="22"/>
        </w:rPr>
        <w:t>7</w:t>
      </w:r>
      <w:r w:rsidRPr="004865EF">
        <w:rPr>
          <w:rFonts w:ascii="Times New Roman" w:eastAsia="宋体" w:hAnsi="Times New Roman" w:cs="Times New Roman" w:hint="eastAsia"/>
          <w:sz w:val="24"/>
          <w:szCs w:val="22"/>
        </w:rPr>
        <w:t>）</w:t>
      </w:r>
      <w:r w:rsidR="00C63C6A" w:rsidRPr="004865EF">
        <w:rPr>
          <w:rFonts w:ascii="Times New Roman" w:eastAsia="宋体" w:hAnsi="Times New Roman" w:cs="Times New Roman"/>
          <w:sz w:val="24"/>
          <w:szCs w:val="22"/>
        </w:rPr>
        <w:t>续建利润</w:t>
      </w:r>
      <w:r w:rsidR="00214166" w:rsidRPr="004865EF">
        <w:rPr>
          <w:rFonts w:ascii="Times New Roman" w:eastAsia="宋体" w:hAnsi="Times New Roman" w:cs="Times New Roman" w:hint="eastAsia"/>
          <w:sz w:val="24"/>
          <w:szCs w:val="22"/>
        </w:rPr>
        <w:t>。</w:t>
      </w:r>
      <w:r w:rsidR="00C63C6A" w:rsidRPr="004865EF">
        <w:rPr>
          <w:rFonts w:ascii="Times New Roman" w:eastAsia="宋体" w:hAnsi="Times New Roman" w:cs="Times New Roman"/>
          <w:sz w:val="24"/>
          <w:szCs w:val="22"/>
        </w:rPr>
        <w:t>考虑</w:t>
      </w:r>
      <w:proofErr w:type="gramStart"/>
      <w:r w:rsidR="00C63C6A" w:rsidRPr="004865EF">
        <w:rPr>
          <w:rFonts w:ascii="Times New Roman" w:eastAsia="宋体" w:hAnsi="Times New Roman" w:cs="Times New Roman"/>
          <w:sz w:val="24"/>
          <w:szCs w:val="22"/>
        </w:rPr>
        <w:t>本次委估土地使用权</w:t>
      </w:r>
      <w:proofErr w:type="gramEnd"/>
      <w:r w:rsidR="00C63C6A" w:rsidRPr="004865EF">
        <w:rPr>
          <w:rFonts w:ascii="Times New Roman" w:eastAsia="宋体" w:hAnsi="Times New Roman" w:cs="Times New Roman"/>
          <w:sz w:val="24"/>
          <w:szCs w:val="22"/>
        </w:rPr>
        <w:t>为工业用地，根据评估对象的开发规模及当地现阶段房地产市场状况，参考全行业平均销售利润率确定</w:t>
      </w:r>
      <w:proofErr w:type="gramStart"/>
      <w:r w:rsidR="00C63C6A" w:rsidRPr="004865EF">
        <w:rPr>
          <w:rFonts w:ascii="Times New Roman" w:eastAsia="宋体" w:hAnsi="Times New Roman" w:cs="Times New Roman"/>
          <w:sz w:val="24"/>
          <w:szCs w:val="22"/>
        </w:rPr>
        <w:t>委估工业</w:t>
      </w:r>
      <w:proofErr w:type="gramEnd"/>
      <w:r w:rsidR="00C63C6A" w:rsidRPr="004865EF">
        <w:rPr>
          <w:rFonts w:ascii="Times New Roman" w:eastAsia="宋体" w:hAnsi="Times New Roman" w:cs="Times New Roman"/>
          <w:sz w:val="24"/>
          <w:szCs w:val="22"/>
        </w:rPr>
        <w:t>用房地产项目销售利润率为</w:t>
      </w:r>
      <w:r w:rsidR="00C63C6A" w:rsidRPr="004865EF">
        <w:rPr>
          <w:rFonts w:ascii="Times New Roman" w:eastAsia="宋体" w:hAnsi="Times New Roman" w:cs="Times New Roman"/>
          <w:sz w:val="24"/>
          <w:szCs w:val="22"/>
        </w:rPr>
        <w:t>11.3%</w:t>
      </w:r>
      <w:r w:rsidR="005926F1" w:rsidRPr="004865EF">
        <w:rPr>
          <w:rFonts w:ascii="Times New Roman" w:eastAsia="宋体" w:hAnsi="Times New Roman" w:cs="Times New Roman" w:hint="eastAsia"/>
          <w:sz w:val="24"/>
          <w:szCs w:val="22"/>
        </w:rPr>
        <w:t>；</w:t>
      </w:r>
    </w:p>
    <w:p w14:paraId="5BCA2C32" w14:textId="77777777" w:rsidR="00AA78A9" w:rsidRPr="004865EF" w:rsidRDefault="008E6B1A" w:rsidP="00333C9D">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000D2D69" w:rsidRPr="004865EF">
        <w:rPr>
          <w:rFonts w:ascii="Times New Roman" w:eastAsia="宋体" w:hAnsi="Times New Roman" w:cs="Times New Roman"/>
          <w:sz w:val="24"/>
          <w:szCs w:val="22"/>
        </w:rPr>
        <w:t>8</w:t>
      </w:r>
      <w:r w:rsidRPr="004865EF">
        <w:rPr>
          <w:rFonts w:ascii="Times New Roman" w:eastAsia="宋体" w:hAnsi="Times New Roman" w:cs="Times New Roman" w:hint="eastAsia"/>
          <w:sz w:val="24"/>
          <w:szCs w:val="22"/>
        </w:rPr>
        <w:t>）</w:t>
      </w:r>
      <w:r w:rsidR="00AA78A9" w:rsidRPr="004865EF">
        <w:rPr>
          <w:rFonts w:ascii="Times New Roman" w:eastAsia="宋体" w:hAnsi="Times New Roman" w:cs="Times New Roman"/>
          <w:sz w:val="24"/>
          <w:szCs w:val="22"/>
        </w:rPr>
        <w:t>所得税</w:t>
      </w:r>
      <w:r w:rsidR="00BD65A6" w:rsidRPr="004865EF">
        <w:rPr>
          <w:rFonts w:ascii="Times New Roman" w:eastAsia="宋体" w:hAnsi="Times New Roman" w:cs="Times New Roman" w:hint="eastAsia"/>
          <w:sz w:val="24"/>
          <w:szCs w:val="22"/>
        </w:rPr>
        <w:t>按</w:t>
      </w:r>
      <w:r w:rsidR="00BD65A6" w:rsidRPr="004865EF">
        <w:rPr>
          <w:rFonts w:ascii="Times New Roman" w:eastAsia="宋体" w:hAnsi="Times New Roman" w:cs="Times New Roman" w:hint="eastAsia"/>
          <w:sz w:val="24"/>
          <w:szCs w:val="22"/>
        </w:rPr>
        <w:t>2</w:t>
      </w:r>
      <w:r w:rsidR="00BD65A6" w:rsidRPr="004865EF">
        <w:rPr>
          <w:rFonts w:ascii="Times New Roman" w:eastAsia="宋体" w:hAnsi="Times New Roman" w:cs="Times New Roman"/>
          <w:sz w:val="24"/>
          <w:szCs w:val="22"/>
        </w:rPr>
        <w:t>5%</w:t>
      </w:r>
      <w:r w:rsidR="00BD65A6" w:rsidRPr="004865EF">
        <w:rPr>
          <w:rFonts w:ascii="Times New Roman" w:eastAsia="宋体" w:hAnsi="Times New Roman" w:cs="Times New Roman" w:hint="eastAsia"/>
          <w:sz w:val="24"/>
          <w:szCs w:val="22"/>
        </w:rPr>
        <w:t>计</w:t>
      </w:r>
      <w:r w:rsidR="0007621E" w:rsidRPr="004865EF">
        <w:rPr>
          <w:rFonts w:ascii="Times New Roman" w:eastAsia="宋体" w:hAnsi="Times New Roman" w:cs="Times New Roman" w:hint="eastAsia"/>
          <w:sz w:val="24"/>
          <w:szCs w:val="22"/>
        </w:rPr>
        <w:t>算。</w:t>
      </w:r>
    </w:p>
    <w:p w14:paraId="760E5B6B" w14:textId="77777777" w:rsidR="001E66D5" w:rsidRPr="004865EF" w:rsidRDefault="00880821" w:rsidP="0074235A">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因此，根据上述参数计算</w:t>
      </w:r>
      <w:r w:rsidR="009A6EA8" w:rsidRPr="004865EF">
        <w:rPr>
          <w:rFonts w:ascii="Times New Roman" w:eastAsia="宋体" w:hAnsi="Times New Roman" w:cs="Times New Roman" w:hint="eastAsia"/>
          <w:sz w:val="24"/>
          <w:szCs w:val="22"/>
        </w:rPr>
        <w:t>，</w:t>
      </w:r>
      <w:r w:rsidR="008E70BC" w:rsidRPr="004865EF">
        <w:rPr>
          <w:rFonts w:ascii="Times New Roman" w:eastAsia="宋体" w:hAnsi="Times New Roman" w:cs="Times New Roman"/>
          <w:sz w:val="24"/>
          <w:szCs w:val="22"/>
        </w:rPr>
        <w:t>在建工程评估值</w:t>
      </w:r>
      <w:r w:rsidR="00034F97" w:rsidRPr="004865EF">
        <w:rPr>
          <w:rFonts w:ascii="Times New Roman" w:eastAsia="宋体" w:hAnsi="Times New Roman" w:cs="Times New Roman" w:hint="eastAsia"/>
          <w:sz w:val="24"/>
          <w:szCs w:val="22"/>
        </w:rPr>
        <w:t>为</w:t>
      </w:r>
      <w:r w:rsidR="008316F2" w:rsidRPr="004865EF">
        <w:rPr>
          <w:rFonts w:ascii="Times New Roman" w:eastAsia="宋体" w:hAnsi="Times New Roman" w:cs="Times New Roman"/>
          <w:sz w:val="24"/>
          <w:szCs w:val="22"/>
        </w:rPr>
        <w:t>56,412.00</w:t>
      </w:r>
      <w:r w:rsidR="008316F2" w:rsidRPr="004865EF">
        <w:rPr>
          <w:rFonts w:ascii="Times New Roman" w:eastAsia="宋体" w:hAnsi="Times New Roman" w:cs="Times New Roman" w:hint="eastAsia"/>
          <w:sz w:val="24"/>
          <w:szCs w:val="22"/>
        </w:rPr>
        <w:t>万元（</w:t>
      </w:r>
      <w:r w:rsidR="008E70BC" w:rsidRPr="004865EF">
        <w:rPr>
          <w:rFonts w:ascii="Times New Roman" w:eastAsia="宋体" w:hAnsi="Times New Roman" w:cs="Times New Roman"/>
          <w:sz w:val="24"/>
          <w:szCs w:val="22"/>
        </w:rPr>
        <w:t>含土地使用权价值</w:t>
      </w:r>
      <w:r w:rsidR="008316F2" w:rsidRPr="004865EF">
        <w:rPr>
          <w:rFonts w:ascii="Times New Roman" w:eastAsia="宋体" w:hAnsi="Times New Roman" w:cs="Times New Roman" w:hint="eastAsia"/>
          <w:sz w:val="24"/>
          <w:szCs w:val="22"/>
        </w:rPr>
        <w:t>）</w:t>
      </w:r>
      <w:r w:rsidR="0074235A" w:rsidRPr="004865EF">
        <w:rPr>
          <w:rFonts w:ascii="Times New Roman" w:eastAsia="宋体" w:hAnsi="Times New Roman" w:cs="Times New Roman" w:hint="eastAsia"/>
          <w:sz w:val="24"/>
          <w:szCs w:val="22"/>
        </w:rPr>
        <w:t>，</w:t>
      </w:r>
      <w:r w:rsidR="008E70BC" w:rsidRPr="004865EF">
        <w:rPr>
          <w:rFonts w:ascii="Times New Roman" w:eastAsia="宋体" w:hAnsi="Times New Roman" w:cs="Times New Roman"/>
          <w:sz w:val="24"/>
          <w:szCs w:val="22"/>
        </w:rPr>
        <w:t>评估增值</w:t>
      </w:r>
      <w:r w:rsidR="00567B12" w:rsidRPr="004865EF">
        <w:rPr>
          <w:rFonts w:ascii="Times New Roman" w:eastAsia="宋体" w:hAnsi="Times New Roman" w:cs="Times New Roman" w:hint="eastAsia"/>
          <w:sz w:val="24"/>
          <w:szCs w:val="22"/>
        </w:rPr>
        <w:t>的主要</w:t>
      </w:r>
      <w:r w:rsidR="008E70BC" w:rsidRPr="004865EF">
        <w:rPr>
          <w:rFonts w:ascii="Times New Roman" w:eastAsia="宋体" w:hAnsi="Times New Roman" w:cs="Times New Roman"/>
          <w:sz w:val="24"/>
          <w:szCs w:val="22"/>
        </w:rPr>
        <w:t>原因为评估基准日同地区同类型的房地产价格上升。</w:t>
      </w:r>
    </w:p>
    <w:p w14:paraId="1FD60F3C" w14:textId="77777777" w:rsidR="00BF6AA3" w:rsidRPr="004865EF" w:rsidRDefault="00BE2F4A" w:rsidP="006E35D4">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综上所述，智达云创的固定资产和在建工程增值率较高，主要由于燕郊绿色</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基地项目厂房建设年代较早，土地及建造成本较低，评估基准日时点</w:t>
      </w:r>
      <w:proofErr w:type="gramStart"/>
      <w:r w:rsidRPr="004865EF">
        <w:rPr>
          <w:rFonts w:ascii="Times New Roman" w:eastAsia="宋体" w:hAnsi="Times New Roman" w:cs="Times New Roman" w:hint="eastAsia"/>
          <w:sz w:val="24"/>
          <w:szCs w:val="22"/>
        </w:rPr>
        <w:t>燕郊同地区</w:t>
      </w:r>
      <w:proofErr w:type="gramEnd"/>
      <w:r w:rsidRPr="004865EF">
        <w:rPr>
          <w:rFonts w:ascii="Times New Roman" w:eastAsia="宋体" w:hAnsi="Times New Roman" w:cs="Times New Roman" w:hint="eastAsia"/>
          <w:sz w:val="24"/>
          <w:szCs w:val="22"/>
        </w:rPr>
        <w:t>同类型的房地产价格已大幅上升。因此，智达云创</w:t>
      </w:r>
      <w:r w:rsidRPr="004865EF">
        <w:rPr>
          <w:rFonts w:ascii="Times New Roman" w:eastAsia="宋体" w:hAnsi="Times New Roman" w:cs="Times New Roman"/>
          <w:sz w:val="24"/>
          <w:szCs w:val="22"/>
        </w:rPr>
        <w:t>100%</w:t>
      </w:r>
      <w:r w:rsidRPr="004865EF">
        <w:rPr>
          <w:rFonts w:ascii="Times New Roman" w:eastAsia="宋体" w:hAnsi="Times New Roman" w:cs="Times New Roman"/>
          <w:sz w:val="24"/>
          <w:szCs w:val="22"/>
        </w:rPr>
        <w:t>股权的评估价值增值</w:t>
      </w:r>
      <w:r w:rsidR="00996067" w:rsidRPr="004865EF">
        <w:rPr>
          <w:rFonts w:ascii="Times New Roman" w:eastAsia="宋体" w:hAnsi="Times New Roman" w:cs="Times New Roman"/>
          <w:sz w:val="24"/>
          <w:szCs w:val="22"/>
        </w:rPr>
        <w:t>率较高，</w:t>
      </w:r>
      <w:r w:rsidR="00996067" w:rsidRPr="004865EF">
        <w:rPr>
          <w:rFonts w:ascii="Times New Roman" w:eastAsia="宋体" w:hAnsi="Times New Roman" w:cs="Times New Roman" w:hint="eastAsia"/>
          <w:sz w:val="24"/>
          <w:szCs w:val="22"/>
        </w:rPr>
        <w:t>其增值原因具有</w:t>
      </w:r>
      <w:r w:rsidR="00996067" w:rsidRPr="004865EF">
        <w:rPr>
          <w:rFonts w:ascii="Times New Roman" w:eastAsia="宋体" w:hAnsi="Times New Roman" w:cs="Times New Roman"/>
          <w:sz w:val="24"/>
          <w:szCs w:val="22"/>
        </w:rPr>
        <w:t>合理性。</w:t>
      </w:r>
    </w:p>
    <w:p w14:paraId="721331E8" w14:textId="77777777" w:rsidR="00C62D42" w:rsidRPr="004865EF" w:rsidRDefault="00B103B2" w:rsidP="0066058B">
      <w:pPr>
        <w:pStyle w:val="2"/>
      </w:pPr>
      <w:r w:rsidRPr="004865EF">
        <w:rPr>
          <w:rFonts w:hint="eastAsia"/>
        </w:rPr>
        <w:t>三</w:t>
      </w:r>
      <w:r w:rsidR="00AD0F1C" w:rsidRPr="004865EF">
        <w:rPr>
          <w:rFonts w:hint="eastAsia"/>
        </w:rPr>
        <w:t>、</w:t>
      </w:r>
      <w:r w:rsidR="00850460" w:rsidRPr="004865EF">
        <w:t>本次增资的具体安排及募集资金剩余部分的实施方式，其他股东对剩余</w:t>
      </w:r>
      <w:proofErr w:type="gramStart"/>
      <w:r w:rsidR="00850460" w:rsidRPr="004865EF">
        <w:t>投资款同比例</w:t>
      </w:r>
      <w:proofErr w:type="gramEnd"/>
      <w:r w:rsidR="00850460" w:rsidRPr="004865EF">
        <w:t>增资的价格或提供贷款的主要条款（贷款利率等），是否损害上市公司利益</w:t>
      </w:r>
    </w:p>
    <w:p w14:paraId="656E8B90" w14:textId="77777777" w:rsidR="002A6EFB" w:rsidRPr="004865EF" w:rsidRDefault="002A6EFB" w:rsidP="00996067">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hint="eastAsia"/>
          <w:b/>
          <w:bCs/>
          <w:sz w:val="24"/>
          <w:szCs w:val="22"/>
        </w:rPr>
        <w:t>1</w:t>
      </w:r>
      <w:r w:rsidRPr="004865EF">
        <w:rPr>
          <w:rFonts w:ascii="Times New Roman" w:eastAsia="宋体" w:hAnsi="Times New Roman" w:cs="Times New Roman" w:hint="eastAsia"/>
          <w:b/>
          <w:bCs/>
          <w:sz w:val="24"/>
          <w:szCs w:val="22"/>
        </w:rPr>
        <w:t>、</w:t>
      </w:r>
      <w:r w:rsidRPr="004865EF">
        <w:rPr>
          <w:rFonts w:ascii="Times New Roman" w:eastAsia="宋体" w:hAnsi="Times New Roman" w:cs="Times New Roman"/>
          <w:b/>
          <w:bCs/>
          <w:sz w:val="24"/>
          <w:szCs w:val="22"/>
        </w:rPr>
        <w:t>本次增资的具体安排</w:t>
      </w:r>
      <w:r w:rsidR="00106D07" w:rsidRPr="004865EF">
        <w:rPr>
          <w:rFonts w:ascii="Times New Roman" w:eastAsia="宋体" w:hAnsi="Times New Roman" w:cs="Times New Roman" w:hint="eastAsia"/>
          <w:b/>
          <w:bCs/>
          <w:sz w:val="24"/>
          <w:szCs w:val="22"/>
        </w:rPr>
        <w:t>及</w:t>
      </w:r>
      <w:r w:rsidR="00106D07" w:rsidRPr="004865EF">
        <w:rPr>
          <w:rFonts w:ascii="Times New Roman" w:eastAsia="宋体" w:hAnsi="Times New Roman" w:cs="Times New Roman"/>
          <w:b/>
          <w:bCs/>
          <w:sz w:val="24"/>
          <w:szCs w:val="22"/>
        </w:rPr>
        <w:t>募集资金剩余部分的实施方式</w:t>
      </w:r>
    </w:p>
    <w:p w14:paraId="5CECFDEF" w14:textId="77777777" w:rsidR="00132742" w:rsidRPr="004865EF" w:rsidRDefault="00996067" w:rsidP="00996067">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根据公司与智达云</w:t>
      </w:r>
      <w:proofErr w:type="gramStart"/>
      <w:r w:rsidRPr="004865EF">
        <w:rPr>
          <w:rFonts w:ascii="Times New Roman" w:eastAsia="宋体" w:hAnsi="Times New Roman" w:cs="Times New Roman" w:hint="eastAsia"/>
          <w:sz w:val="24"/>
          <w:szCs w:val="22"/>
        </w:rPr>
        <w:t>创及其</w:t>
      </w:r>
      <w:proofErr w:type="gramEnd"/>
      <w:r w:rsidRPr="004865EF">
        <w:rPr>
          <w:rFonts w:ascii="Times New Roman" w:eastAsia="宋体" w:hAnsi="Times New Roman" w:cs="Times New Roman" w:hint="eastAsia"/>
          <w:sz w:val="24"/>
          <w:szCs w:val="22"/>
        </w:rPr>
        <w:t>股东王禹方和石凤红于</w:t>
      </w:r>
      <w:r w:rsidRPr="004865EF">
        <w:rPr>
          <w:rFonts w:ascii="Times New Roman" w:eastAsia="宋体" w:hAnsi="Times New Roman" w:cs="Times New Roman" w:hint="eastAsia"/>
          <w:sz w:val="24"/>
          <w:szCs w:val="22"/>
        </w:rPr>
        <w:t>2020</w:t>
      </w:r>
      <w:r w:rsidRPr="004865EF">
        <w:rPr>
          <w:rFonts w:ascii="Times New Roman" w:eastAsia="宋体" w:hAnsi="Times New Roman" w:cs="Times New Roman" w:hint="eastAsia"/>
          <w:sz w:val="24"/>
          <w:szCs w:val="22"/>
        </w:rPr>
        <w:t>年</w:t>
      </w:r>
      <w:r w:rsidRPr="004865EF">
        <w:rPr>
          <w:rFonts w:ascii="Times New Roman" w:eastAsia="宋体" w:hAnsi="Times New Roman" w:cs="Times New Roman" w:hint="eastAsia"/>
          <w:sz w:val="24"/>
          <w:szCs w:val="22"/>
        </w:rPr>
        <w:t>4</w:t>
      </w:r>
      <w:r w:rsidRPr="004865EF">
        <w:rPr>
          <w:rFonts w:ascii="Times New Roman" w:eastAsia="宋体" w:hAnsi="Times New Roman" w:cs="Times New Roman" w:hint="eastAsia"/>
          <w:sz w:val="24"/>
          <w:szCs w:val="22"/>
        </w:rPr>
        <w:t>月</w:t>
      </w:r>
      <w:r w:rsidRPr="004865EF">
        <w:rPr>
          <w:rFonts w:ascii="Times New Roman" w:eastAsia="宋体" w:hAnsi="Times New Roman" w:cs="Times New Roman" w:hint="eastAsia"/>
          <w:sz w:val="24"/>
          <w:szCs w:val="22"/>
        </w:rPr>
        <w:t>16</w:t>
      </w:r>
      <w:r w:rsidRPr="004865EF">
        <w:rPr>
          <w:rFonts w:ascii="Times New Roman" w:eastAsia="宋体" w:hAnsi="Times New Roman" w:cs="Times New Roman" w:hint="eastAsia"/>
          <w:sz w:val="24"/>
          <w:szCs w:val="22"/>
        </w:rPr>
        <w:t>日共同签署的《智达云创（三河）科技有限公司增资协议》，</w:t>
      </w:r>
      <w:r w:rsidR="009A500E" w:rsidRPr="004865EF">
        <w:rPr>
          <w:rFonts w:ascii="Times New Roman" w:eastAsia="宋体" w:hAnsi="Times New Roman" w:cs="Times New Roman" w:hint="eastAsia"/>
          <w:sz w:val="24"/>
          <w:szCs w:val="22"/>
        </w:rPr>
        <w:t>本次增资</w:t>
      </w:r>
      <w:r w:rsidR="005A7623" w:rsidRPr="004865EF">
        <w:rPr>
          <w:rFonts w:ascii="Times New Roman" w:eastAsia="宋体" w:hAnsi="Times New Roman" w:cs="Times New Roman" w:hint="eastAsia"/>
          <w:sz w:val="24"/>
          <w:szCs w:val="22"/>
        </w:rPr>
        <w:t>的具体安排如下</w:t>
      </w:r>
      <w:r w:rsidR="00340A0D" w:rsidRPr="004865EF">
        <w:rPr>
          <w:rFonts w:ascii="Times New Roman" w:eastAsia="宋体" w:hAnsi="Times New Roman" w:cs="Times New Roman" w:hint="eastAsia"/>
          <w:sz w:val="24"/>
          <w:szCs w:val="22"/>
        </w:rPr>
        <w:t>（目标公司指</w:t>
      </w:r>
      <w:r w:rsidR="000D2DC7" w:rsidRPr="004865EF">
        <w:rPr>
          <w:rFonts w:ascii="Times New Roman" w:eastAsia="宋体" w:hAnsi="Times New Roman" w:cs="Times New Roman" w:hint="eastAsia"/>
          <w:sz w:val="24"/>
          <w:szCs w:val="22"/>
        </w:rPr>
        <w:t>智达云创</w:t>
      </w:r>
      <w:r w:rsidR="00D60514" w:rsidRPr="004865EF">
        <w:rPr>
          <w:rFonts w:ascii="Times New Roman" w:eastAsia="宋体" w:hAnsi="Times New Roman" w:cs="Times New Roman" w:hint="eastAsia"/>
          <w:sz w:val="24"/>
          <w:szCs w:val="22"/>
        </w:rPr>
        <w:t>，</w:t>
      </w:r>
      <w:r w:rsidR="00410F8B" w:rsidRPr="004865EF">
        <w:rPr>
          <w:rFonts w:ascii="Times New Roman" w:eastAsia="宋体" w:hAnsi="Times New Roman" w:cs="Times New Roman" w:hint="eastAsia"/>
          <w:sz w:val="24"/>
          <w:szCs w:val="22"/>
        </w:rPr>
        <w:t>甲方指</w:t>
      </w:r>
      <w:r w:rsidR="00B73070" w:rsidRPr="004865EF">
        <w:rPr>
          <w:rFonts w:ascii="Times New Roman" w:eastAsia="宋体" w:hAnsi="Times New Roman" w:cs="Times New Roman" w:hint="eastAsia"/>
          <w:sz w:val="24"/>
          <w:szCs w:val="22"/>
        </w:rPr>
        <w:t>光环新网</w:t>
      </w:r>
      <w:r w:rsidR="00340A0D" w:rsidRPr="004865EF">
        <w:rPr>
          <w:rFonts w:ascii="Times New Roman" w:eastAsia="宋体" w:hAnsi="Times New Roman" w:cs="Times New Roman" w:hint="eastAsia"/>
          <w:sz w:val="24"/>
          <w:szCs w:val="22"/>
        </w:rPr>
        <w:t>）</w:t>
      </w:r>
      <w:r w:rsidR="005A7623" w:rsidRPr="004865EF">
        <w:rPr>
          <w:rFonts w:ascii="Times New Roman" w:eastAsia="宋体" w:hAnsi="Times New Roman" w:cs="Times New Roman" w:hint="eastAsia"/>
          <w:sz w:val="24"/>
          <w:szCs w:val="22"/>
        </w:rPr>
        <w:t>：</w:t>
      </w:r>
    </w:p>
    <w:p w14:paraId="0AD6A5E0" w14:textId="77777777" w:rsidR="00195988" w:rsidRPr="004865EF" w:rsidRDefault="00E744A9" w:rsidP="0019598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1</w:t>
      </w:r>
      <w:r w:rsidRPr="004865EF">
        <w:rPr>
          <w:rFonts w:ascii="Times New Roman" w:eastAsia="宋体" w:hAnsi="Times New Roman" w:cs="Times New Roman" w:hint="eastAsia"/>
          <w:sz w:val="24"/>
          <w:szCs w:val="22"/>
        </w:rPr>
        <w:t>）</w:t>
      </w:r>
      <w:r w:rsidR="00195988" w:rsidRPr="004865EF">
        <w:rPr>
          <w:rFonts w:ascii="Times New Roman" w:eastAsia="宋体" w:hAnsi="Times New Roman" w:cs="Times New Roman"/>
          <w:sz w:val="24"/>
          <w:szCs w:val="22"/>
        </w:rPr>
        <w:t>如在目标公司数据中心项目建筑主体竣工验收之日，甲方</w:t>
      </w:r>
      <w:r w:rsidR="00195988" w:rsidRPr="004865EF">
        <w:rPr>
          <w:rFonts w:ascii="Times New Roman" w:eastAsia="宋体" w:hAnsi="Times New Roman" w:cs="Times New Roman"/>
          <w:sz w:val="24"/>
          <w:szCs w:val="22"/>
        </w:rPr>
        <w:t>2020</w:t>
      </w:r>
      <w:r w:rsidR="00195988" w:rsidRPr="004865EF">
        <w:rPr>
          <w:rFonts w:ascii="Times New Roman" w:eastAsia="宋体" w:hAnsi="Times New Roman" w:cs="Times New Roman"/>
          <w:sz w:val="24"/>
          <w:szCs w:val="22"/>
        </w:rPr>
        <w:t>年度非</w:t>
      </w:r>
      <w:r w:rsidR="00195988" w:rsidRPr="004865EF">
        <w:rPr>
          <w:rFonts w:ascii="Times New Roman" w:eastAsia="宋体" w:hAnsi="Times New Roman" w:cs="Times New Roman"/>
          <w:sz w:val="24"/>
          <w:szCs w:val="22"/>
        </w:rPr>
        <w:lastRenderedPageBreak/>
        <w:t>公开发行股份募集资金已经全部募集到位，则甲方</w:t>
      </w:r>
      <w:proofErr w:type="gramStart"/>
      <w:r w:rsidR="00195988" w:rsidRPr="004865EF">
        <w:rPr>
          <w:rFonts w:ascii="Times New Roman" w:eastAsia="宋体" w:hAnsi="Times New Roman" w:cs="Times New Roman"/>
          <w:sz w:val="24"/>
          <w:szCs w:val="22"/>
        </w:rPr>
        <w:t>自数据</w:t>
      </w:r>
      <w:proofErr w:type="gramEnd"/>
      <w:r w:rsidR="00195988" w:rsidRPr="004865EF">
        <w:rPr>
          <w:rFonts w:ascii="Times New Roman" w:eastAsia="宋体" w:hAnsi="Times New Roman" w:cs="Times New Roman"/>
          <w:sz w:val="24"/>
          <w:szCs w:val="22"/>
        </w:rPr>
        <w:t>中心项目建筑主体竣工验收之日起的</w:t>
      </w:r>
      <w:r w:rsidR="00195988" w:rsidRPr="004865EF">
        <w:rPr>
          <w:rFonts w:ascii="Times New Roman" w:eastAsia="宋体" w:hAnsi="Times New Roman" w:cs="Times New Roman"/>
          <w:sz w:val="24"/>
          <w:szCs w:val="22"/>
        </w:rPr>
        <w:t>5</w:t>
      </w:r>
      <w:r w:rsidR="00195988" w:rsidRPr="004865EF">
        <w:rPr>
          <w:rFonts w:ascii="Times New Roman" w:eastAsia="宋体" w:hAnsi="Times New Roman" w:cs="Times New Roman"/>
          <w:sz w:val="24"/>
          <w:szCs w:val="22"/>
        </w:rPr>
        <w:t>个工作日内，向目标公司缴纳本次增资款的</w:t>
      </w:r>
      <w:r w:rsidR="00195988" w:rsidRPr="004865EF">
        <w:rPr>
          <w:rFonts w:ascii="Times New Roman" w:eastAsia="宋体" w:hAnsi="Times New Roman" w:cs="Times New Roman"/>
          <w:sz w:val="24"/>
          <w:szCs w:val="22"/>
        </w:rPr>
        <w:t>70%</w:t>
      </w:r>
      <w:r w:rsidR="00195988" w:rsidRPr="004865EF">
        <w:rPr>
          <w:rFonts w:ascii="Times New Roman" w:eastAsia="宋体" w:hAnsi="Times New Roman" w:cs="Times New Roman"/>
          <w:sz w:val="24"/>
          <w:szCs w:val="22"/>
        </w:rPr>
        <w:t>即</w:t>
      </w:r>
      <w:r w:rsidR="00195988" w:rsidRPr="004865EF">
        <w:rPr>
          <w:rFonts w:ascii="Times New Roman" w:eastAsia="宋体" w:hAnsi="Times New Roman" w:cs="Times New Roman"/>
          <w:sz w:val="24"/>
          <w:szCs w:val="22"/>
        </w:rPr>
        <w:t>78,890.7</w:t>
      </w:r>
      <w:r w:rsidR="00195988" w:rsidRPr="004865EF">
        <w:rPr>
          <w:rFonts w:ascii="Times New Roman" w:eastAsia="宋体" w:hAnsi="Times New Roman" w:cs="Times New Roman"/>
          <w:sz w:val="24"/>
          <w:szCs w:val="22"/>
        </w:rPr>
        <w:t>万元；目标公司应当自收到甲方缴纳的该笔增资款后</w:t>
      </w:r>
      <w:r w:rsidR="00195988" w:rsidRPr="004865EF">
        <w:rPr>
          <w:rFonts w:ascii="Times New Roman" w:eastAsia="宋体" w:hAnsi="Times New Roman" w:cs="Times New Roman"/>
          <w:sz w:val="24"/>
          <w:szCs w:val="22"/>
        </w:rPr>
        <w:t>5</w:t>
      </w:r>
      <w:r w:rsidR="00195988" w:rsidRPr="004865EF">
        <w:rPr>
          <w:rFonts w:ascii="Times New Roman" w:eastAsia="宋体" w:hAnsi="Times New Roman" w:cs="Times New Roman"/>
          <w:sz w:val="24"/>
          <w:szCs w:val="22"/>
        </w:rPr>
        <w:t>个工作日内完成相关工商变更登记手续；工商变更登记完成后一个月内，甲方将剩余增资款</w:t>
      </w:r>
      <w:r w:rsidR="00195988" w:rsidRPr="004865EF">
        <w:rPr>
          <w:rFonts w:ascii="Times New Roman" w:eastAsia="宋体" w:hAnsi="Times New Roman" w:cs="Times New Roman"/>
          <w:sz w:val="24"/>
          <w:szCs w:val="22"/>
        </w:rPr>
        <w:t>33,810.3</w:t>
      </w:r>
      <w:r w:rsidR="00195988" w:rsidRPr="004865EF">
        <w:rPr>
          <w:rFonts w:ascii="Times New Roman" w:eastAsia="宋体" w:hAnsi="Times New Roman" w:cs="Times New Roman"/>
          <w:sz w:val="24"/>
          <w:szCs w:val="22"/>
        </w:rPr>
        <w:t>万元支付至目标公司。</w:t>
      </w:r>
    </w:p>
    <w:p w14:paraId="67A63300" w14:textId="77777777" w:rsidR="00132742" w:rsidRPr="004865EF" w:rsidRDefault="00EA0139" w:rsidP="0019598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w:t>
      </w:r>
      <w:r w:rsidRPr="004865EF">
        <w:rPr>
          <w:rFonts w:ascii="Times New Roman" w:eastAsia="宋体" w:hAnsi="Times New Roman" w:cs="Times New Roman" w:hint="eastAsia"/>
          <w:sz w:val="24"/>
          <w:szCs w:val="22"/>
        </w:rPr>
        <w:t>2</w:t>
      </w:r>
      <w:r w:rsidRPr="004865EF">
        <w:rPr>
          <w:rFonts w:ascii="Times New Roman" w:eastAsia="宋体" w:hAnsi="Times New Roman" w:cs="Times New Roman" w:hint="eastAsia"/>
          <w:sz w:val="24"/>
          <w:szCs w:val="22"/>
        </w:rPr>
        <w:t>）</w:t>
      </w:r>
      <w:r w:rsidR="00195988" w:rsidRPr="004865EF">
        <w:rPr>
          <w:rFonts w:ascii="Times New Roman" w:eastAsia="宋体" w:hAnsi="Times New Roman" w:cs="Times New Roman"/>
          <w:sz w:val="24"/>
          <w:szCs w:val="22"/>
        </w:rPr>
        <w:t>如在目标公司数据中心项目建筑主体竣工验收之日，甲方</w:t>
      </w:r>
      <w:r w:rsidR="00195988" w:rsidRPr="004865EF">
        <w:rPr>
          <w:rFonts w:ascii="Times New Roman" w:eastAsia="宋体" w:hAnsi="Times New Roman" w:cs="Times New Roman"/>
          <w:sz w:val="24"/>
          <w:szCs w:val="22"/>
        </w:rPr>
        <w:t>2020</w:t>
      </w:r>
      <w:r w:rsidR="00195988" w:rsidRPr="004865EF">
        <w:rPr>
          <w:rFonts w:ascii="Times New Roman" w:eastAsia="宋体" w:hAnsi="Times New Roman" w:cs="Times New Roman"/>
          <w:sz w:val="24"/>
          <w:szCs w:val="22"/>
        </w:rPr>
        <w:t>年度非公开发行募集资金失败或募集资金金额不足，则甲方</w:t>
      </w:r>
      <w:proofErr w:type="gramStart"/>
      <w:r w:rsidR="00195988" w:rsidRPr="004865EF">
        <w:rPr>
          <w:rFonts w:ascii="Times New Roman" w:eastAsia="宋体" w:hAnsi="Times New Roman" w:cs="Times New Roman"/>
          <w:sz w:val="24"/>
          <w:szCs w:val="22"/>
        </w:rPr>
        <w:t>自目标</w:t>
      </w:r>
      <w:proofErr w:type="gramEnd"/>
      <w:r w:rsidR="00195988" w:rsidRPr="004865EF">
        <w:rPr>
          <w:rFonts w:ascii="Times New Roman" w:eastAsia="宋体" w:hAnsi="Times New Roman" w:cs="Times New Roman"/>
          <w:sz w:val="24"/>
          <w:szCs w:val="22"/>
        </w:rPr>
        <w:t>公司数据中心项目建筑主体竣工验收之日起的</w:t>
      </w:r>
      <w:r w:rsidR="00195988" w:rsidRPr="004865EF">
        <w:rPr>
          <w:rFonts w:ascii="Times New Roman" w:eastAsia="宋体" w:hAnsi="Times New Roman" w:cs="Times New Roman"/>
          <w:sz w:val="24"/>
          <w:szCs w:val="22"/>
        </w:rPr>
        <w:t>2</w:t>
      </w:r>
      <w:r w:rsidR="00195988" w:rsidRPr="004865EF">
        <w:rPr>
          <w:rFonts w:ascii="Times New Roman" w:eastAsia="宋体" w:hAnsi="Times New Roman" w:cs="Times New Roman"/>
          <w:sz w:val="24"/>
          <w:szCs w:val="22"/>
        </w:rPr>
        <w:t>个月内，以自筹或其他自有资金形式向目标公司缴纳本次增资款的</w:t>
      </w:r>
      <w:r w:rsidR="00195988" w:rsidRPr="004865EF">
        <w:rPr>
          <w:rFonts w:ascii="Times New Roman" w:eastAsia="宋体" w:hAnsi="Times New Roman" w:cs="Times New Roman"/>
          <w:sz w:val="24"/>
          <w:szCs w:val="22"/>
        </w:rPr>
        <w:t>70%</w:t>
      </w:r>
      <w:r w:rsidR="00195988" w:rsidRPr="004865EF">
        <w:rPr>
          <w:rFonts w:ascii="Times New Roman" w:eastAsia="宋体" w:hAnsi="Times New Roman" w:cs="Times New Roman"/>
          <w:sz w:val="24"/>
          <w:szCs w:val="22"/>
        </w:rPr>
        <w:t>即</w:t>
      </w:r>
      <w:r w:rsidR="00195988" w:rsidRPr="004865EF">
        <w:rPr>
          <w:rFonts w:ascii="Times New Roman" w:eastAsia="宋体" w:hAnsi="Times New Roman" w:cs="Times New Roman"/>
          <w:sz w:val="24"/>
          <w:szCs w:val="22"/>
        </w:rPr>
        <w:t>78,890.7</w:t>
      </w:r>
      <w:r w:rsidR="00195988" w:rsidRPr="004865EF">
        <w:rPr>
          <w:rFonts w:ascii="Times New Roman" w:eastAsia="宋体" w:hAnsi="Times New Roman" w:cs="Times New Roman"/>
          <w:sz w:val="24"/>
          <w:szCs w:val="22"/>
        </w:rPr>
        <w:t>万元；目标公司应当自收到甲方缴纳的该笔增资款后</w:t>
      </w:r>
      <w:r w:rsidR="00195988" w:rsidRPr="004865EF">
        <w:rPr>
          <w:rFonts w:ascii="Times New Roman" w:eastAsia="宋体" w:hAnsi="Times New Roman" w:cs="Times New Roman"/>
          <w:sz w:val="24"/>
          <w:szCs w:val="22"/>
        </w:rPr>
        <w:t>5</w:t>
      </w:r>
      <w:r w:rsidR="00195988" w:rsidRPr="004865EF">
        <w:rPr>
          <w:rFonts w:ascii="Times New Roman" w:eastAsia="宋体" w:hAnsi="Times New Roman" w:cs="Times New Roman"/>
          <w:sz w:val="24"/>
          <w:szCs w:val="22"/>
        </w:rPr>
        <w:t>个工作日内完成相关工商变更登记手续；工商变更登记完成后一个月内，甲方将剩余增资款</w:t>
      </w:r>
      <w:r w:rsidR="00195988" w:rsidRPr="004865EF">
        <w:rPr>
          <w:rFonts w:ascii="Times New Roman" w:eastAsia="宋体" w:hAnsi="Times New Roman" w:cs="Times New Roman"/>
          <w:sz w:val="24"/>
          <w:szCs w:val="22"/>
        </w:rPr>
        <w:t>33,810.3</w:t>
      </w:r>
      <w:r w:rsidR="00195988" w:rsidRPr="004865EF">
        <w:rPr>
          <w:rFonts w:ascii="Times New Roman" w:eastAsia="宋体" w:hAnsi="Times New Roman" w:cs="Times New Roman"/>
          <w:sz w:val="24"/>
          <w:szCs w:val="22"/>
        </w:rPr>
        <w:t>万元支付至目标公司。</w:t>
      </w:r>
    </w:p>
    <w:p w14:paraId="6DFF82C7" w14:textId="77777777" w:rsidR="00B95E66" w:rsidRPr="004865EF" w:rsidRDefault="000F2A87" w:rsidP="002306FC">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经公司第四届董事会</w:t>
      </w:r>
      <w:r w:rsidRPr="004865EF">
        <w:rPr>
          <w:rFonts w:ascii="Times New Roman" w:eastAsia="宋体" w:hAnsi="Times New Roman" w:cs="Times New Roman" w:hint="eastAsia"/>
          <w:sz w:val="24"/>
          <w:szCs w:val="22"/>
        </w:rPr>
        <w:t>2</w:t>
      </w:r>
      <w:r w:rsidRPr="004865EF">
        <w:rPr>
          <w:rFonts w:ascii="Times New Roman" w:eastAsia="宋体" w:hAnsi="Times New Roman" w:cs="Times New Roman"/>
          <w:sz w:val="24"/>
          <w:szCs w:val="22"/>
        </w:rPr>
        <w:t>020</w:t>
      </w:r>
      <w:r w:rsidRPr="004865EF">
        <w:rPr>
          <w:rFonts w:ascii="Times New Roman" w:eastAsia="宋体" w:hAnsi="Times New Roman" w:cs="Times New Roman" w:hint="eastAsia"/>
          <w:sz w:val="24"/>
          <w:szCs w:val="22"/>
        </w:rPr>
        <w:t>年第一次会议及</w:t>
      </w:r>
      <w:r w:rsidRPr="004865EF">
        <w:rPr>
          <w:rFonts w:ascii="Times New Roman" w:eastAsia="宋体" w:hAnsi="Times New Roman" w:cs="Times New Roman" w:hint="eastAsia"/>
          <w:sz w:val="24"/>
          <w:szCs w:val="22"/>
        </w:rPr>
        <w:t>2</w:t>
      </w:r>
      <w:r w:rsidRPr="004865EF">
        <w:rPr>
          <w:rFonts w:ascii="Times New Roman" w:eastAsia="宋体" w:hAnsi="Times New Roman" w:cs="Times New Roman"/>
          <w:sz w:val="24"/>
          <w:szCs w:val="22"/>
        </w:rPr>
        <w:t>019</w:t>
      </w:r>
      <w:r w:rsidRPr="004865EF">
        <w:rPr>
          <w:rFonts w:ascii="Times New Roman" w:eastAsia="宋体" w:hAnsi="Times New Roman" w:cs="Times New Roman" w:hint="eastAsia"/>
          <w:sz w:val="24"/>
          <w:szCs w:val="22"/>
        </w:rPr>
        <w:t>年度股东大会审议通过，</w:t>
      </w:r>
      <w:r w:rsidR="008C75D7" w:rsidRPr="004865EF">
        <w:rPr>
          <w:rFonts w:ascii="Times New Roman" w:eastAsia="宋体" w:hAnsi="Times New Roman" w:cs="Times New Roman"/>
          <w:sz w:val="24"/>
          <w:szCs w:val="22"/>
        </w:rPr>
        <w:t>公司将使用募集资金</w:t>
      </w:r>
      <w:r w:rsidR="008C75D7" w:rsidRPr="004865EF">
        <w:rPr>
          <w:rFonts w:ascii="Times New Roman" w:eastAsia="宋体" w:hAnsi="Times New Roman" w:cs="Times New Roman"/>
          <w:sz w:val="24"/>
          <w:szCs w:val="22"/>
        </w:rPr>
        <w:t>152,000.00</w:t>
      </w:r>
      <w:r w:rsidR="008C75D7" w:rsidRPr="004865EF">
        <w:rPr>
          <w:rFonts w:ascii="Times New Roman" w:eastAsia="宋体" w:hAnsi="Times New Roman" w:cs="Times New Roman"/>
          <w:sz w:val="24"/>
          <w:szCs w:val="22"/>
        </w:rPr>
        <w:t>万元用于投资建设燕郊绿色</w:t>
      </w:r>
      <w:proofErr w:type="gramStart"/>
      <w:r w:rsidR="008C75D7" w:rsidRPr="004865EF">
        <w:rPr>
          <w:rFonts w:ascii="Times New Roman" w:eastAsia="宋体" w:hAnsi="Times New Roman" w:cs="Times New Roman"/>
          <w:sz w:val="24"/>
          <w:szCs w:val="22"/>
        </w:rPr>
        <w:t>云计算</w:t>
      </w:r>
      <w:proofErr w:type="gramEnd"/>
      <w:r w:rsidR="008C75D7" w:rsidRPr="004865EF">
        <w:rPr>
          <w:rFonts w:ascii="Times New Roman" w:eastAsia="宋体" w:hAnsi="Times New Roman" w:cs="Times New Roman"/>
          <w:sz w:val="24"/>
          <w:szCs w:val="22"/>
        </w:rPr>
        <w:t>基地三四期项目，其中</w:t>
      </w:r>
      <w:r w:rsidR="008C75D7" w:rsidRPr="004865EF">
        <w:rPr>
          <w:rFonts w:ascii="Times New Roman" w:eastAsia="宋体" w:hAnsi="Times New Roman" w:cs="Times New Roman"/>
          <w:sz w:val="24"/>
          <w:szCs w:val="22"/>
        </w:rPr>
        <w:t>112,701.00</w:t>
      </w:r>
      <w:r w:rsidR="008C75D7" w:rsidRPr="004865EF">
        <w:rPr>
          <w:rFonts w:ascii="Times New Roman" w:eastAsia="宋体" w:hAnsi="Times New Roman" w:cs="Times New Roman"/>
          <w:sz w:val="24"/>
          <w:szCs w:val="22"/>
        </w:rPr>
        <w:t>万元用于</w:t>
      </w:r>
      <w:proofErr w:type="gramStart"/>
      <w:r w:rsidR="008C75D7" w:rsidRPr="004865EF">
        <w:rPr>
          <w:rFonts w:ascii="Times New Roman" w:eastAsia="宋体" w:hAnsi="Times New Roman" w:cs="Times New Roman"/>
          <w:sz w:val="24"/>
          <w:szCs w:val="22"/>
        </w:rPr>
        <w:t>向智达云创增资</w:t>
      </w:r>
      <w:proofErr w:type="gramEnd"/>
      <w:r w:rsidR="008C75D7" w:rsidRPr="004865EF">
        <w:rPr>
          <w:rFonts w:ascii="Times New Roman" w:eastAsia="宋体" w:hAnsi="Times New Roman" w:cs="Times New Roman"/>
          <w:sz w:val="24"/>
          <w:szCs w:val="22"/>
        </w:rPr>
        <w:t>取得</w:t>
      </w:r>
      <w:r w:rsidR="008C75D7" w:rsidRPr="004865EF">
        <w:rPr>
          <w:rFonts w:ascii="Times New Roman" w:eastAsia="宋体" w:hAnsi="Times New Roman" w:cs="Times New Roman"/>
          <w:sz w:val="24"/>
          <w:szCs w:val="22"/>
        </w:rPr>
        <w:t>65%</w:t>
      </w:r>
      <w:r w:rsidR="008C75D7" w:rsidRPr="004865EF">
        <w:rPr>
          <w:rFonts w:ascii="Times New Roman" w:eastAsia="宋体" w:hAnsi="Times New Roman" w:cs="Times New Roman"/>
          <w:sz w:val="24"/>
          <w:szCs w:val="22"/>
        </w:rPr>
        <w:t>股权，剩余部分公司将通过</w:t>
      </w:r>
      <w:proofErr w:type="gramStart"/>
      <w:r w:rsidR="008C75D7" w:rsidRPr="004865EF">
        <w:rPr>
          <w:rFonts w:ascii="Times New Roman" w:eastAsia="宋体" w:hAnsi="Times New Roman" w:cs="Times New Roman"/>
          <w:sz w:val="24"/>
          <w:szCs w:val="22"/>
        </w:rPr>
        <w:t>向智达云创增资</w:t>
      </w:r>
      <w:proofErr w:type="gramEnd"/>
      <w:r w:rsidR="008C75D7" w:rsidRPr="004865EF">
        <w:rPr>
          <w:rFonts w:ascii="Times New Roman" w:eastAsia="宋体" w:hAnsi="Times New Roman" w:cs="Times New Roman"/>
          <w:sz w:val="24"/>
          <w:szCs w:val="22"/>
        </w:rPr>
        <w:t>或提供借款的方式来实施</w:t>
      </w:r>
      <w:proofErr w:type="gramStart"/>
      <w:r w:rsidR="008C75D7" w:rsidRPr="004865EF">
        <w:rPr>
          <w:rFonts w:ascii="Times New Roman" w:eastAsia="宋体" w:hAnsi="Times New Roman" w:cs="Times New Roman"/>
          <w:sz w:val="24"/>
          <w:szCs w:val="22"/>
        </w:rPr>
        <w:t>本募投项目</w:t>
      </w:r>
      <w:proofErr w:type="gramEnd"/>
      <w:r w:rsidR="002E130A" w:rsidRPr="004865EF">
        <w:rPr>
          <w:rFonts w:ascii="Times New Roman" w:eastAsia="宋体" w:hAnsi="Times New Roman" w:cs="Times New Roman" w:hint="eastAsia"/>
          <w:sz w:val="24"/>
          <w:szCs w:val="22"/>
        </w:rPr>
        <w:t>。</w:t>
      </w:r>
      <w:r w:rsidR="005B3CE4" w:rsidRPr="004865EF">
        <w:rPr>
          <w:rFonts w:ascii="Times New Roman" w:eastAsia="宋体" w:hAnsi="Times New Roman" w:cs="Times New Roman" w:hint="eastAsia"/>
          <w:sz w:val="24"/>
          <w:szCs w:val="22"/>
        </w:rPr>
        <w:t>因此，</w:t>
      </w:r>
      <w:r w:rsidR="00CC608A" w:rsidRPr="004865EF">
        <w:rPr>
          <w:rFonts w:ascii="Times New Roman" w:eastAsia="宋体" w:hAnsi="Times New Roman" w:cs="Times New Roman" w:hint="eastAsia"/>
          <w:sz w:val="24"/>
          <w:szCs w:val="22"/>
        </w:rPr>
        <w:t>本次</w:t>
      </w:r>
      <w:r w:rsidR="005B3CE4" w:rsidRPr="004865EF">
        <w:rPr>
          <w:rFonts w:ascii="Times New Roman" w:eastAsia="宋体" w:hAnsi="Times New Roman" w:cs="Times New Roman"/>
          <w:sz w:val="24"/>
          <w:szCs w:val="22"/>
        </w:rPr>
        <w:t>募集资金剩余部分</w:t>
      </w:r>
      <w:r w:rsidR="00CC608A" w:rsidRPr="004865EF">
        <w:rPr>
          <w:rFonts w:ascii="Times New Roman" w:eastAsia="宋体" w:hAnsi="Times New Roman" w:cs="Times New Roman" w:hint="eastAsia"/>
          <w:sz w:val="24"/>
          <w:szCs w:val="22"/>
        </w:rPr>
        <w:t>公司将通过</w:t>
      </w:r>
      <w:proofErr w:type="gramStart"/>
      <w:r w:rsidR="00CC608A" w:rsidRPr="004865EF">
        <w:rPr>
          <w:rFonts w:ascii="Times New Roman" w:eastAsia="宋体" w:hAnsi="Times New Roman" w:cs="Times New Roman" w:hint="eastAsia"/>
          <w:sz w:val="24"/>
          <w:szCs w:val="22"/>
        </w:rPr>
        <w:t>向</w:t>
      </w:r>
      <w:r w:rsidR="00F02076" w:rsidRPr="004865EF">
        <w:rPr>
          <w:rFonts w:ascii="Times New Roman" w:eastAsia="宋体" w:hAnsi="Times New Roman" w:cs="Times New Roman" w:hint="eastAsia"/>
          <w:sz w:val="24"/>
          <w:szCs w:val="22"/>
        </w:rPr>
        <w:t>智达云创</w:t>
      </w:r>
      <w:r w:rsidR="00CC608A" w:rsidRPr="004865EF">
        <w:rPr>
          <w:rFonts w:ascii="Times New Roman" w:eastAsia="宋体" w:hAnsi="Times New Roman" w:cs="Times New Roman" w:hint="eastAsia"/>
          <w:sz w:val="24"/>
          <w:szCs w:val="22"/>
        </w:rPr>
        <w:t>增资</w:t>
      </w:r>
      <w:proofErr w:type="gramEnd"/>
      <w:r w:rsidR="00CC608A" w:rsidRPr="004865EF">
        <w:rPr>
          <w:rFonts w:ascii="Times New Roman" w:eastAsia="宋体" w:hAnsi="Times New Roman" w:cs="Times New Roman" w:hint="eastAsia"/>
          <w:sz w:val="24"/>
          <w:szCs w:val="22"/>
        </w:rPr>
        <w:t>或提供借款的方式</w:t>
      </w:r>
      <w:r w:rsidR="00FB4585" w:rsidRPr="004865EF">
        <w:rPr>
          <w:rFonts w:ascii="Times New Roman" w:eastAsia="宋体" w:hAnsi="Times New Roman" w:cs="Times New Roman" w:hint="eastAsia"/>
          <w:sz w:val="24"/>
          <w:szCs w:val="22"/>
        </w:rPr>
        <w:t>进行实施</w:t>
      </w:r>
      <w:r w:rsidR="00B50468" w:rsidRPr="004865EF">
        <w:rPr>
          <w:rFonts w:ascii="Times New Roman" w:eastAsia="宋体" w:hAnsi="Times New Roman" w:cs="Times New Roman" w:hint="eastAsia"/>
          <w:sz w:val="24"/>
          <w:szCs w:val="22"/>
        </w:rPr>
        <w:t>，公司将</w:t>
      </w:r>
      <w:r w:rsidR="002471E7" w:rsidRPr="004865EF">
        <w:rPr>
          <w:rFonts w:ascii="Times New Roman" w:eastAsia="宋体" w:hAnsi="Times New Roman" w:cs="Times New Roman" w:hint="eastAsia"/>
          <w:sz w:val="24"/>
          <w:szCs w:val="22"/>
        </w:rPr>
        <w:t>根据</w:t>
      </w:r>
      <w:r w:rsidR="00CA12A7" w:rsidRPr="004865EF">
        <w:rPr>
          <w:rFonts w:ascii="Times New Roman" w:eastAsia="宋体" w:hAnsi="Times New Roman" w:cs="Times New Roman" w:hint="eastAsia"/>
          <w:sz w:val="24"/>
          <w:szCs w:val="22"/>
        </w:rPr>
        <w:t>本</w:t>
      </w:r>
      <w:proofErr w:type="gramStart"/>
      <w:r w:rsidR="002471E7" w:rsidRPr="004865EF">
        <w:rPr>
          <w:rFonts w:ascii="Times New Roman" w:eastAsia="宋体" w:hAnsi="Times New Roman" w:cs="Times New Roman" w:hint="eastAsia"/>
          <w:sz w:val="24"/>
          <w:szCs w:val="22"/>
        </w:rPr>
        <w:t>募投项目</w:t>
      </w:r>
      <w:proofErr w:type="gramEnd"/>
      <w:r w:rsidR="002471E7" w:rsidRPr="004865EF">
        <w:rPr>
          <w:rFonts w:ascii="Times New Roman" w:eastAsia="宋体" w:hAnsi="Times New Roman" w:cs="Times New Roman" w:hint="eastAsia"/>
          <w:sz w:val="24"/>
          <w:szCs w:val="22"/>
        </w:rPr>
        <w:t>的</w:t>
      </w:r>
      <w:r w:rsidR="00CA12A7" w:rsidRPr="004865EF">
        <w:rPr>
          <w:rFonts w:ascii="Times New Roman" w:eastAsia="宋体" w:hAnsi="Times New Roman" w:cs="Times New Roman" w:hint="eastAsia"/>
          <w:sz w:val="24"/>
          <w:szCs w:val="22"/>
        </w:rPr>
        <w:t>建设</w:t>
      </w:r>
      <w:r w:rsidR="002471E7" w:rsidRPr="004865EF">
        <w:rPr>
          <w:rFonts w:ascii="Times New Roman" w:eastAsia="宋体" w:hAnsi="Times New Roman" w:cs="Times New Roman" w:hint="eastAsia"/>
          <w:sz w:val="24"/>
          <w:szCs w:val="22"/>
        </w:rPr>
        <w:t>进展</w:t>
      </w:r>
      <w:r w:rsidR="00CA12A7" w:rsidRPr="004865EF">
        <w:rPr>
          <w:rFonts w:ascii="Times New Roman" w:eastAsia="宋体" w:hAnsi="Times New Roman" w:cs="Times New Roman" w:hint="eastAsia"/>
          <w:sz w:val="24"/>
          <w:szCs w:val="22"/>
        </w:rPr>
        <w:t>及资金需求</w:t>
      </w:r>
      <w:r w:rsidR="00937C15" w:rsidRPr="004865EF">
        <w:rPr>
          <w:rFonts w:ascii="Times New Roman" w:eastAsia="宋体" w:hAnsi="Times New Roman" w:cs="Times New Roman" w:hint="eastAsia"/>
          <w:sz w:val="24"/>
          <w:szCs w:val="22"/>
        </w:rPr>
        <w:t>情况</w:t>
      </w:r>
      <w:r w:rsidR="00CA12A7" w:rsidRPr="004865EF">
        <w:rPr>
          <w:rFonts w:ascii="Times New Roman" w:eastAsia="宋体" w:hAnsi="Times New Roman" w:cs="Times New Roman" w:hint="eastAsia"/>
          <w:sz w:val="24"/>
          <w:szCs w:val="22"/>
        </w:rPr>
        <w:t>并在</w:t>
      </w:r>
      <w:r w:rsidR="00925812" w:rsidRPr="004865EF">
        <w:rPr>
          <w:rFonts w:ascii="Times New Roman" w:eastAsia="宋体" w:hAnsi="Times New Roman" w:cs="Times New Roman" w:hint="eastAsia"/>
          <w:sz w:val="24"/>
          <w:szCs w:val="22"/>
        </w:rPr>
        <w:t>履行内部审批程序后确定</w:t>
      </w:r>
      <w:r w:rsidR="00D00394" w:rsidRPr="004865EF">
        <w:rPr>
          <w:rFonts w:ascii="Times New Roman" w:eastAsia="宋体" w:hAnsi="Times New Roman" w:cs="Times New Roman" w:hint="eastAsia"/>
          <w:sz w:val="24"/>
          <w:szCs w:val="22"/>
        </w:rPr>
        <w:t>具体</w:t>
      </w:r>
      <w:r w:rsidR="00925812" w:rsidRPr="004865EF">
        <w:rPr>
          <w:rFonts w:ascii="Times New Roman" w:eastAsia="宋体" w:hAnsi="Times New Roman" w:cs="Times New Roman" w:hint="eastAsia"/>
          <w:sz w:val="24"/>
          <w:szCs w:val="22"/>
        </w:rPr>
        <w:t>实施方式。</w:t>
      </w:r>
    </w:p>
    <w:p w14:paraId="7E490F30" w14:textId="77777777" w:rsidR="00B230A3" w:rsidRPr="004865EF" w:rsidRDefault="002D0DC2" w:rsidP="00F16CA0">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b/>
          <w:bCs/>
          <w:sz w:val="24"/>
          <w:szCs w:val="22"/>
        </w:rPr>
        <w:t>2</w:t>
      </w:r>
      <w:r w:rsidR="00B230A3" w:rsidRPr="004865EF">
        <w:rPr>
          <w:rFonts w:ascii="Times New Roman" w:eastAsia="宋体" w:hAnsi="Times New Roman" w:cs="Times New Roman" w:hint="eastAsia"/>
          <w:b/>
          <w:bCs/>
          <w:sz w:val="24"/>
          <w:szCs w:val="22"/>
        </w:rPr>
        <w:t>、</w:t>
      </w:r>
      <w:r w:rsidR="00F16CA0" w:rsidRPr="004865EF">
        <w:rPr>
          <w:rFonts w:ascii="Times New Roman" w:eastAsia="宋体" w:hAnsi="Times New Roman" w:cs="Times New Roman"/>
          <w:b/>
          <w:bCs/>
          <w:sz w:val="24"/>
          <w:szCs w:val="22"/>
        </w:rPr>
        <w:t>其他股东对剩余</w:t>
      </w:r>
      <w:proofErr w:type="gramStart"/>
      <w:r w:rsidR="00F16CA0" w:rsidRPr="004865EF">
        <w:rPr>
          <w:rFonts w:ascii="Times New Roman" w:eastAsia="宋体" w:hAnsi="Times New Roman" w:cs="Times New Roman"/>
          <w:b/>
          <w:bCs/>
          <w:sz w:val="24"/>
          <w:szCs w:val="22"/>
        </w:rPr>
        <w:t>投资款同比例</w:t>
      </w:r>
      <w:proofErr w:type="gramEnd"/>
      <w:r w:rsidR="00F16CA0" w:rsidRPr="004865EF">
        <w:rPr>
          <w:rFonts w:ascii="Times New Roman" w:eastAsia="宋体" w:hAnsi="Times New Roman" w:cs="Times New Roman"/>
          <w:b/>
          <w:bCs/>
          <w:sz w:val="24"/>
          <w:szCs w:val="22"/>
        </w:rPr>
        <w:t>增资的价格或提供贷款的主要条款（贷款利率等），是否损害上市公司利益</w:t>
      </w:r>
    </w:p>
    <w:p w14:paraId="53D8B13A" w14:textId="77777777" w:rsidR="00394DA8" w:rsidRPr="004865EF" w:rsidRDefault="00996067" w:rsidP="00C420A2">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根据王禹方、石凤红于</w:t>
      </w:r>
      <w:r w:rsidRPr="004865EF">
        <w:rPr>
          <w:rFonts w:ascii="Times New Roman" w:eastAsia="宋体" w:hAnsi="Times New Roman" w:cs="Times New Roman" w:hint="eastAsia"/>
          <w:sz w:val="24"/>
          <w:szCs w:val="22"/>
        </w:rPr>
        <w:t>2</w:t>
      </w:r>
      <w:r w:rsidRPr="004865EF">
        <w:rPr>
          <w:rFonts w:ascii="Times New Roman" w:eastAsia="宋体" w:hAnsi="Times New Roman" w:cs="Times New Roman"/>
          <w:sz w:val="24"/>
          <w:szCs w:val="22"/>
        </w:rPr>
        <w:t>020</w:t>
      </w:r>
      <w:r w:rsidRPr="004865EF">
        <w:rPr>
          <w:rFonts w:ascii="Times New Roman" w:eastAsia="宋体" w:hAnsi="Times New Roman" w:cs="Times New Roman" w:hint="eastAsia"/>
          <w:sz w:val="24"/>
          <w:szCs w:val="22"/>
        </w:rPr>
        <w:t>年</w:t>
      </w:r>
      <w:r w:rsidRPr="004865EF">
        <w:rPr>
          <w:rFonts w:ascii="Times New Roman" w:eastAsia="宋体" w:hAnsi="Times New Roman" w:cs="Times New Roman" w:hint="eastAsia"/>
          <w:sz w:val="24"/>
          <w:szCs w:val="22"/>
        </w:rPr>
        <w:t>4</w:t>
      </w:r>
      <w:r w:rsidRPr="004865EF">
        <w:rPr>
          <w:rFonts w:ascii="Times New Roman" w:eastAsia="宋体" w:hAnsi="Times New Roman" w:cs="Times New Roman" w:hint="eastAsia"/>
          <w:sz w:val="24"/>
          <w:szCs w:val="22"/>
        </w:rPr>
        <w:t>月</w:t>
      </w:r>
      <w:r w:rsidRPr="004865EF">
        <w:rPr>
          <w:rFonts w:ascii="Times New Roman" w:eastAsia="宋体" w:hAnsi="Times New Roman" w:cs="Times New Roman" w:hint="eastAsia"/>
          <w:sz w:val="24"/>
          <w:szCs w:val="22"/>
        </w:rPr>
        <w:t>2</w:t>
      </w:r>
      <w:r w:rsidRPr="004865EF">
        <w:rPr>
          <w:rFonts w:ascii="Times New Roman" w:eastAsia="宋体" w:hAnsi="Times New Roman" w:cs="Times New Roman"/>
          <w:sz w:val="24"/>
          <w:szCs w:val="22"/>
        </w:rPr>
        <w:t>4</w:t>
      </w:r>
      <w:r w:rsidRPr="004865EF">
        <w:rPr>
          <w:rFonts w:ascii="Times New Roman" w:eastAsia="宋体" w:hAnsi="Times New Roman" w:cs="Times New Roman" w:hint="eastAsia"/>
          <w:sz w:val="24"/>
          <w:szCs w:val="22"/>
        </w:rPr>
        <w:t>日出具的《承诺函》，在本次增资完成后，公司</w:t>
      </w:r>
      <w:proofErr w:type="gramStart"/>
      <w:r w:rsidRPr="004865EF">
        <w:rPr>
          <w:rFonts w:ascii="Times New Roman" w:eastAsia="宋体" w:hAnsi="Times New Roman" w:cs="Times New Roman" w:hint="eastAsia"/>
          <w:sz w:val="24"/>
          <w:szCs w:val="22"/>
        </w:rPr>
        <w:t>向智达云创增资</w:t>
      </w:r>
      <w:proofErr w:type="gramEnd"/>
      <w:r w:rsidRPr="004865EF">
        <w:rPr>
          <w:rFonts w:ascii="Times New Roman" w:eastAsia="宋体" w:hAnsi="Times New Roman" w:cs="Times New Roman" w:hint="eastAsia"/>
          <w:sz w:val="24"/>
          <w:szCs w:val="22"/>
        </w:rPr>
        <w:t>或提供借款时，王禹方、石凤红将依照其各自持有智达云创的股权比例</w:t>
      </w:r>
      <w:proofErr w:type="gramStart"/>
      <w:r w:rsidRPr="004865EF">
        <w:rPr>
          <w:rFonts w:ascii="Times New Roman" w:eastAsia="宋体" w:hAnsi="Times New Roman" w:cs="Times New Roman" w:hint="eastAsia"/>
          <w:sz w:val="24"/>
          <w:szCs w:val="22"/>
        </w:rPr>
        <w:t>向智达云创同</w:t>
      </w:r>
      <w:proofErr w:type="gramEnd"/>
      <w:r w:rsidRPr="004865EF">
        <w:rPr>
          <w:rFonts w:ascii="Times New Roman" w:eastAsia="宋体" w:hAnsi="Times New Roman" w:cs="Times New Roman" w:hint="eastAsia"/>
          <w:sz w:val="24"/>
          <w:szCs w:val="22"/>
        </w:rPr>
        <w:t>比例提供资金。</w:t>
      </w:r>
    </w:p>
    <w:p w14:paraId="3B13E399" w14:textId="1762F5AB" w:rsidR="00183134" w:rsidRPr="004865EF" w:rsidRDefault="00BF3A87" w:rsidP="00C420A2">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根据王禹方、石凤红于</w:t>
      </w:r>
      <w:r w:rsidRPr="004865EF">
        <w:rPr>
          <w:rFonts w:ascii="Times New Roman" w:eastAsia="宋体" w:hAnsi="Times New Roman" w:cs="Times New Roman" w:hint="eastAsia"/>
          <w:sz w:val="24"/>
          <w:szCs w:val="22"/>
        </w:rPr>
        <w:t>2</w:t>
      </w:r>
      <w:r w:rsidRPr="004865EF">
        <w:rPr>
          <w:rFonts w:ascii="Times New Roman" w:eastAsia="宋体" w:hAnsi="Times New Roman" w:cs="Times New Roman"/>
          <w:sz w:val="24"/>
          <w:szCs w:val="22"/>
        </w:rPr>
        <w:t>020</w:t>
      </w:r>
      <w:r w:rsidRPr="004865EF">
        <w:rPr>
          <w:rFonts w:ascii="Times New Roman" w:eastAsia="宋体" w:hAnsi="Times New Roman" w:cs="Times New Roman" w:hint="eastAsia"/>
          <w:sz w:val="24"/>
          <w:szCs w:val="22"/>
        </w:rPr>
        <w:t>年</w:t>
      </w:r>
      <w:r w:rsidR="009A6C8B" w:rsidRPr="004865EF">
        <w:rPr>
          <w:rFonts w:ascii="Times New Roman" w:eastAsia="宋体" w:hAnsi="Times New Roman" w:cs="Times New Roman"/>
          <w:sz w:val="24"/>
          <w:szCs w:val="22"/>
        </w:rPr>
        <w:t>7</w:t>
      </w:r>
      <w:r w:rsidRPr="004865EF">
        <w:rPr>
          <w:rFonts w:ascii="Times New Roman" w:eastAsia="宋体" w:hAnsi="Times New Roman" w:cs="Times New Roman" w:hint="eastAsia"/>
          <w:sz w:val="24"/>
          <w:szCs w:val="22"/>
        </w:rPr>
        <w:t>月</w:t>
      </w:r>
      <w:r w:rsidR="001850EF" w:rsidRPr="004865EF">
        <w:rPr>
          <w:rFonts w:ascii="Times New Roman" w:eastAsia="宋体" w:hAnsi="Times New Roman" w:cs="Times New Roman" w:hint="eastAsia"/>
          <w:sz w:val="24"/>
          <w:szCs w:val="22"/>
        </w:rPr>
        <w:t>17</w:t>
      </w:r>
      <w:r w:rsidRPr="004865EF">
        <w:rPr>
          <w:rFonts w:ascii="Times New Roman" w:eastAsia="宋体" w:hAnsi="Times New Roman" w:cs="Times New Roman" w:hint="eastAsia"/>
          <w:sz w:val="24"/>
          <w:szCs w:val="22"/>
        </w:rPr>
        <w:t>日出具的《承诺函</w:t>
      </w:r>
      <w:r w:rsidR="002624ED" w:rsidRPr="004865EF">
        <w:rPr>
          <w:rFonts w:ascii="Times New Roman" w:eastAsia="宋体" w:hAnsi="Times New Roman" w:cs="Times New Roman" w:hint="eastAsia"/>
          <w:sz w:val="24"/>
          <w:szCs w:val="22"/>
        </w:rPr>
        <w:t>（二）</w:t>
      </w:r>
      <w:r w:rsidRPr="004865EF">
        <w:rPr>
          <w:rFonts w:ascii="Times New Roman" w:eastAsia="宋体" w:hAnsi="Times New Roman" w:cs="Times New Roman" w:hint="eastAsia"/>
          <w:sz w:val="24"/>
          <w:szCs w:val="22"/>
        </w:rPr>
        <w:t>》</w:t>
      </w:r>
      <w:r w:rsidR="002624ED" w:rsidRPr="004865EF">
        <w:rPr>
          <w:rFonts w:ascii="Times New Roman" w:eastAsia="宋体" w:hAnsi="Times New Roman" w:cs="Times New Roman" w:hint="eastAsia"/>
          <w:sz w:val="24"/>
          <w:szCs w:val="22"/>
        </w:rPr>
        <w:t>，</w:t>
      </w:r>
      <w:r w:rsidR="00183134" w:rsidRPr="004865EF">
        <w:rPr>
          <w:rFonts w:ascii="Times New Roman" w:eastAsia="宋体" w:hAnsi="Times New Roman" w:cs="Times New Roman" w:hint="eastAsia"/>
          <w:sz w:val="24"/>
          <w:szCs w:val="22"/>
        </w:rPr>
        <w:t>在依照前述《</w:t>
      </w:r>
      <w:r w:rsidR="00183134" w:rsidRPr="004865EF">
        <w:rPr>
          <w:rFonts w:ascii="Times New Roman" w:eastAsia="宋体" w:hAnsi="Times New Roman" w:cs="Times New Roman"/>
          <w:sz w:val="24"/>
          <w:szCs w:val="22"/>
        </w:rPr>
        <w:t>承诺函</w:t>
      </w:r>
      <w:r w:rsidR="00183134" w:rsidRPr="004865EF">
        <w:rPr>
          <w:rFonts w:ascii="Times New Roman" w:eastAsia="宋体" w:hAnsi="Times New Roman" w:cs="Times New Roman" w:hint="eastAsia"/>
          <w:sz w:val="24"/>
          <w:szCs w:val="22"/>
        </w:rPr>
        <w:t>》</w:t>
      </w:r>
      <w:proofErr w:type="gramStart"/>
      <w:r w:rsidR="00183134" w:rsidRPr="004865EF">
        <w:rPr>
          <w:rFonts w:ascii="Times New Roman" w:eastAsia="宋体" w:hAnsi="Times New Roman" w:cs="Times New Roman" w:hint="eastAsia"/>
          <w:sz w:val="24"/>
          <w:szCs w:val="22"/>
        </w:rPr>
        <w:t>向智达云创同</w:t>
      </w:r>
      <w:proofErr w:type="gramEnd"/>
      <w:r w:rsidR="00183134" w:rsidRPr="004865EF">
        <w:rPr>
          <w:rFonts w:ascii="Times New Roman" w:eastAsia="宋体" w:hAnsi="Times New Roman" w:cs="Times New Roman" w:hint="eastAsia"/>
          <w:sz w:val="24"/>
          <w:szCs w:val="22"/>
        </w:rPr>
        <w:t>比例提供资金时，</w:t>
      </w:r>
      <w:r w:rsidR="00C87FC5" w:rsidRPr="004865EF">
        <w:rPr>
          <w:rFonts w:ascii="Times New Roman" w:eastAsia="宋体" w:hAnsi="Times New Roman" w:cs="Times New Roman" w:hint="eastAsia"/>
          <w:sz w:val="24"/>
          <w:szCs w:val="22"/>
        </w:rPr>
        <w:t>王禹方、石凤红</w:t>
      </w:r>
      <w:proofErr w:type="gramStart"/>
      <w:r w:rsidR="00183134" w:rsidRPr="004865EF">
        <w:rPr>
          <w:rFonts w:ascii="Times New Roman" w:eastAsia="宋体" w:hAnsi="Times New Roman" w:cs="Times New Roman" w:hint="eastAsia"/>
          <w:sz w:val="24"/>
          <w:szCs w:val="22"/>
        </w:rPr>
        <w:t>向智达云创增资</w:t>
      </w:r>
      <w:proofErr w:type="gramEnd"/>
      <w:r w:rsidR="00183134" w:rsidRPr="004865EF">
        <w:rPr>
          <w:rFonts w:ascii="Times New Roman" w:eastAsia="宋体" w:hAnsi="Times New Roman" w:cs="Times New Roman" w:hint="eastAsia"/>
          <w:sz w:val="24"/>
          <w:szCs w:val="22"/>
        </w:rPr>
        <w:t>的价格以及向智达</w:t>
      </w:r>
      <w:proofErr w:type="gramStart"/>
      <w:r w:rsidR="00183134" w:rsidRPr="004865EF">
        <w:rPr>
          <w:rFonts w:ascii="Times New Roman" w:eastAsia="宋体" w:hAnsi="Times New Roman" w:cs="Times New Roman" w:hint="eastAsia"/>
          <w:sz w:val="24"/>
          <w:szCs w:val="22"/>
        </w:rPr>
        <w:t>云创提供</w:t>
      </w:r>
      <w:proofErr w:type="gramEnd"/>
      <w:r w:rsidR="00183134" w:rsidRPr="004865EF">
        <w:rPr>
          <w:rFonts w:ascii="Times New Roman" w:eastAsia="宋体" w:hAnsi="Times New Roman" w:cs="Times New Roman" w:hint="eastAsia"/>
          <w:sz w:val="24"/>
          <w:szCs w:val="22"/>
        </w:rPr>
        <w:t>借款的利率、期限等</w:t>
      </w:r>
      <w:r w:rsidR="007A1320" w:rsidRPr="004865EF">
        <w:rPr>
          <w:rFonts w:ascii="Times New Roman" w:eastAsia="宋体" w:hAnsi="Times New Roman" w:cs="Times New Roman" w:hint="eastAsia"/>
          <w:sz w:val="24"/>
          <w:szCs w:val="22"/>
        </w:rPr>
        <w:t>主要</w:t>
      </w:r>
      <w:r w:rsidR="00183134" w:rsidRPr="004865EF">
        <w:rPr>
          <w:rFonts w:ascii="Times New Roman" w:eastAsia="宋体" w:hAnsi="Times New Roman" w:cs="Times New Roman" w:hint="eastAsia"/>
          <w:sz w:val="24"/>
          <w:szCs w:val="22"/>
        </w:rPr>
        <w:t>条款将与光环新网保持一致，以避免损害光环新网的利益。</w:t>
      </w:r>
    </w:p>
    <w:p w14:paraId="414ACBAF" w14:textId="3261C737" w:rsidR="00151B65" w:rsidRPr="004865EF" w:rsidRDefault="00151B65" w:rsidP="0067537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燕郊绿色</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基地三四期项目</w:t>
      </w:r>
      <w:r w:rsidR="00E266A0" w:rsidRPr="004865EF">
        <w:rPr>
          <w:rFonts w:ascii="Times New Roman" w:eastAsia="宋体" w:hAnsi="Times New Roman" w:cs="Times New Roman" w:hint="eastAsia"/>
          <w:sz w:val="24"/>
          <w:szCs w:val="22"/>
        </w:rPr>
        <w:t>的</w:t>
      </w:r>
      <w:r w:rsidRPr="004865EF">
        <w:rPr>
          <w:rFonts w:ascii="Times New Roman" w:eastAsia="宋体" w:hAnsi="Times New Roman" w:cs="Times New Roman" w:hint="eastAsia"/>
          <w:sz w:val="24"/>
          <w:szCs w:val="22"/>
        </w:rPr>
        <w:t>预计投资总额为</w:t>
      </w:r>
      <w:r w:rsidRPr="004865EF">
        <w:rPr>
          <w:rFonts w:ascii="Times New Roman" w:eastAsia="宋体" w:hAnsi="Times New Roman" w:cs="Times New Roman"/>
          <w:sz w:val="24"/>
          <w:szCs w:val="22"/>
        </w:rPr>
        <w:t>298,600</w:t>
      </w:r>
      <w:r w:rsidRPr="004865EF">
        <w:rPr>
          <w:rFonts w:ascii="Times New Roman" w:eastAsia="宋体" w:hAnsi="Times New Roman" w:cs="Times New Roman" w:hint="eastAsia"/>
          <w:sz w:val="24"/>
          <w:szCs w:val="22"/>
        </w:rPr>
        <w:t>万元。本次增资完成后，王禹方、石凤红合计持有智达云创</w:t>
      </w:r>
      <w:r w:rsidRPr="004865EF">
        <w:rPr>
          <w:rFonts w:ascii="Times New Roman" w:eastAsia="宋体" w:hAnsi="Times New Roman" w:cs="Times New Roman"/>
          <w:sz w:val="24"/>
          <w:szCs w:val="22"/>
        </w:rPr>
        <w:t>35%</w:t>
      </w:r>
      <w:r w:rsidRPr="004865EF">
        <w:rPr>
          <w:rFonts w:ascii="Times New Roman" w:eastAsia="宋体" w:hAnsi="Times New Roman" w:cs="Times New Roman" w:hint="eastAsia"/>
          <w:sz w:val="24"/>
          <w:szCs w:val="22"/>
        </w:rPr>
        <w:t>股权，其</w:t>
      </w:r>
      <w:proofErr w:type="gramStart"/>
      <w:r w:rsidRPr="004865EF">
        <w:rPr>
          <w:rFonts w:ascii="Times New Roman" w:eastAsia="宋体" w:hAnsi="Times New Roman" w:cs="Times New Roman" w:hint="eastAsia"/>
          <w:sz w:val="24"/>
          <w:szCs w:val="22"/>
        </w:rPr>
        <w:t>向智达云创同</w:t>
      </w:r>
      <w:proofErr w:type="gramEnd"/>
      <w:r w:rsidRPr="004865EF">
        <w:rPr>
          <w:rFonts w:ascii="Times New Roman" w:eastAsia="宋体" w:hAnsi="Times New Roman" w:cs="Times New Roman" w:hint="eastAsia"/>
          <w:sz w:val="24"/>
          <w:szCs w:val="22"/>
        </w:rPr>
        <w:t>比例提供</w:t>
      </w:r>
      <w:r w:rsidRPr="004865EF">
        <w:rPr>
          <w:rFonts w:ascii="Times New Roman" w:eastAsia="宋体" w:hAnsi="Times New Roman" w:cs="Times New Roman" w:hint="eastAsia"/>
          <w:sz w:val="24"/>
          <w:szCs w:val="22"/>
        </w:rPr>
        <w:lastRenderedPageBreak/>
        <w:t>资金支持所需资金情况测算如下：</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969"/>
        <w:gridCol w:w="1985"/>
      </w:tblGrid>
      <w:tr w:rsidR="004865EF" w:rsidRPr="004865EF" w14:paraId="0D097D87" w14:textId="77777777" w:rsidTr="00675378">
        <w:trPr>
          <w:trHeight w:val="397"/>
        </w:trPr>
        <w:tc>
          <w:tcPr>
            <w:tcW w:w="6394" w:type="dxa"/>
            <w:gridSpan w:val="2"/>
            <w:shd w:val="clear" w:color="auto" w:fill="auto"/>
            <w:vAlign w:val="center"/>
            <w:hideMark/>
          </w:tcPr>
          <w:p w14:paraId="17E5537A" w14:textId="77777777" w:rsidR="00A50BB5" w:rsidRPr="004865EF" w:rsidRDefault="00A50BB5" w:rsidP="00A50BB5">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项目</w:t>
            </w:r>
          </w:p>
        </w:tc>
        <w:tc>
          <w:tcPr>
            <w:tcW w:w="1985" w:type="dxa"/>
            <w:shd w:val="clear" w:color="auto" w:fill="auto"/>
            <w:noWrap/>
            <w:vAlign w:val="center"/>
            <w:hideMark/>
          </w:tcPr>
          <w:p w14:paraId="53C022F2" w14:textId="0FB35D1A" w:rsidR="00A50BB5" w:rsidRPr="004865EF" w:rsidRDefault="00A50BB5" w:rsidP="00A50BB5">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资金金额（万元）</w:t>
            </w:r>
          </w:p>
        </w:tc>
      </w:tr>
      <w:tr w:rsidR="004865EF" w:rsidRPr="004865EF" w14:paraId="3AF279FC" w14:textId="77777777" w:rsidTr="00675378">
        <w:trPr>
          <w:trHeight w:val="397"/>
        </w:trPr>
        <w:tc>
          <w:tcPr>
            <w:tcW w:w="6394" w:type="dxa"/>
            <w:gridSpan w:val="2"/>
            <w:shd w:val="clear" w:color="auto" w:fill="auto"/>
            <w:vAlign w:val="center"/>
            <w:hideMark/>
          </w:tcPr>
          <w:p w14:paraId="40214ED4" w14:textId="77777777"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项目预计投资总额</w:t>
            </w:r>
            <w:r w:rsidRPr="004865EF">
              <w:rPr>
                <w:rFonts w:ascii="宋体" w:eastAsia="宋体" w:hAnsi="宋体" w:cs="宋体" w:hint="eastAsia"/>
                <w:kern w:val="0"/>
                <w:szCs w:val="21"/>
              </w:rPr>
              <w:t>①</w:t>
            </w:r>
          </w:p>
        </w:tc>
        <w:tc>
          <w:tcPr>
            <w:tcW w:w="1985" w:type="dxa"/>
            <w:shd w:val="clear" w:color="auto" w:fill="auto"/>
            <w:noWrap/>
            <w:vAlign w:val="center"/>
            <w:hideMark/>
          </w:tcPr>
          <w:p w14:paraId="58D9E9FD" w14:textId="3D219BFC" w:rsidR="00A50BB5" w:rsidRPr="004865EF" w:rsidRDefault="00A50BB5" w:rsidP="00A50BB5">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298,600</w:t>
            </w:r>
          </w:p>
        </w:tc>
      </w:tr>
      <w:tr w:rsidR="004865EF" w:rsidRPr="004865EF" w14:paraId="34E2A952" w14:textId="77777777" w:rsidTr="00AF7138">
        <w:trPr>
          <w:trHeight w:val="397"/>
        </w:trPr>
        <w:tc>
          <w:tcPr>
            <w:tcW w:w="2425" w:type="dxa"/>
            <w:vMerge w:val="restart"/>
            <w:shd w:val="clear" w:color="auto" w:fill="auto"/>
            <w:vAlign w:val="center"/>
            <w:hideMark/>
          </w:tcPr>
          <w:p w14:paraId="033E81AE" w14:textId="77777777"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发行人募集资金投入</w:t>
            </w:r>
          </w:p>
        </w:tc>
        <w:tc>
          <w:tcPr>
            <w:tcW w:w="3969" w:type="dxa"/>
            <w:shd w:val="clear" w:color="auto" w:fill="auto"/>
            <w:noWrap/>
            <w:vAlign w:val="center"/>
            <w:hideMark/>
          </w:tcPr>
          <w:p w14:paraId="1001AE7B" w14:textId="77777777"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股权增资部分</w:t>
            </w:r>
            <w:r w:rsidRPr="004865EF">
              <w:rPr>
                <w:rFonts w:ascii="宋体" w:eastAsia="宋体" w:hAnsi="宋体" w:cs="宋体" w:hint="eastAsia"/>
                <w:kern w:val="0"/>
                <w:szCs w:val="21"/>
              </w:rPr>
              <w:t>②</w:t>
            </w:r>
          </w:p>
        </w:tc>
        <w:tc>
          <w:tcPr>
            <w:tcW w:w="1985" w:type="dxa"/>
            <w:shd w:val="clear" w:color="auto" w:fill="auto"/>
            <w:noWrap/>
            <w:vAlign w:val="center"/>
            <w:hideMark/>
          </w:tcPr>
          <w:p w14:paraId="2B8F55FE" w14:textId="4F2A8E3C" w:rsidR="00A50BB5" w:rsidRPr="004865EF" w:rsidRDefault="00A50BB5" w:rsidP="00A50BB5">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112,701</w:t>
            </w:r>
          </w:p>
        </w:tc>
      </w:tr>
      <w:tr w:rsidR="004865EF" w:rsidRPr="004865EF" w14:paraId="09F960F6" w14:textId="77777777" w:rsidTr="00AF7138">
        <w:trPr>
          <w:trHeight w:val="397"/>
        </w:trPr>
        <w:tc>
          <w:tcPr>
            <w:tcW w:w="2425" w:type="dxa"/>
            <w:vMerge/>
            <w:vAlign w:val="center"/>
            <w:hideMark/>
          </w:tcPr>
          <w:p w14:paraId="76868388" w14:textId="77777777" w:rsidR="00A50BB5" w:rsidRPr="004865EF" w:rsidRDefault="00A50BB5" w:rsidP="00A50BB5">
            <w:pPr>
              <w:widowControl/>
              <w:jc w:val="left"/>
              <w:rPr>
                <w:rFonts w:ascii="Times New Roman" w:eastAsia="宋体" w:hAnsi="Times New Roman" w:cs="Times New Roman"/>
                <w:kern w:val="0"/>
                <w:szCs w:val="21"/>
              </w:rPr>
            </w:pPr>
          </w:p>
        </w:tc>
        <w:tc>
          <w:tcPr>
            <w:tcW w:w="3969" w:type="dxa"/>
            <w:shd w:val="clear" w:color="auto" w:fill="auto"/>
            <w:noWrap/>
            <w:vAlign w:val="center"/>
            <w:hideMark/>
          </w:tcPr>
          <w:p w14:paraId="2170E2F5" w14:textId="77777777"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资金支持部分</w:t>
            </w:r>
            <w:r w:rsidRPr="004865EF">
              <w:rPr>
                <w:rFonts w:ascii="宋体" w:eastAsia="宋体" w:hAnsi="宋体" w:cs="宋体" w:hint="eastAsia"/>
                <w:kern w:val="0"/>
                <w:szCs w:val="21"/>
              </w:rPr>
              <w:t>③</w:t>
            </w:r>
          </w:p>
        </w:tc>
        <w:tc>
          <w:tcPr>
            <w:tcW w:w="1985" w:type="dxa"/>
            <w:shd w:val="clear" w:color="auto" w:fill="auto"/>
            <w:noWrap/>
            <w:vAlign w:val="center"/>
            <w:hideMark/>
          </w:tcPr>
          <w:p w14:paraId="02BF8FB9" w14:textId="28339CF6" w:rsidR="00A50BB5" w:rsidRPr="004865EF" w:rsidRDefault="00A50BB5" w:rsidP="00A50BB5">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39,299</w:t>
            </w:r>
          </w:p>
        </w:tc>
      </w:tr>
      <w:tr w:rsidR="004865EF" w:rsidRPr="004865EF" w14:paraId="71203E16" w14:textId="77777777" w:rsidTr="00AF7138">
        <w:trPr>
          <w:trHeight w:val="397"/>
        </w:trPr>
        <w:tc>
          <w:tcPr>
            <w:tcW w:w="2425" w:type="dxa"/>
            <w:vMerge w:val="restart"/>
            <w:shd w:val="clear" w:color="auto" w:fill="auto"/>
            <w:vAlign w:val="center"/>
            <w:hideMark/>
          </w:tcPr>
          <w:p w14:paraId="3F096C0D" w14:textId="77777777"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少数股东投入</w:t>
            </w:r>
          </w:p>
        </w:tc>
        <w:tc>
          <w:tcPr>
            <w:tcW w:w="3969" w:type="dxa"/>
            <w:shd w:val="clear" w:color="auto" w:fill="auto"/>
            <w:noWrap/>
            <w:vAlign w:val="center"/>
            <w:hideMark/>
          </w:tcPr>
          <w:p w14:paraId="6782FF69" w14:textId="1A404113"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股权增资部分</w:t>
            </w:r>
            <w:r w:rsidRPr="004865EF">
              <w:rPr>
                <w:rFonts w:ascii="宋体" w:eastAsia="宋体" w:hAnsi="宋体" w:cs="宋体" w:hint="eastAsia"/>
                <w:kern w:val="0"/>
                <w:szCs w:val="21"/>
              </w:rPr>
              <w:t>④</w:t>
            </w:r>
            <w:r w:rsidR="00AF7138" w:rsidRPr="004865EF">
              <w:rPr>
                <w:rFonts w:ascii="宋体" w:eastAsia="宋体" w:hAnsi="宋体" w:cs="宋体" w:hint="eastAsia"/>
                <w:kern w:val="0"/>
                <w:szCs w:val="21"/>
              </w:rPr>
              <w:t>（增资款已实缴）</w:t>
            </w:r>
          </w:p>
        </w:tc>
        <w:tc>
          <w:tcPr>
            <w:tcW w:w="1985" w:type="dxa"/>
            <w:shd w:val="clear" w:color="auto" w:fill="auto"/>
            <w:noWrap/>
            <w:vAlign w:val="center"/>
            <w:hideMark/>
          </w:tcPr>
          <w:p w14:paraId="278D41C1" w14:textId="003F66E0" w:rsidR="00A50BB5" w:rsidRPr="004865EF" w:rsidRDefault="00A50BB5" w:rsidP="00A50BB5">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3,400</w:t>
            </w:r>
          </w:p>
        </w:tc>
      </w:tr>
      <w:tr w:rsidR="004865EF" w:rsidRPr="004865EF" w14:paraId="7EFA3A39" w14:textId="77777777" w:rsidTr="00AF7138">
        <w:trPr>
          <w:trHeight w:val="397"/>
        </w:trPr>
        <w:tc>
          <w:tcPr>
            <w:tcW w:w="2425" w:type="dxa"/>
            <w:vMerge/>
            <w:vAlign w:val="center"/>
            <w:hideMark/>
          </w:tcPr>
          <w:p w14:paraId="7CFABBF0" w14:textId="77777777" w:rsidR="00A50BB5" w:rsidRPr="004865EF" w:rsidRDefault="00A50BB5" w:rsidP="00A50BB5">
            <w:pPr>
              <w:widowControl/>
              <w:jc w:val="left"/>
              <w:rPr>
                <w:rFonts w:ascii="Times New Roman" w:eastAsia="宋体" w:hAnsi="Times New Roman" w:cs="Times New Roman"/>
                <w:kern w:val="0"/>
                <w:szCs w:val="21"/>
              </w:rPr>
            </w:pPr>
          </w:p>
        </w:tc>
        <w:tc>
          <w:tcPr>
            <w:tcW w:w="3969" w:type="dxa"/>
            <w:shd w:val="clear" w:color="auto" w:fill="auto"/>
            <w:noWrap/>
            <w:vAlign w:val="center"/>
            <w:hideMark/>
          </w:tcPr>
          <w:p w14:paraId="3A08E03F" w14:textId="5F86C51B"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同比例资金支持部分</w:t>
            </w:r>
            <w:r w:rsidR="00AF7138" w:rsidRPr="004865EF">
              <w:rPr>
                <w:rFonts w:ascii="Times New Roman" w:eastAsia="宋体" w:hAnsi="Times New Roman" w:cs="Times New Roman" w:hint="eastAsia"/>
                <w:kern w:val="0"/>
                <w:szCs w:val="21"/>
              </w:rPr>
              <w:t>（</w:t>
            </w:r>
            <w:r w:rsidRPr="004865EF">
              <w:rPr>
                <w:rFonts w:ascii="宋体" w:eastAsia="宋体" w:hAnsi="宋体" w:cs="宋体" w:hint="eastAsia"/>
                <w:kern w:val="0"/>
                <w:szCs w:val="21"/>
              </w:rPr>
              <w:t>⑤</w:t>
            </w:r>
            <w:r w:rsidR="00AF7138" w:rsidRPr="004865EF">
              <w:rPr>
                <w:rFonts w:ascii="宋体" w:eastAsia="宋体" w:hAnsi="宋体" w:cs="宋体"/>
                <w:kern w:val="0"/>
                <w:szCs w:val="21"/>
              </w:rPr>
              <w:t>=③/65%*35%）</w:t>
            </w:r>
          </w:p>
        </w:tc>
        <w:tc>
          <w:tcPr>
            <w:tcW w:w="1985" w:type="dxa"/>
            <w:shd w:val="clear" w:color="auto" w:fill="auto"/>
            <w:noWrap/>
            <w:vAlign w:val="center"/>
            <w:hideMark/>
          </w:tcPr>
          <w:p w14:paraId="018FA6AF" w14:textId="018ECF7F" w:rsidR="00A50BB5" w:rsidRPr="004865EF" w:rsidRDefault="00A50BB5" w:rsidP="00A50BB5">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21,161</w:t>
            </w:r>
          </w:p>
        </w:tc>
      </w:tr>
      <w:tr w:rsidR="004865EF" w:rsidRPr="004865EF" w14:paraId="7459E4D5" w14:textId="77777777" w:rsidTr="00675378">
        <w:trPr>
          <w:trHeight w:val="397"/>
        </w:trPr>
        <w:tc>
          <w:tcPr>
            <w:tcW w:w="6394" w:type="dxa"/>
            <w:gridSpan w:val="2"/>
            <w:shd w:val="clear" w:color="auto" w:fill="auto"/>
            <w:vAlign w:val="center"/>
            <w:hideMark/>
          </w:tcPr>
          <w:p w14:paraId="609894D1" w14:textId="77777777"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剩余资金缺口（</w:t>
            </w:r>
            <w:r w:rsidRPr="004865EF">
              <w:rPr>
                <w:rFonts w:ascii="宋体" w:eastAsia="宋体" w:hAnsi="宋体" w:cs="宋体" w:hint="eastAsia"/>
                <w:kern w:val="0"/>
                <w:szCs w:val="21"/>
              </w:rPr>
              <w:t>⑥</w:t>
            </w:r>
            <w:r w:rsidRPr="004865EF">
              <w:rPr>
                <w:rFonts w:ascii="Times New Roman" w:eastAsia="宋体" w:hAnsi="Times New Roman" w:cs="Times New Roman"/>
                <w:kern w:val="0"/>
                <w:szCs w:val="21"/>
              </w:rPr>
              <w:t>=</w:t>
            </w:r>
            <w:r w:rsidRPr="004865EF">
              <w:rPr>
                <w:rFonts w:ascii="宋体" w:eastAsia="宋体" w:hAnsi="宋体" w:cs="宋体" w:hint="eastAsia"/>
                <w:kern w:val="0"/>
                <w:szCs w:val="21"/>
              </w:rPr>
              <w:t>①</w:t>
            </w:r>
            <w:r w:rsidRPr="004865EF">
              <w:rPr>
                <w:rFonts w:ascii="Times New Roman" w:eastAsia="宋体" w:hAnsi="Times New Roman" w:cs="Times New Roman"/>
                <w:kern w:val="0"/>
                <w:szCs w:val="21"/>
              </w:rPr>
              <w:t>-</w:t>
            </w:r>
            <w:r w:rsidRPr="004865EF">
              <w:rPr>
                <w:rFonts w:ascii="宋体" w:eastAsia="宋体" w:hAnsi="宋体" w:cs="宋体" w:hint="eastAsia"/>
                <w:kern w:val="0"/>
                <w:szCs w:val="21"/>
              </w:rPr>
              <w:t>②</w:t>
            </w:r>
            <w:r w:rsidRPr="004865EF">
              <w:rPr>
                <w:rFonts w:ascii="Times New Roman" w:eastAsia="宋体" w:hAnsi="Times New Roman" w:cs="Times New Roman"/>
                <w:kern w:val="0"/>
                <w:szCs w:val="21"/>
              </w:rPr>
              <w:t>-</w:t>
            </w:r>
            <w:r w:rsidRPr="004865EF">
              <w:rPr>
                <w:rFonts w:ascii="宋体" w:eastAsia="宋体" w:hAnsi="宋体" w:cs="宋体" w:hint="eastAsia"/>
                <w:kern w:val="0"/>
                <w:szCs w:val="21"/>
              </w:rPr>
              <w:t>③</w:t>
            </w:r>
            <w:r w:rsidRPr="004865EF">
              <w:rPr>
                <w:rFonts w:ascii="Times New Roman" w:eastAsia="宋体" w:hAnsi="Times New Roman" w:cs="Times New Roman"/>
                <w:kern w:val="0"/>
                <w:szCs w:val="21"/>
              </w:rPr>
              <w:t>-</w:t>
            </w:r>
            <w:r w:rsidRPr="004865EF">
              <w:rPr>
                <w:rFonts w:ascii="宋体" w:eastAsia="宋体" w:hAnsi="宋体" w:cs="宋体" w:hint="eastAsia"/>
                <w:kern w:val="0"/>
                <w:szCs w:val="21"/>
              </w:rPr>
              <w:t>④</w:t>
            </w:r>
            <w:r w:rsidRPr="004865EF">
              <w:rPr>
                <w:rFonts w:ascii="Times New Roman" w:eastAsia="宋体" w:hAnsi="Times New Roman" w:cs="Times New Roman"/>
                <w:kern w:val="0"/>
                <w:szCs w:val="21"/>
              </w:rPr>
              <w:t>-</w:t>
            </w:r>
            <w:r w:rsidRPr="004865EF">
              <w:rPr>
                <w:rFonts w:ascii="宋体" w:eastAsia="宋体" w:hAnsi="宋体" w:cs="宋体" w:hint="eastAsia"/>
                <w:kern w:val="0"/>
                <w:szCs w:val="21"/>
              </w:rPr>
              <w:t>⑤</w:t>
            </w:r>
            <w:r w:rsidRPr="004865EF">
              <w:rPr>
                <w:rFonts w:ascii="Times New Roman" w:eastAsia="宋体" w:hAnsi="Times New Roman" w:cs="Times New Roman" w:hint="eastAsia"/>
                <w:kern w:val="0"/>
                <w:szCs w:val="21"/>
              </w:rPr>
              <w:t>）</w:t>
            </w:r>
          </w:p>
        </w:tc>
        <w:tc>
          <w:tcPr>
            <w:tcW w:w="1985" w:type="dxa"/>
            <w:shd w:val="clear" w:color="auto" w:fill="auto"/>
            <w:noWrap/>
            <w:vAlign w:val="center"/>
            <w:hideMark/>
          </w:tcPr>
          <w:p w14:paraId="589201BF" w14:textId="78674A3A" w:rsidR="00A50BB5" w:rsidRPr="004865EF" w:rsidRDefault="00A50BB5" w:rsidP="00A50BB5">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122,039</w:t>
            </w:r>
          </w:p>
        </w:tc>
      </w:tr>
      <w:tr w:rsidR="004865EF" w:rsidRPr="004865EF" w14:paraId="7A6F3B2A" w14:textId="77777777" w:rsidTr="00675378">
        <w:trPr>
          <w:trHeight w:val="397"/>
        </w:trPr>
        <w:tc>
          <w:tcPr>
            <w:tcW w:w="8379" w:type="dxa"/>
            <w:gridSpan w:val="3"/>
            <w:shd w:val="clear" w:color="auto" w:fill="auto"/>
            <w:vAlign w:val="center"/>
            <w:hideMark/>
          </w:tcPr>
          <w:p w14:paraId="37ACC786" w14:textId="77777777"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假设情形</w:t>
            </w:r>
            <w:r w:rsidRPr="004865EF">
              <w:rPr>
                <w:rFonts w:ascii="Times New Roman" w:eastAsia="宋体" w:hAnsi="Times New Roman" w:cs="Times New Roman"/>
                <w:kern w:val="0"/>
                <w:szCs w:val="21"/>
              </w:rPr>
              <w:t>1</w:t>
            </w:r>
            <w:r w:rsidRPr="004865EF">
              <w:rPr>
                <w:rFonts w:ascii="Times New Roman" w:eastAsia="宋体" w:hAnsi="Times New Roman" w:cs="Times New Roman" w:hint="eastAsia"/>
                <w:kern w:val="0"/>
                <w:szCs w:val="21"/>
              </w:rPr>
              <w:t>：剩余资金缺口全部由智达云</w:t>
            </w:r>
            <w:proofErr w:type="gramStart"/>
            <w:r w:rsidRPr="004865EF">
              <w:rPr>
                <w:rFonts w:ascii="Times New Roman" w:eastAsia="宋体" w:hAnsi="Times New Roman" w:cs="Times New Roman" w:hint="eastAsia"/>
                <w:kern w:val="0"/>
                <w:szCs w:val="21"/>
              </w:rPr>
              <w:t>创采用</w:t>
            </w:r>
            <w:proofErr w:type="gramEnd"/>
            <w:r w:rsidRPr="004865EF">
              <w:rPr>
                <w:rFonts w:ascii="Times New Roman" w:eastAsia="宋体" w:hAnsi="Times New Roman" w:cs="Times New Roman" w:hint="eastAsia"/>
                <w:kern w:val="0"/>
                <w:szCs w:val="21"/>
              </w:rPr>
              <w:t>银行借款等融资方式筹集</w:t>
            </w:r>
          </w:p>
        </w:tc>
      </w:tr>
      <w:tr w:rsidR="004865EF" w:rsidRPr="004865EF" w14:paraId="0C7727AA" w14:textId="77777777" w:rsidTr="00675378">
        <w:trPr>
          <w:trHeight w:val="397"/>
        </w:trPr>
        <w:tc>
          <w:tcPr>
            <w:tcW w:w="6394" w:type="dxa"/>
            <w:gridSpan w:val="2"/>
            <w:shd w:val="clear" w:color="auto" w:fill="auto"/>
            <w:vAlign w:val="center"/>
            <w:hideMark/>
          </w:tcPr>
          <w:p w14:paraId="183DB225" w14:textId="4C7D22F1"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少数股东所需资金（</w:t>
            </w:r>
            <w:r w:rsidRPr="004865EF">
              <w:rPr>
                <w:rFonts w:ascii="宋体" w:eastAsia="宋体" w:hAnsi="宋体" w:cs="宋体" w:hint="eastAsia"/>
                <w:kern w:val="0"/>
                <w:szCs w:val="21"/>
              </w:rPr>
              <w:t>⑦</w:t>
            </w:r>
            <w:r w:rsidRPr="004865EF">
              <w:rPr>
                <w:rFonts w:ascii="Times New Roman" w:eastAsia="宋体" w:hAnsi="Times New Roman" w:cs="Times New Roman"/>
                <w:kern w:val="0"/>
                <w:szCs w:val="21"/>
              </w:rPr>
              <w:t>=</w:t>
            </w:r>
            <w:r w:rsidRPr="004865EF">
              <w:rPr>
                <w:rFonts w:ascii="宋体" w:eastAsia="宋体" w:hAnsi="宋体" w:cs="宋体" w:hint="eastAsia"/>
                <w:kern w:val="0"/>
                <w:szCs w:val="21"/>
              </w:rPr>
              <w:t>⑤</w:t>
            </w:r>
            <w:r w:rsidRPr="004865EF">
              <w:rPr>
                <w:rFonts w:ascii="Times New Roman" w:eastAsia="宋体" w:hAnsi="Times New Roman" w:cs="Times New Roman" w:hint="eastAsia"/>
                <w:kern w:val="0"/>
                <w:szCs w:val="21"/>
              </w:rPr>
              <w:t>）</w:t>
            </w:r>
          </w:p>
        </w:tc>
        <w:tc>
          <w:tcPr>
            <w:tcW w:w="1985" w:type="dxa"/>
            <w:shd w:val="clear" w:color="auto" w:fill="auto"/>
            <w:noWrap/>
            <w:vAlign w:val="center"/>
            <w:hideMark/>
          </w:tcPr>
          <w:p w14:paraId="11E800E6" w14:textId="4615908B" w:rsidR="00A50BB5" w:rsidRPr="004865EF" w:rsidRDefault="00AF7138" w:rsidP="00A50BB5">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21,161</w:t>
            </w:r>
          </w:p>
        </w:tc>
      </w:tr>
      <w:tr w:rsidR="004865EF" w:rsidRPr="004865EF" w14:paraId="7AC1A112" w14:textId="77777777" w:rsidTr="00675378">
        <w:trPr>
          <w:trHeight w:val="397"/>
        </w:trPr>
        <w:tc>
          <w:tcPr>
            <w:tcW w:w="8379" w:type="dxa"/>
            <w:gridSpan w:val="3"/>
            <w:shd w:val="clear" w:color="auto" w:fill="auto"/>
            <w:vAlign w:val="center"/>
            <w:hideMark/>
          </w:tcPr>
          <w:p w14:paraId="52394966" w14:textId="77777777"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假设情形</w:t>
            </w:r>
            <w:r w:rsidRPr="004865EF">
              <w:rPr>
                <w:rFonts w:ascii="Times New Roman" w:eastAsia="宋体" w:hAnsi="Times New Roman" w:cs="Times New Roman"/>
                <w:kern w:val="0"/>
                <w:szCs w:val="21"/>
              </w:rPr>
              <w:t>2</w:t>
            </w:r>
            <w:r w:rsidRPr="004865EF">
              <w:rPr>
                <w:rFonts w:ascii="Times New Roman" w:eastAsia="宋体" w:hAnsi="Times New Roman" w:cs="Times New Roman" w:hint="eastAsia"/>
                <w:kern w:val="0"/>
                <w:szCs w:val="21"/>
              </w:rPr>
              <w:t>：剩余资金缺口全部由股东方筹集</w:t>
            </w:r>
          </w:p>
        </w:tc>
      </w:tr>
      <w:tr w:rsidR="004865EF" w:rsidRPr="004865EF" w14:paraId="78C1C890" w14:textId="77777777" w:rsidTr="00675378">
        <w:trPr>
          <w:trHeight w:val="397"/>
        </w:trPr>
        <w:tc>
          <w:tcPr>
            <w:tcW w:w="6394" w:type="dxa"/>
            <w:gridSpan w:val="2"/>
            <w:shd w:val="clear" w:color="auto" w:fill="auto"/>
            <w:vAlign w:val="center"/>
            <w:hideMark/>
          </w:tcPr>
          <w:p w14:paraId="714D39A1" w14:textId="77777777"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少数股东承担部分（</w:t>
            </w:r>
            <w:r w:rsidRPr="004865EF">
              <w:rPr>
                <w:rFonts w:ascii="宋体" w:eastAsia="宋体" w:hAnsi="宋体" w:cs="宋体" w:hint="eastAsia"/>
                <w:kern w:val="0"/>
                <w:szCs w:val="21"/>
              </w:rPr>
              <w:t>⑧</w:t>
            </w:r>
            <w:r w:rsidRPr="004865EF">
              <w:rPr>
                <w:rFonts w:ascii="Times New Roman" w:eastAsia="宋体" w:hAnsi="Times New Roman" w:cs="Times New Roman"/>
                <w:kern w:val="0"/>
                <w:szCs w:val="21"/>
              </w:rPr>
              <w:t>=</w:t>
            </w:r>
            <w:r w:rsidRPr="004865EF">
              <w:rPr>
                <w:rFonts w:ascii="宋体" w:eastAsia="宋体" w:hAnsi="宋体" w:cs="宋体" w:hint="eastAsia"/>
                <w:kern w:val="0"/>
                <w:szCs w:val="21"/>
              </w:rPr>
              <w:t>⑥</w:t>
            </w:r>
            <w:r w:rsidRPr="004865EF">
              <w:rPr>
                <w:rFonts w:ascii="Times New Roman" w:eastAsia="宋体" w:hAnsi="Times New Roman" w:cs="Times New Roman"/>
                <w:kern w:val="0"/>
                <w:szCs w:val="21"/>
              </w:rPr>
              <w:t>*35%</w:t>
            </w:r>
            <w:r w:rsidRPr="004865EF">
              <w:rPr>
                <w:rFonts w:ascii="Times New Roman" w:eastAsia="宋体" w:hAnsi="Times New Roman" w:cs="Times New Roman" w:hint="eastAsia"/>
                <w:kern w:val="0"/>
                <w:szCs w:val="21"/>
              </w:rPr>
              <w:t>）</w:t>
            </w:r>
          </w:p>
        </w:tc>
        <w:tc>
          <w:tcPr>
            <w:tcW w:w="1985" w:type="dxa"/>
            <w:shd w:val="clear" w:color="auto" w:fill="auto"/>
            <w:noWrap/>
            <w:vAlign w:val="center"/>
            <w:hideMark/>
          </w:tcPr>
          <w:p w14:paraId="3AA8CCB3" w14:textId="52E9F39E" w:rsidR="00A50BB5" w:rsidRPr="004865EF" w:rsidRDefault="00A50BB5" w:rsidP="00A50BB5">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42,714</w:t>
            </w:r>
          </w:p>
        </w:tc>
      </w:tr>
      <w:tr w:rsidR="004865EF" w:rsidRPr="004865EF" w14:paraId="00AC5721" w14:textId="77777777" w:rsidTr="00675378">
        <w:trPr>
          <w:trHeight w:val="397"/>
        </w:trPr>
        <w:tc>
          <w:tcPr>
            <w:tcW w:w="6394" w:type="dxa"/>
            <w:gridSpan w:val="2"/>
            <w:shd w:val="clear" w:color="auto" w:fill="auto"/>
            <w:vAlign w:val="center"/>
            <w:hideMark/>
          </w:tcPr>
          <w:p w14:paraId="3D383ED7" w14:textId="5A480551" w:rsidR="00A50BB5" w:rsidRPr="004865EF" w:rsidRDefault="00A50BB5" w:rsidP="00A50BB5">
            <w:pPr>
              <w:widowControl/>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少数股东所需资金（</w:t>
            </w:r>
            <w:r w:rsidRPr="004865EF">
              <w:rPr>
                <w:rFonts w:ascii="宋体" w:eastAsia="宋体" w:hAnsi="宋体" w:cs="宋体" w:hint="eastAsia"/>
                <w:kern w:val="0"/>
                <w:szCs w:val="21"/>
              </w:rPr>
              <w:t>⑨</w:t>
            </w:r>
            <w:r w:rsidRPr="004865EF">
              <w:rPr>
                <w:rFonts w:ascii="Times New Roman" w:eastAsia="宋体" w:hAnsi="Times New Roman" w:cs="Times New Roman"/>
                <w:kern w:val="0"/>
                <w:szCs w:val="21"/>
              </w:rPr>
              <w:t>=</w:t>
            </w:r>
            <w:r w:rsidRPr="004865EF">
              <w:rPr>
                <w:rFonts w:ascii="宋体" w:eastAsia="宋体" w:hAnsi="宋体" w:cs="宋体" w:hint="eastAsia"/>
                <w:kern w:val="0"/>
                <w:szCs w:val="21"/>
              </w:rPr>
              <w:t>⑤</w:t>
            </w:r>
            <w:r w:rsidRPr="004865EF">
              <w:rPr>
                <w:rFonts w:ascii="Times New Roman" w:eastAsia="宋体" w:hAnsi="Times New Roman" w:cs="Times New Roman"/>
                <w:kern w:val="0"/>
                <w:szCs w:val="21"/>
              </w:rPr>
              <w:t>+</w:t>
            </w:r>
            <w:r w:rsidRPr="004865EF">
              <w:rPr>
                <w:rFonts w:ascii="宋体" w:eastAsia="宋体" w:hAnsi="宋体" w:cs="宋体" w:hint="eastAsia"/>
                <w:kern w:val="0"/>
                <w:szCs w:val="21"/>
              </w:rPr>
              <w:t>⑧</w:t>
            </w:r>
            <w:r w:rsidRPr="004865EF">
              <w:rPr>
                <w:rFonts w:ascii="Times New Roman" w:eastAsia="宋体" w:hAnsi="Times New Roman" w:cs="Times New Roman" w:hint="eastAsia"/>
                <w:kern w:val="0"/>
                <w:szCs w:val="21"/>
              </w:rPr>
              <w:t>）</w:t>
            </w:r>
          </w:p>
        </w:tc>
        <w:tc>
          <w:tcPr>
            <w:tcW w:w="1985" w:type="dxa"/>
            <w:shd w:val="clear" w:color="auto" w:fill="auto"/>
            <w:noWrap/>
            <w:vAlign w:val="center"/>
            <w:hideMark/>
          </w:tcPr>
          <w:p w14:paraId="31CF819E" w14:textId="3B2D7156" w:rsidR="00A50BB5" w:rsidRPr="004865EF" w:rsidRDefault="00AF7138" w:rsidP="00A50BB5">
            <w:pPr>
              <w:widowControl/>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63,875</w:t>
            </w:r>
          </w:p>
        </w:tc>
      </w:tr>
    </w:tbl>
    <w:p w14:paraId="04457106" w14:textId="5D1DAA8C" w:rsidR="00151B65" w:rsidRPr="004865EF" w:rsidRDefault="00151B65" w:rsidP="0067537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根据上表测算结果，王禹方、石凤红</w:t>
      </w:r>
      <w:proofErr w:type="gramStart"/>
      <w:r w:rsidRPr="004865EF">
        <w:rPr>
          <w:rFonts w:ascii="Times New Roman" w:eastAsia="宋体" w:hAnsi="Times New Roman" w:cs="Times New Roman" w:hint="eastAsia"/>
          <w:sz w:val="24"/>
          <w:szCs w:val="22"/>
        </w:rPr>
        <w:t>向智达云创同</w:t>
      </w:r>
      <w:proofErr w:type="gramEnd"/>
      <w:r w:rsidRPr="004865EF">
        <w:rPr>
          <w:rFonts w:ascii="Times New Roman" w:eastAsia="宋体" w:hAnsi="Times New Roman" w:cs="Times New Roman" w:hint="eastAsia"/>
          <w:sz w:val="24"/>
          <w:szCs w:val="22"/>
        </w:rPr>
        <w:t>比例提供资金支持所需资金为</w:t>
      </w:r>
      <w:r w:rsidR="00AF7138" w:rsidRPr="004865EF">
        <w:rPr>
          <w:rFonts w:ascii="Times New Roman" w:eastAsia="宋体" w:hAnsi="Times New Roman" w:cs="Times New Roman"/>
          <w:sz w:val="24"/>
          <w:szCs w:val="22"/>
        </w:rPr>
        <w:t>21,161-63,875</w:t>
      </w:r>
      <w:r w:rsidR="00AF7138" w:rsidRPr="004865EF">
        <w:rPr>
          <w:rFonts w:ascii="Times New Roman" w:eastAsia="宋体" w:hAnsi="Times New Roman" w:cs="Times New Roman" w:hint="eastAsia"/>
          <w:sz w:val="24"/>
          <w:szCs w:val="22"/>
        </w:rPr>
        <w:t>万元之间</w:t>
      </w:r>
      <w:r w:rsidRPr="004865EF">
        <w:rPr>
          <w:rFonts w:ascii="Times New Roman" w:eastAsia="宋体" w:hAnsi="Times New Roman" w:cs="Times New Roman" w:hint="eastAsia"/>
          <w:sz w:val="24"/>
          <w:szCs w:val="22"/>
        </w:rPr>
        <w:t>。</w:t>
      </w:r>
    </w:p>
    <w:p w14:paraId="770DA90D" w14:textId="77777777" w:rsidR="00151B65" w:rsidRPr="004865EF" w:rsidRDefault="00151B65" w:rsidP="0067537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根据王禹方、石凤红提供的资料，王禹方、石凤红及其直系亲属王超鹏（王超鹏、石凤红分别系王禹方的父亲和母亲）控股或投资的主要企业包括三河市岩峰高新技术产业园有限公司（以下简称“岩峰产业园公司”）、三河市润达房地产开发有限公司（以下简称“润达公司”）、三河市岩峰房地产开发有限公司、三河市岩峰市政工程建筑安装有限公司。上述主体的基本情况及最近一年主要财务数据如下：</w:t>
      </w:r>
    </w:p>
    <w:tbl>
      <w:tblPr>
        <w:tblStyle w:val="a4"/>
        <w:tblW w:w="5692" w:type="pct"/>
        <w:jc w:val="center"/>
        <w:tblLook w:val="04A0" w:firstRow="1" w:lastRow="0" w:firstColumn="1" w:lastColumn="0" w:noHBand="0" w:noVBand="1"/>
      </w:tblPr>
      <w:tblGrid>
        <w:gridCol w:w="1315"/>
        <w:gridCol w:w="1132"/>
        <w:gridCol w:w="1172"/>
        <w:gridCol w:w="1585"/>
        <w:gridCol w:w="2187"/>
        <w:gridCol w:w="1192"/>
        <w:gridCol w:w="1118"/>
      </w:tblGrid>
      <w:tr w:rsidR="004865EF" w:rsidRPr="004865EF" w14:paraId="71853E6D" w14:textId="77777777" w:rsidTr="002137BE">
        <w:trPr>
          <w:cantSplit/>
          <w:trHeight w:val="397"/>
          <w:tblHeader/>
          <w:jc w:val="center"/>
        </w:trPr>
        <w:tc>
          <w:tcPr>
            <w:tcW w:w="1315" w:type="dxa"/>
            <w:vMerge w:val="restart"/>
            <w:vAlign w:val="center"/>
          </w:tcPr>
          <w:p w14:paraId="621B4890" w14:textId="77777777" w:rsidR="00151B65" w:rsidRPr="004865EF" w:rsidRDefault="00151B65" w:rsidP="00151B65">
            <w:pPr>
              <w:adjustRightInd w:val="0"/>
              <w:snapToGrid w:val="0"/>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企业名称</w:t>
            </w:r>
          </w:p>
        </w:tc>
        <w:tc>
          <w:tcPr>
            <w:tcW w:w="1132" w:type="dxa"/>
            <w:vMerge w:val="restart"/>
            <w:vAlign w:val="center"/>
          </w:tcPr>
          <w:p w14:paraId="4BBBAB6E" w14:textId="77777777" w:rsidR="00151B65" w:rsidRPr="004865EF" w:rsidRDefault="00151B65" w:rsidP="00151B65">
            <w:pPr>
              <w:adjustRightInd w:val="0"/>
              <w:snapToGrid w:val="0"/>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成立日期</w:t>
            </w:r>
          </w:p>
        </w:tc>
        <w:tc>
          <w:tcPr>
            <w:tcW w:w="1172" w:type="dxa"/>
            <w:vMerge w:val="restart"/>
            <w:vAlign w:val="center"/>
          </w:tcPr>
          <w:p w14:paraId="79AC831C" w14:textId="77777777" w:rsidR="00151B65" w:rsidRPr="004865EF" w:rsidRDefault="00151B65" w:rsidP="00151B65">
            <w:pPr>
              <w:adjustRightInd w:val="0"/>
              <w:snapToGrid w:val="0"/>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注册资本</w:t>
            </w:r>
          </w:p>
        </w:tc>
        <w:tc>
          <w:tcPr>
            <w:tcW w:w="1585" w:type="dxa"/>
            <w:vMerge w:val="restart"/>
            <w:vAlign w:val="center"/>
          </w:tcPr>
          <w:p w14:paraId="6A2EB571" w14:textId="77777777" w:rsidR="00151B65" w:rsidRPr="004865EF" w:rsidRDefault="00151B65" w:rsidP="00151B65">
            <w:pPr>
              <w:adjustRightInd w:val="0"/>
              <w:snapToGrid w:val="0"/>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股东</w:t>
            </w:r>
          </w:p>
        </w:tc>
        <w:tc>
          <w:tcPr>
            <w:tcW w:w="2187" w:type="dxa"/>
            <w:vMerge w:val="restart"/>
            <w:vAlign w:val="center"/>
          </w:tcPr>
          <w:p w14:paraId="1CF39C06" w14:textId="77777777" w:rsidR="00151B65" w:rsidRPr="004865EF" w:rsidRDefault="00151B65" w:rsidP="00151B65">
            <w:pPr>
              <w:adjustRightInd w:val="0"/>
              <w:snapToGrid w:val="0"/>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经营范围</w:t>
            </w:r>
          </w:p>
        </w:tc>
        <w:tc>
          <w:tcPr>
            <w:tcW w:w="2310" w:type="dxa"/>
            <w:gridSpan w:val="2"/>
            <w:vAlign w:val="center"/>
          </w:tcPr>
          <w:p w14:paraId="48B56234" w14:textId="77777777" w:rsidR="00151B65" w:rsidRPr="004865EF" w:rsidRDefault="00151B65" w:rsidP="00151B65">
            <w:pPr>
              <w:adjustRightInd w:val="0"/>
              <w:snapToGrid w:val="0"/>
              <w:jc w:val="center"/>
              <w:rPr>
                <w:rFonts w:ascii="Times New Roman" w:eastAsia="宋体" w:hAnsi="Times New Roman" w:cs="Times New Roman"/>
                <w:b/>
                <w:bCs/>
                <w:szCs w:val="21"/>
                <w:vertAlign w:val="superscript"/>
              </w:rPr>
            </w:pPr>
            <w:r w:rsidRPr="004865EF">
              <w:rPr>
                <w:rFonts w:ascii="Times New Roman" w:eastAsia="宋体" w:hAnsi="Times New Roman" w:cs="Times New Roman"/>
                <w:b/>
                <w:bCs/>
                <w:szCs w:val="21"/>
              </w:rPr>
              <w:t>2019</w:t>
            </w:r>
            <w:r w:rsidRPr="004865EF">
              <w:rPr>
                <w:rFonts w:ascii="Times New Roman" w:eastAsia="宋体" w:hAnsi="Times New Roman" w:cs="Times New Roman" w:hint="eastAsia"/>
                <w:b/>
                <w:bCs/>
                <w:szCs w:val="21"/>
              </w:rPr>
              <w:t>年</w:t>
            </w:r>
            <w:r w:rsidRPr="004865EF">
              <w:rPr>
                <w:rFonts w:ascii="Times New Roman" w:eastAsia="宋体" w:hAnsi="Times New Roman" w:cs="Times New Roman"/>
                <w:b/>
                <w:bCs/>
                <w:szCs w:val="21"/>
              </w:rPr>
              <w:t>12</w:t>
            </w:r>
            <w:r w:rsidRPr="004865EF">
              <w:rPr>
                <w:rFonts w:ascii="Times New Roman" w:eastAsia="宋体" w:hAnsi="Times New Roman" w:cs="Times New Roman" w:hint="eastAsia"/>
                <w:b/>
                <w:bCs/>
                <w:szCs w:val="21"/>
              </w:rPr>
              <w:t>月</w:t>
            </w:r>
            <w:r w:rsidRPr="004865EF">
              <w:rPr>
                <w:rFonts w:ascii="Times New Roman" w:eastAsia="宋体" w:hAnsi="Times New Roman" w:cs="Times New Roman"/>
                <w:b/>
                <w:bCs/>
                <w:szCs w:val="21"/>
              </w:rPr>
              <w:t>31</w:t>
            </w:r>
            <w:r w:rsidRPr="004865EF">
              <w:rPr>
                <w:rFonts w:ascii="Times New Roman" w:eastAsia="宋体" w:hAnsi="Times New Roman" w:cs="Times New Roman" w:hint="eastAsia"/>
                <w:b/>
                <w:bCs/>
                <w:szCs w:val="21"/>
              </w:rPr>
              <w:t>日</w:t>
            </w:r>
            <w:r w:rsidRPr="004865EF">
              <w:rPr>
                <w:rFonts w:ascii="Times New Roman" w:eastAsia="宋体" w:hAnsi="Times New Roman" w:cs="Times New Roman" w:hint="eastAsia"/>
                <w:b/>
                <w:bCs/>
                <w:szCs w:val="21"/>
                <w:vertAlign w:val="superscript"/>
              </w:rPr>
              <w:t>注</w:t>
            </w:r>
          </w:p>
        </w:tc>
      </w:tr>
      <w:tr w:rsidR="004865EF" w:rsidRPr="004865EF" w14:paraId="487DE926" w14:textId="77777777" w:rsidTr="002137BE">
        <w:trPr>
          <w:cantSplit/>
          <w:trHeight w:val="397"/>
          <w:tblHeader/>
          <w:jc w:val="center"/>
        </w:trPr>
        <w:tc>
          <w:tcPr>
            <w:tcW w:w="1315" w:type="dxa"/>
            <w:vMerge/>
          </w:tcPr>
          <w:p w14:paraId="1FB8DE20" w14:textId="77777777" w:rsidR="00151B65" w:rsidRPr="004865EF" w:rsidRDefault="00151B65" w:rsidP="00151B65">
            <w:pPr>
              <w:adjustRightInd w:val="0"/>
              <w:snapToGrid w:val="0"/>
              <w:jc w:val="center"/>
              <w:rPr>
                <w:rFonts w:ascii="Times New Roman" w:eastAsia="宋体" w:hAnsi="Times New Roman" w:cs="Times New Roman"/>
                <w:b/>
                <w:bCs/>
                <w:szCs w:val="21"/>
              </w:rPr>
            </w:pPr>
          </w:p>
        </w:tc>
        <w:tc>
          <w:tcPr>
            <w:tcW w:w="1132" w:type="dxa"/>
            <w:vMerge/>
          </w:tcPr>
          <w:p w14:paraId="122E354A" w14:textId="77777777" w:rsidR="00151B65" w:rsidRPr="004865EF" w:rsidRDefault="00151B65" w:rsidP="00151B65">
            <w:pPr>
              <w:adjustRightInd w:val="0"/>
              <w:snapToGrid w:val="0"/>
              <w:jc w:val="center"/>
              <w:rPr>
                <w:rFonts w:ascii="Times New Roman" w:eastAsia="宋体" w:hAnsi="Times New Roman" w:cs="Times New Roman"/>
                <w:b/>
                <w:bCs/>
                <w:szCs w:val="21"/>
              </w:rPr>
            </w:pPr>
          </w:p>
        </w:tc>
        <w:tc>
          <w:tcPr>
            <w:tcW w:w="1172" w:type="dxa"/>
            <w:vMerge/>
          </w:tcPr>
          <w:p w14:paraId="11BF0C30" w14:textId="77777777" w:rsidR="00151B65" w:rsidRPr="004865EF" w:rsidRDefault="00151B65" w:rsidP="00151B65">
            <w:pPr>
              <w:adjustRightInd w:val="0"/>
              <w:snapToGrid w:val="0"/>
              <w:jc w:val="center"/>
              <w:rPr>
                <w:rFonts w:ascii="Times New Roman" w:eastAsia="宋体" w:hAnsi="Times New Roman" w:cs="Times New Roman"/>
                <w:b/>
                <w:bCs/>
                <w:szCs w:val="21"/>
              </w:rPr>
            </w:pPr>
          </w:p>
        </w:tc>
        <w:tc>
          <w:tcPr>
            <w:tcW w:w="1585" w:type="dxa"/>
            <w:vMerge/>
          </w:tcPr>
          <w:p w14:paraId="694338AB" w14:textId="77777777" w:rsidR="00151B65" w:rsidRPr="004865EF" w:rsidRDefault="00151B65" w:rsidP="00151B65">
            <w:pPr>
              <w:adjustRightInd w:val="0"/>
              <w:snapToGrid w:val="0"/>
              <w:jc w:val="center"/>
              <w:rPr>
                <w:rFonts w:ascii="Times New Roman" w:eastAsia="宋体" w:hAnsi="Times New Roman" w:cs="Times New Roman"/>
                <w:b/>
                <w:bCs/>
                <w:szCs w:val="21"/>
              </w:rPr>
            </w:pPr>
          </w:p>
        </w:tc>
        <w:tc>
          <w:tcPr>
            <w:tcW w:w="2187" w:type="dxa"/>
            <w:vMerge/>
          </w:tcPr>
          <w:p w14:paraId="52E1F0E8" w14:textId="77777777" w:rsidR="00151B65" w:rsidRPr="004865EF" w:rsidRDefault="00151B65" w:rsidP="00151B65">
            <w:pPr>
              <w:adjustRightInd w:val="0"/>
              <w:snapToGrid w:val="0"/>
              <w:jc w:val="center"/>
              <w:rPr>
                <w:rFonts w:ascii="Times New Roman" w:eastAsia="宋体" w:hAnsi="Times New Roman" w:cs="Times New Roman"/>
                <w:b/>
                <w:bCs/>
                <w:szCs w:val="21"/>
              </w:rPr>
            </w:pPr>
          </w:p>
        </w:tc>
        <w:tc>
          <w:tcPr>
            <w:tcW w:w="1192" w:type="dxa"/>
            <w:vAlign w:val="center"/>
          </w:tcPr>
          <w:p w14:paraId="40E3C6A1" w14:textId="77777777" w:rsidR="00151B65" w:rsidRPr="004865EF" w:rsidRDefault="00151B65" w:rsidP="00151B65">
            <w:pPr>
              <w:adjustRightInd w:val="0"/>
              <w:snapToGrid w:val="0"/>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总资产</w:t>
            </w:r>
          </w:p>
        </w:tc>
        <w:tc>
          <w:tcPr>
            <w:tcW w:w="1118" w:type="dxa"/>
            <w:vAlign w:val="center"/>
          </w:tcPr>
          <w:p w14:paraId="7D47D9DD" w14:textId="77777777" w:rsidR="00151B65" w:rsidRPr="004865EF" w:rsidRDefault="00151B65" w:rsidP="00151B65">
            <w:pPr>
              <w:adjustRightInd w:val="0"/>
              <w:snapToGrid w:val="0"/>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净资产</w:t>
            </w:r>
          </w:p>
        </w:tc>
      </w:tr>
      <w:tr w:rsidR="004865EF" w:rsidRPr="004865EF" w14:paraId="09301D0E" w14:textId="77777777" w:rsidTr="002137BE">
        <w:trPr>
          <w:cantSplit/>
          <w:trHeight w:val="397"/>
          <w:jc w:val="center"/>
        </w:trPr>
        <w:tc>
          <w:tcPr>
            <w:tcW w:w="1315" w:type="dxa"/>
            <w:vAlign w:val="center"/>
          </w:tcPr>
          <w:p w14:paraId="21662602"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三河市岩峰高新技术产业园有限公司</w:t>
            </w:r>
          </w:p>
        </w:tc>
        <w:tc>
          <w:tcPr>
            <w:tcW w:w="1132" w:type="dxa"/>
            <w:vAlign w:val="center"/>
          </w:tcPr>
          <w:p w14:paraId="66CCCDFA" w14:textId="77777777" w:rsidR="00151B65" w:rsidRPr="004865EF" w:rsidRDefault="00151B65" w:rsidP="00151B65">
            <w:pPr>
              <w:adjustRightInd w:val="0"/>
              <w:snapToGrid w:val="0"/>
              <w:jc w:val="center"/>
              <w:rPr>
                <w:rFonts w:ascii="Times New Roman" w:eastAsia="宋体" w:hAnsi="Times New Roman" w:cs="Times New Roman"/>
                <w:szCs w:val="21"/>
              </w:rPr>
            </w:pPr>
            <w:r w:rsidRPr="004865EF">
              <w:rPr>
                <w:rFonts w:ascii="Times New Roman" w:eastAsia="宋体" w:hAnsi="Times New Roman" w:cs="Times New Roman"/>
                <w:szCs w:val="21"/>
              </w:rPr>
              <w:t>2015</w:t>
            </w:r>
            <w:r w:rsidRPr="004865EF">
              <w:rPr>
                <w:rFonts w:ascii="Times New Roman" w:eastAsia="宋体" w:hAnsi="Times New Roman" w:cs="Times New Roman" w:hint="eastAsia"/>
                <w:szCs w:val="21"/>
              </w:rPr>
              <w:t>年</w:t>
            </w:r>
          </w:p>
          <w:p w14:paraId="5A06D2F3" w14:textId="77777777" w:rsidR="00151B65" w:rsidRPr="004865EF" w:rsidRDefault="00151B65" w:rsidP="00151B65">
            <w:pPr>
              <w:adjustRightInd w:val="0"/>
              <w:snapToGrid w:val="0"/>
              <w:jc w:val="center"/>
              <w:rPr>
                <w:rFonts w:ascii="Times New Roman" w:eastAsia="宋体" w:hAnsi="Times New Roman" w:cs="Times New Roman"/>
                <w:szCs w:val="21"/>
              </w:rPr>
            </w:pPr>
            <w:r w:rsidRPr="004865EF">
              <w:rPr>
                <w:rFonts w:ascii="Times New Roman" w:eastAsia="宋体" w:hAnsi="Times New Roman" w:cs="Times New Roman"/>
                <w:szCs w:val="21"/>
              </w:rPr>
              <w:t>2</w:t>
            </w:r>
            <w:r w:rsidRPr="004865EF">
              <w:rPr>
                <w:rFonts w:ascii="Times New Roman" w:eastAsia="宋体" w:hAnsi="Times New Roman" w:cs="Times New Roman" w:hint="eastAsia"/>
                <w:szCs w:val="21"/>
              </w:rPr>
              <w:t>月</w:t>
            </w:r>
            <w:r w:rsidRPr="004865EF">
              <w:rPr>
                <w:rFonts w:ascii="Times New Roman" w:eastAsia="宋体" w:hAnsi="Times New Roman" w:cs="Times New Roman"/>
                <w:szCs w:val="21"/>
              </w:rPr>
              <w:t>3</w:t>
            </w:r>
            <w:r w:rsidRPr="004865EF">
              <w:rPr>
                <w:rFonts w:ascii="Times New Roman" w:eastAsia="宋体" w:hAnsi="Times New Roman" w:cs="Times New Roman" w:hint="eastAsia"/>
                <w:szCs w:val="21"/>
              </w:rPr>
              <w:t>日</w:t>
            </w:r>
          </w:p>
        </w:tc>
        <w:tc>
          <w:tcPr>
            <w:tcW w:w="1172" w:type="dxa"/>
            <w:vAlign w:val="center"/>
          </w:tcPr>
          <w:p w14:paraId="52D79A07"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1,034</w:t>
            </w:r>
            <w:r w:rsidRPr="004865EF">
              <w:rPr>
                <w:rFonts w:ascii="Times New Roman" w:eastAsia="宋体" w:hAnsi="Times New Roman" w:cs="Times New Roman" w:hint="eastAsia"/>
                <w:szCs w:val="21"/>
              </w:rPr>
              <w:t>万元</w:t>
            </w:r>
          </w:p>
        </w:tc>
        <w:tc>
          <w:tcPr>
            <w:tcW w:w="1585" w:type="dxa"/>
            <w:vAlign w:val="center"/>
          </w:tcPr>
          <w:p w14:paraId="343CF202"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王禹方、石凤红分别持股</w:t>
            </w:r>
            <w:r w:rsidRPr="004865EF">
              <w:rPr>
                <w:rFonts w:ascii="Times New Roman" w:eastAsia="宋体" w:hAnsi="Times New Roman" w:cs="Times New Roman"/>
                <w:szCs w:val="21"/>
              </w:rPr>
              <w:t>97%</w:t>
            </w:r>
            <w:r w:rsidRPr="004865EF">
              <w:rPr>
                <w:rFonts w:ascii="Times New Roman" w:eastAsia="宋体" w:hAnsi="Times New Roman" w:cs="Times New Roman" w:hint="eastAsia"/>
                <w:szCs w:val="21"/>
              </w:rPr>
              <w:t>、</w:t>
            </w:r>
            <w:r w:rsidRPr="004865EF">
              <w:rPr>
                <w:rFonts w:ascii="Times New Roman" w:eastAsia="宋体" w:hAnsi="Times New Roman" w:cs="Times New Roman"/>
                <w:szCs w:val="21"/>
              </w:rPr>
              <w:t>3%</w:t>
            </w:r>
          </w:p>
        </w:tc>
        <w:tc>
          <w:tcPr>
            <w:tcW w:w="2187" w:type="dxa"/>
            <w:vAlign w:val="center"/>
          </w:tcPr>
          <w:p w14:paraId="211D0D0C"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自有商业房屋、工业厂房、厂地租赁及出售；物业管理、物业服务；中介咨询；仓储服务（不含危险品）；批发、零售：建筑材料。（依法须经批准的项目，经相关部门批准后方可开展经营活动）</w:t>
            </w:r>
          </w:p>
        </w:tc>
        <w:tc>
          <w:tcPr>
            <w:tcW w:w="1192" w:type="dxa"/>
            <w:vAlign w:val="center"/>
          </w:tcPr>
          <w:p w14:paraId="728A426C"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73,354.10</w:t>
            </w:r>
          </w:p>
        </w:tc>
        <w:tc>
          <w:tcPr>
            <w:tcW w:w="1118" w:type="dxa"/>
            <w:vAlign w:val="center"/>
          </w:tcPr>
          <w:p w14:paraId="3D232ADC"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7,486.38</w:t>
            </w:r>
          </w:p>
        </w:tc>
      </w:tr>
      <w:tr w:rsidR="004865EF" w:rsidRPr="004865EF" w14:paraId="1E50F3FF" w14:textId="77777777" w:rsidTr="002137BE">
        <w:trPr>
          <w:cantSplit/>
          <w:trHeight w:val="397"/>
          <w:jc w:val="center"/>
        </w:trPr>
        <w:tc>
          <w:tcPr>
            <w:tcW w:w="1315" w:type="dxa"/>
            <w:vAlign w:val="center"/>
          </w:tcPr>
          <w:p w14:paraId="15D7617A"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lastRenderedPageBreak/>
              <w:t>三河市润达房地产开发有限公司</w:t>
            </w:r>
          </w:p>
        </w:tc>
        <w:tc>
          <w:tcPr>
            <w:tcW w:w="1132" w:type="dxa"/>
            <w:vAlign w:val="center"/>
          </w:tcPr>
          <w:p w14:paraId="02C3526D" w14:textId="77777777" w:rsidR="00151B65" w:rsidRPr="004865EF" w:rsidRDefault="00151B65" w:rsidP="00151B65">
            <w:pPr>
              <w:adjustRightInd w:val="0"/>
              <w:snapToGrid w:val="0"/>
              <w:jc w:val="center"/>
              <w:rPr>
                <w:rFonts w:ascii="Times New Roman" w:eastAsia="宋体" w:hAnsi="Times New Roman" w:cs="Times New Roman"/>
                <w:szCs w:val="21"/>
              </w:rPr>
            </w:pPr>
            <w:r w:rsidRPr="004865EF">
              <w:rPr>
                <w:rFonts w:ascii="Times New Roman" w:eastAsia="宋体" w:hAnsi="Times New Roman" w:cs="Times New Roman"/>
                <w:szCs w:val="21"/>
              </w:rPr>
              <w:t>2019</w:t>
            </w:r>
            <w:r w:rsidRPr="004865EF">
              <w:rPr>
                <w:rFonts w:ascii="Times New Roman" w:eastAsia="宋体" w:hAnsi="Times New Roman" w:cs="Times New Roman" w:hint="eastAsia"/>
                <w:szCs w:val="21"/>
              </w:rPr>
              <w:t>年</w:t>
            </w:r>
          </w:p>
          <w:p w14:paraId="1A3DCF8E" w14:textId="77777777" w:rsidR="00151B65" w:rsidRPr="004865EF" w:rsidRDefault="00151B65" w:rsidP="00151B65">
            <w:pPr>
              <w:adjustRightInd w:val="0"/>
              <w:snapToGrid w:val="0"/>
              <w:jc w:val="center"/>
              <w:rPr>
                <w:rFonts w:ascii="Times New Roman" w:eastAsia="宋体" w:hAnsi="Times New Roman" w:cs="Times New Roman"/>
                <w:szCs w:val="21"/>
              </w:rPr>
            </w:pPr>
            <w:r w:rsidRPr="004865EF">
              <w:rPr>
                <w:rFonts w:ascii="Times New Roman" w:eastAsia="宋体" w:hAnsi="Times New Roman" w:cs="Times New Roman"/>
                <w:szCs w:val="21"/>
              </w:rPr>
              <w:t>5</w:t>
            </w:r>
            <w:r w:rsidRPr="004865EF">
              <w:rPr>
                <w:rFonts w:ascii="Times New Roman" w:eastAsia="宋体" w:hAnsi="Times New Roman" w:cs="Times New Roman" w:hint="eastAsia"/>
                <w:szCs w:val="21"/>
              </w:rPr>
              <w:t>月</w:t>
            </w:r>
            <w:r w:rsidRPr="004865EF">
              <w:rPr>
                <w:rFonts w:ascii="Times New Roman" w:eastAsia="宋体" w:hAnsi="Times New Roman" w:cs="Times New Roman"/>
                <w:szCs w:val="21"/>
              </w:rPr>
              <w:t>20</w:t>
            </w:r>
            <w:r w:rsidRPr="004865EF">
              <w:rPr>
                <w:rFonts w:ascii="Times New Roman" w:eastAsia="宋体" w:hAnsi="Times New Roman" w:cs="Times New Roman" w:hint="eastAsia"/>
                <w:szCs w:val="21"/>
              </w:rPr>
              <w:t>日</w:t>
            </w:r>
          </w:p>
        </w:tc>
        <w:tc>
          <w:tcPr>
            <w:tcW w:w="1172" w:type="dxa"/>
            <w:vAlign w:val="center"/>
          </w:tcPr>
          <w:p w14:paraId="505037A7"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2,500</w:t>
            </w:r>
            <w:r w:rsidRPr="004865EF">
              <w:rPr>
                <w:rFonts w:ascii="Times New Roman" w:eastAsia="宋体" w:hAnsi="Times New Roman" w:cs="Times New Roman" w:hint="eastAsia"/>
                <w:szCs w:val="21"/>
              </w:rPr>
              <w:t>万元</w:t>
            </w:r>
          </w:p>
        </w:tc>
        <w:tc>
          <w:tcPr>
            <w:tcW w:w="1585" w:type="dxa"/>
            <w:vAlign w:val="center"/>
          </w:tcPr>
          <w:p w14:paraId="3073F3EF" w14:textId="6AD54AB5" w:rsidR="00151B65" w:rsidRPr="004865EF" w:rsidRDefault="00151B65" w:rsidP="00151B65">
            <w:pPr>
              <w:adjustRightInd w:val="0"/>
              <w:snapToGrid w:val="0"/>
              <w:jc w:val="left"/>
              <w:rPr>
                <w:rFonts w:ascii="Times New Roman" w:eastAsia="宋体" w:hAnsi="Times New Roman" w:cs="Times New Roman"/>
                <w:szCs w:val="21"/>
              </w:rPr>
            </w:pPr>
            <w:r w:rsidRPr="004865EF">
              <w:rPr>
                <w:rFonts w:ascii="Times New Roman" w:eastAsia="宋体" w:hAnsi="Times New Roman" w:cs="Times New Roman" w:hint="eastAsia"/>
                <w:szCs w:val="21"/>
              </w:rPr>
              <w:t>三河市岩峰房地产开发有限公司、三河市岩峰市政工程建筑安装有限公司分别持股</w:t>
            </w:r>
            <w:r w:rsidRPr="004865EF">
              <w:rPr>
                <w:rFonts w:ascii="Times New Roman" w:eastAsia="宋体" w:hAnsi="Times New Roman" w:cs="Times New Roman"/>
                <w:szCs w:val="21"/>
              </w:rPr>
              <w:t>80%</w:t>
            </w:r>
            <w:r w:rsidRPr="004865EF">
              <w:rPr>
                <w:rFonts w:ascii="Times New Roman" w:eastAsia="宋体" w:hAnsi="Times New Roman" w:cs="Times New Roman" w:hint="eastAsia"/>
                <w:szCs w:val="21"/>
              </w:rPr>
              <w:t>、</w:t>
            </w:r>
            <w:r w:rsidRPr="004865EF">
              <w:rPr>
                <w:rFonts w:ascii="Times New Roman" w:eastAsia="宋体" w:hAnsi="Times New Roman" w:cs="Times New Roman"/>
                <w:szCs w:val="21"/>
              </w:rPr>
              <w:t>20%</w:t>
            </w:r>
          </w:p>
        </w:tc>
        <w:tc>
          <w:tcPr>
            <w:tcW w:w="2187" w:type="dxa"/>
            <w:vAlign w:val="center"/>
          </w:tcPr>
          <w:p w14:paraId="6B61F1BC"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房地产开发、销售；房地产租赁经营。（依法须经批准的项目，经相关部门批准后方可开展经营活动）</w:t>
            </w:r>
          </w:p>
        </w:tc>
        <w:tc>
          <w:tcPr>
            <w:tcW w:w="1192" w:type="dxa"/>
            <w:vAlign w:val="center"/>
          </w:tcPr>
          <w:p w14:paraId="2783B84D"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21,346.21</w:t>
            </w:r>
          </w:p>
        </w:tc>
        <w:tc>
          <w:tcPr>
            <w:tcW w:w="1118" w:type="dxa"/>
            <w:vAlign w:val="center"/>
          </w:tcPr>
          <w:p w14:paraId="03423752"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3,219.72</w:t>
            </w:r>
          </w:p>
        </w:tc>
      </w:tr>
      <w:tr w:rsidR="004865EF" w:rsidRPr="004865EF" w14:paraId="29A44C10" w14:textId="77777777" w:rsidTr="002137BE">
        <w:trPr>
          <w:cantSplit/>
          <w:trHeight w:val="397"/>
          <w:jc w:val="center"/>
        </w:trPr>
        <w:tc>
          <w:tcPr>
            <w:tcW w:w="1315" w:type="dxa"/>
            <w:vAlign w:val="center"/>
          </w:tcPr>
          <w:p w14:paraId="22AD41C0"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三河市岩峰房地产开发有限公司</w:t>
            </w:r>
          </w:p>
        </w:tc>
        <w:tc>
          <w:tcPr>
            <w:tcW w:w="1132" w:type="dxa"/>
            <w:vAlign w:val="center"/>
          </w:tcPr>
          <w:p w14:paraId="6BC0317F" w14:textId="77777777" w:rsidR="00151B65" w:rsidRPr="004865EF" w:rsidRDefault="00151B65" w:rsidP="00151B65">
            <w:pPr>
              <w:adjustRightInd w:val="0"/>
              <w:snapToGrid w:val="0"/>
              <w:jc w:val="center"/>
              <w:rPr>
                <w:rFonts w:ascii="Times New Roman" w:eastAsia="宋体" w:hAnsi="Times New Roman" w:cs="Times New Roman"/>
                <w:szCs w:val="21"/>
              </w:rPr>
            </w:pPr>
            <w:r w:rsidRPr="004865EF">
              <w:rPr>
                <w:rFonts w:ascii="Times New Roman" w:eastAsia="宋体" w:hAnsi="Times New Roman" w:cs="Times New Roman"/>
                <w:szCs w:val="21"/>
              </w:rPr>
              <w:t>2011</w:t>
            </w:r>
            <w:r w:rsidRPr="004865EF">
              <w:rPr>
                <w:rFonts w:ascii="Times New Roman" w:eastAsia="宋体" w:hAnsi="Times New Roman" w:cs="Times New Roman" w:hint="eastAsia"/>
                <w:szCs w:val="21"/>
              </w:rPr>
              <w:t>年</w:t>
            </w:r>
          </w:p>
          <w:p w14:paraId="4737D1AB" w14:textId="77777777" w:rsidR="00151B65" w:rsidRPr="004865EF" w:rsidRDefault="00151B65" w:rsidP="00151B65">
            <w:pPr>
              <w:adjustRightInd w:val="0"/>
              <w:snapToGrid w:val="0"/>
              <w:jc w:val="center"/>
              <w:rPr>
                <w:rFonts w:ascii="Times New Roman" w:eastAsia="宋体" w:hAnsi="Times New Roman" w:cs="Times New Roman"/>
                <w:szCs w:val="21"/>
              </w:rPr>
            </w:pPr>
            <w:r w:rsidRPr="004865EF">
              <w:rPr>
                <w:rFonts w:ascii="Times New Roman" w:eastAsia="宋体" w:hAnsi="Times New Roman" w:cs="Times New Roman"/>
                <w:szCs w:val="21"/>
              </w:rPr>
              <w:t>4</w:t>
            </w:r>
            <w:r w:rsidRPr="004865EF">
              <w:rPr>
                <w:rFonts w:ascii="Times New Roman" w:eastAsia="宋体" w:hAnsi="Times New Roman" w:cs="Times New Roman" w:hint="eastAsia"/>
                <w:szCs w:val="21"/>
              </w:rPr>
              <w:t>月</w:t>
            </w:r>
            <w:r w:rsidRPr="004865EF">
              <w:rPr>
                <w:rFonts w:ascii="Times New Roman" w:eastAsia="宋体" w:hAnsi="Times New Roman" w:cs="Times New Roman"/>
                <w:szCs w:val="21"/>
              </w:rPr>
              <w:t>19</w:t>
            </w:r>
            <w:r w:rsidRPr="004865EF">
              <w:rPr>
                <w:rFonts w:ascii="Times New Roman" w:eastAsia="宋体" w:hAnsi="Times New Roman" w:cs="Times New Roman" w:hint="eastAsia"/>
                <w:szCs w:val="21"/>
              </w:rPr>
              <w:t>日</w:t>
            </w:r>
          </w:p>
        </w:tc>
        <w:tc>
          <w:tcPr>
            <w:tcW w:w="1172" w:type="dxa"/>
            <w:vAlign w:val="center"/>
          </w:tcPr>
          <w:p w14:paraId="437362C4"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5,000</w:t>
            </w:r>
            <w:r w:rsidRPr="004865EF">
              <w:rPr>
                <w:rFonts w:ascii="Times New Roman" w:eastAsia="宋体" w:hAnsi="Times New Roman" w:cs="Times New Roman" w:hint="eastAsia"/>
                <w:szCs w:val="21"/>
              </w:rPr>
              <w:t>万元</w:t>
            </w:r>
          </w:p>
        </w:tc>
        <w:tc>
          <w:tcPr>
            <w:tcW w:w="1585" w:type="dxa"/>
            <w:vAlign w:val="center"/>
          </w:tcPr>
          <w:p w14:paraId="3CA0C448"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王超鹏、石凤红分别持股</w:t>
            </w:r>
            <w:r w:rsidRPr="004865EF">
              <w:rPr>
                <w:rFonts w:ascii="Times New Roman" w:eastAsia="宋体" w:hAnsi="Times New Roman" w:cs="Times New Roman"/>
                <w:szCs w:val="21"/>
              </w:rPr>
              <w:t>90%</w:t>
            </w:r>
            <w:r w:rsidRPr="004865EF">
              <w:rPr>
                <w:rFonts w:ascii="Times New Roman" w:eastAsia="宋体" w:hAnsi="Times New Roman" w:cs="Times New Roman" w:hint="eastAsia"/>
                <w:szCs w:val="21"/>
              </w:rPr>
              <w:t>、</w:t>
            </w:r>
            <w:r w:rsidRPr="004865EF">
              <w:rPr>
                <w:rFonts w:ascii="Times New Roman" w:eastAsia="宋体" w:hAnsi="Times New Roman" w:cs="Times New Roman"/>
                <w:szCs w:val="21"/>
              </w:rPr>
              <w:t>10%</w:t>
            </w:r>
          </w:p>
        </w:tc>
        <w:tc>
          <w:tcPr>
            <w:tcW w:w="2187" w:type="dxa"/>
            <w:vAlign w:val="center"/>
          </w:tcPr>
          <w:p w14:paraId="7E96D824"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房地产开发、销售（凭资质证经营）</w:t>
            </w:r>
          </w:p>
        </w:tc>
        <w:tc>
          <w:tcPr>
            <w:tcW w:w="1192" w:type="dxa"/>
            <w:vAlign w:val="center"/>
          </w:tcPr>
          <w:p w14:paraId="7BEEE30C"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4,859.53</w:t>
            </w:r>
          </w:p>
        </w:tc>
        <w:tc>
          <w:tcPr>
            <w:tcW w:w="1118" w:type="dxa"/>
            <w:vAlign w:val="center"/>
          </w:tcPr>
          <w:p w14:paraId="16893ADF"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4,858.93</w:t>
            </w:r>
          </w:p>
        </w:tc>
      </w:tr>
      <w:tr w:rsidR="004865EF" w:rsidRPr="004865EF" w14:paraId="2E8260D8" w14:textId="77777777" w:rsidTr="002137BE">
        <w:trPr>
          <w:cantSplit/>
          <w:trHeight w:val="403"/>
          <w:jc w:val="center"/>
        </w:trPr>
        <w:tc>
          <w:tcPr>
            <w:tcW w:w="1315" w:type="dxa"/>
            <w:vAlign w:val="center"/>
          </w:tcPr>
          <w:p w14:paraId="1F06CD7E"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三河市岩峰市政工程建筑安装有限公司</w:t>
            </w:r>
          </w:p>
        </w:tc>
        <w:tc>
          <w:tcPr>
            <w:tcW w:w="1132" w:type="dxa"/>
            <w:vAlign w:val="center"/>
          </w:tcPr>
          <w:p w14:paraId="5A59BC4E" w14:textId="77777777" w:rsidR="00E266A0" w:rsidRPr="004865EF" w:rsidRDefault="00151B65" w:rsidP="00151B65">
            <w:pPr>
              <w:adjustRightInd w:val="0"/>
              <w:snapToGrid w:val="0"/>
              <w:jc w:val="center"/>
              <w:rPr>
                <w:rFonts w:ascii="Times New Roman" w:eastAsia="宋体" w:hAnsi="Times New Roman" w:cs="Times New Roman"/>
                <w:szCs w:val="21"/>
              </w:rPr>
            </w:pPr>
            <w:r w:rsidRPr="004865EF">
              <w:rPr>
                <w:rFonts w:ascii="Times New Roman" w:eastAsia="宋体" w:hAnsi="Times New Roman" w:cs="Times New Roman"/>
                <w:szCs w:val="21"/>
              </w:rPr>
              <w:t>2004</w:t>
            </w:r>
            <w:r w:rsidRPr="004865EF">
              <w:rPr>
                <w:rFonts w:ascii="Times New Roman" w:eastAsia="宋体" w:hAnsi="Times New Roman" w:cs="Times New Roman" w:hint="eastAsia"/>
                <w:szCs w:val="21"/>
              </w:rPr>
              <w:t>年</w:t>
            </w:r>
          </w:p>
          <w:p w14:paraId="63061FC8" w14:textId="14D8C066" w:rsidR="00151B65" w:rsidRPr="004865EF" w:rsidRDefault="00151B65" w:rsidP="00151B65">
            <w:pPr>
              <w:adjustRightInd w:val="0"/>
              <w:snapToGrid w:val="0"/>
              <w:jc w:val="center"/>
              <w:rPr>
                <w:rFonts w:ascii="Times New Roman" w:eastAsia="宋体" w:hAnsi="Times New Roman" w:cs="Times New Roman"/>
                <w:szCs w:val="21"/>
              </w:rPr>
            </w:pPr>
            <w:r w:rsidRPr="004865EF">
              <w:rPr>
                <w:rFonts w:ascii="Times New Roman" w:eastAsia="宋体" w:hAnsi="Times New Roman" w:cs="Times New Roman"/>
                <w:szCs w:val="21"/>
              </w:rPr>
              <w:t>6</w:t>
            </w:r>
            <w:r w:rsidRPr="004865EF">
              <w:rPr>
                <w:rFonts w:ascii="Times New Roman" w:eastAsia="宋体" w:hAnsi="Times New Roman" w:cs="Times New Roman" w:hint="eastAsia"/>
                <w:szCs w:val="21"/>
              </w:rPr>
              <w:t>月</w:t>
            </w:r>
            <w:r w:rsidRPr="004865EF">
              <w:rPr>
                <w:rFonts w:ascii="Times New Roman" w:eastAsia="宋体" w:hAnsi="Times New Roman" w:cs="Times New Roman"/>
                <w:szCs w:val="21"/>
              </w:rPr>
              <w:t>18</w:t>
            </w:r>
            <w:r w:rsidRPr="004865EF">
              <w:rPr>
                <w:rFonts w:ascii="Times New Roman" w:eastAsia="宋体" w:hAnsi="Times New Roman" w:cs="Times New Roman" w:hint="eastAsia"/>
                <w:szCs w:val="21"/>
              </w:rPr>
              <w:t>日</w:t>
            </w:r>
          </w:p>
        </w:tc>
        <w:tc>
          <w:tcPr>
            <w:tcW w:w="1172" w:type="dxa"/>
            <w:vAlign w:val="center"/>
          </w:tcPr>
          <w:p w14:paraId="7CFE20A8"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4,141</w:t>
            </w:r>
            <w:r w:rsidRPr="004865EF">
              <w:rPr>
                <w:rFonts w:ascii="Times New Roman" w:eastAsia="宋体" w:hAnsi="Times New Roman" w:cs="Times New Roman" w:hint="eastAsia"/>
                <w:szCs w:val="21"/>
              </w:rPr>
              <w:t>万元</w:t>
            </w:r>
          </w:p>
        </w:tc>
        <w:tc>
          <w:tcPr>
            <w:tcW w:w="1585" w:type="dxa"/>
            <w:vAlign w:val="center"/>
          </w:tcPr>
          <w:p w14:paraId="3C37C78A"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王超鹏、葛春明分别持股</w:t>
            </w:r>
            <w:r w:rsidRPr="004865EF">
              <w:rPr>
                <w:rFonts w:ascii="Times New Roman" w:eastAsia="宋体" w:hAnsi="Times New Roman" w:cs="Times New Roman"/>
                <w:szCs w:val="21"/>
              </w:rPr>
              <w:t>99.01%</w:t>
            </w:r>
            <w:r w:rsidRPr="004865EF">
              <w:rPr>
                <w:rFonts w:ascii="Times New Roman" w:eastAsia="宋体" w:hAnsi="Times New Roman" w:cs="Times New Roman" w:hint="eastAsia"/>
                <w:szCs w:val="21"/>
              </w:rPr>
              <w:t>、</w:t>
            </w:r>
            <w:r w:rsidRPr="004865EF">
              <w:rPr>
                <w:rFonts w:ascii="Times New Roman" w:eastAsia="宋体" w:hAnsi="Times New Roman" w:cs="Times New Roman"/>
                <w:szCs w:val="21"/>
              </w:rPr>
              <w:t>0.99%</w:t>
            </w:r>
          </w:p>
        </w:tc>
        <w:tc>
          <w:tcPr>
            <w:tcW w:w="2187" w:type="dxa"/>
            <w:vAlign w:val="center"/>
          </w:tcPr>
          <w:p w14:paraId="42EED25F" w14:textId="77777777" w:rsidR="00151B65" w:rsidRPr="004865EF" w:rsidRDefault="00151B65" w:rsidP="00151B65">
            <w:pPr>
              <w:adjustRightInd w:val="0"/>
              <w:snapToGrid w:val="0"/>
              <w:rPr>
                <w:rFonts w:ascii="Times New Roman" w:eastAsia="宋体" w:hAnsi="Times New Roman" w:cs="Times New Roman"/>
                <w:szCs w:val="21"/>
              </w:rPr>
            </w:pPr>
            <w:r w:rsidRPr="004865EF">
              <w:rPr>
                <w:rFonts w:ascii="Times New Roman" w:eastAsia="宋体" w:hAnsi="Times New Roman" w:cs="Times New Roman" w:hint="eastAsia"/>
                <w:szCs w:val="21"/>
              </w:rPr>
              <w:t>市政工程总承包（凭资质证经营），自有房屋、土地租赁；物业服务、物业管理；园林绿化工程施工；环保、环卫设备生产、销售、租赁、安装；建筑物拆除；建筑垃圾清运。（依法须经批准的项目，经相关部门批准后方可开展经营活动）</w:t>
            </w:r>
          </w:p>
        </w:tc>
        <w:tc>
          <w:tcPr>
            <w:tcW w:w="1192" w:type="dxa"/>
            <w:vAlign w:val="center"/>
          </w:tcPr>
          <w:p w14:paraId="5F096D29"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79,002.37</w:t>
            </w:r>
          </w:p>
        </w:tc>
        <w:tc>
          <w:tcPr>
            <w:tcW w:w="1118" w:type="dxa"/>
            <w:vAlign w:val="center"/>
          </w:tcPr>
          <w:p w14:paraId="07ADB842" w14:textId="77777777" w:rsidR="00151B65" w:rsidRPr="004865EF" w:rsidRDefault="00151B65" w:rsidP="00151B65">
            <w:pPr>
              <w:adjustRightInd w:val="0"/>
              <w:snapToGrid w:val="0"/>
              <w:jc w:val="right"/>
              <w:rPr>
                <w:rFonts w:ascii="Times New Roman" w:eastAsia="宋体" w:hAnsi="Times New Roman" w:cs="Times New Roman"/>
                <w:szCs w:val="21"/>
              </w:rPr>
            </w:pPr>
            <w:r w:rsidRPr="004865EF">
              <w:rPr>
                <w:rFonts w:ascii="Times New Roman" w:eastAsia="宋体" w:hAnsi="Times New Roman" w:cs="Times New Roman"/>
                <w:szCs w:val="21"/>
              </w:rPr>
              <w:t>19,690.96</w:t>
            </w:r>
          </w:p>
        </w:tc>
      </w:tr>
    </w:tbl>
    <w:p w14:paraId="5ACA0008" w14:textId="77777777" w:rsidR="00151B65" w:rsidRPr="004865EF" w:rsidRDefault="00151B65" w:rsidP="00151B65">
      <w:pPr>
        <w:rPr>
          <w:rFonts w:ascii="宋体" w:eastAsia="宋体" w:hAnsi="宋体" w:cs="Times New Roman"/>
          <w:szCs w:val="20"/>
        </w:rPr>
      </w:pPr>
      <w:r w:rsidRPr="004865EF">
        <w:rPr>
          <w:rFonts w:ascii="宋体" w:eastAsia="宋体" w:hAnsi="宋体" w:cs="Times New Roman" w:hint="eastAsia"/>
          <w:szCs w:val="20"/>
        </w:rPr>
        <w:t>注：上述财务数据未经审计。</w:t>
      </w:r>
    </w:p>
    <w:p w14:paraId="12700A47" w14:textId="77777777" w:rsidR="00151B65" w:rsidRPr="004865EF" w:rsidRDefault="00151B65" w:rsidP="0067537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岩峰产业园公司主要从事产业园区运营，服务区域主要是三河、廊坊以及周边地区。该公司在河北三河市燕郊地区拥有</w:t>
      </w:r>
      <w:r w:rsidRPr="004865EF">
        <w:rPr>
          <w:rFonts w:ascii="Times New Roman" w:eastAsia="宋体" w:hAnsi="Times New Roman" w:cs="Times New Roman"/>
          <w:sz w:val="24"/>
          <w:szCs w:val="22"/>
        </w:rPr>
        <w:t>12</w:t>
      </w:r>
      <w:r w:rsidRPr="004865EF">
        <w:rPr>
          <w:rFonts w:ascii="Times New Roman" w:eastAsia="宋体" w:hAnsi="Times New Roman" w:cs="Times New Roman" w:hint="eastAsia"/>
          <w:sz w:val="24"/>
          <w:szCs w:val="22"/>
        </w:rPr>
        <w:t>宗土地使用权，土地性质主要为工业用地及综合用地（以工业为主），土地面积合计</w:t>
      </w:r>
      <w:r w:rsidRPr="004865EF">
        <w:rPr>
          <w:rFonts w:ascii="Times New Roman" w:eastAsia="宋体" w:hAnsi="Times New Roman" w:cs="Times New Roman"/>
          <w:sz w:val="24"/>
          <w:szCs w:val="22"/>
        </w:rPr>
        <w:t>590,724.66</w:t>
      </w:r>
      <w:r w:rsidRPr="004865EF">
        <w:rPr>
          <w:rFonts w:ascii="Times New Roman" w:eastAsia="宋体" w:hAnsi="Times New Roman" w:cs="Times New Roman" w:hint="eastAsia"/>
          <w:sz w:val="24"/>
          <w:szCs w:val="22"/>
        </w:rPr>
        <w:t>平方米。燕郊地区位于北京周边，经济较为发达，该等土地的市场价值较高。</w:t>
      </w:r>
    </w:p>
    <w:p w14:paraId="6F46F153" w14:textId="77777777" w:rsidR="00151B65" w:rsidRPr="004865EF" w:rsidRDefault="00151B65" w:rsidP="00675378">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润达公司主要从事房地产开发、销售。该公司拥有的开发土地坐落于</w:t>
      </w:r>
      <w:proofErr w:type="gramStart"/>
      <w:r w:rsidRPr="004865EF">
        <w:rPr>
          <w:rFonts w:ascii="Times New Roman" w:eastAsia="宋体" w:hAnsi="Times New Roman" w:cs="Times New Roman" w:hint="eastAsia"/>
          <w:sz w:val="24"/>
          <w:szCs w:val="22"/>
        </w:rPr>
        <w:t>燕郊高新区</w:t>
      </w:r>
      <w:proofErr w:type="gramEnd"/>
      <w:r w:rsidRPr="004865EF">
        <w:rPr>
          <w:rFonts w:ascii="Times New Roman" w:eastAsia="宋体" w:hAnsi="Times New Roman" w:cs="Times New Roman" w:hint="eastAsia"/>
          <w:sz w:val="24"/>
          <w:szCs w:val="22"/>
        </w:rPr>
        <w:t>海油大街南侧、环卫东路东侧，土地性质为商务金融用地，面积</w:t>
      </w:r>
      <w:r w:rsidRPr="004865EF">
        <w:rPr>
          <w:rFonts w:ascii="Times New Roman" w:eastAsia="宋体" w:hAnsi="Times New Roman" w:cs="Times New Roman"/>
          <w:sz w:val="24"/>
          <w:szCs w:val="22"/>
        </w:rPr>
        <w:t>26,376.4</w:t>
      </w:r>
      <w:r w:rsidRPr="004865EF">
        <w:rPr>
          <w:rFonts w:ascii="Times New Roman" w:eastAsia="宋体" w:hAnsi="Times New Roman" w:cs="Times New Roman" w:hint="eastAsia"/>
          <w:sz w:val="24"/>
          <w:szCs w:val="22"/>
        </w:rPr>
        <w:t>平方米，拟建设</w:t>
      </w:r>
      <w:r w:rsidRPr="004865EF">
        <w:rPr>
          <w:rFonts w:ascii="Times New Roman" w:eastAsia="宋体" w:hAnsi="Times New Roman" w:cs="Times New Roman"/>
          <w:sz w:val="24"/>
          <w:szCs w:val="22"/>
        </w:rPr>
        <w:t>2</w:t>
      </w:r>
      <w:r w:rsidRPr="004865EF">
        <w:rPr>
          <w:rFonts w:ascii="Times New Roman" w:eastAsia="宋体" w:hAnsi="Times New Roman" w:cs="Times New Roman" w:hint="eastAsia"/>
          <w:sz w:val="24"/>
          <w:szCs w:val="22"/>
        </w:rPr>
        <w:t>层商业楼一栋，建筑面积</w:t>
      </w:r>
      <w:r w:rsidRPr="004865EF">
        <w:rPr>
          <w:rFonts w:ascii="Times New Roman" w:eastAsia="宋体" w:hAnsi="Times New Roman" w:cs="Times New Roman"/>
          <w:sz w:val="24"/>
          <w:szCs w:val="22"/>
        </w:rPr>
        <w:t>1,522.08</w:t>
      </w:r>
      <w:r w:rsidRPr="004865EF">
        <w:rPr>
          <w:rFonts w:ascii="Times New Roman" w:eastAsia="宋体" w:hAnsi="Times New Roman" w:cs="Times New Roman" w:hint="eastAsia"/>
          <w:sz w:val="24"/>
          <w:szCs w:val="22"/>
        </w:rPr>
        <w:t>平方米；</w:t>
      </w:r>
      <w:r w:rsidRPr="004865EF">
        <w:rPr>
          <w:rFonts w:ascii="Times New Roman" w:eastAsia="宋体" w:hAnsi="Times New Roman" w:cs="Times New Roman"/>
          <w:sz w:val="24"/>
          <w:szCs w:val="22"/>
        </w:rPr>
        <w:t>15-24</w:t>
      </w:r>
      <w:r w:rsidRPr="004865EF">
        <w:rPr>
          <w:rFonts w:ascii="Times New Roman" w:eastAsia="宋体" w:hAnsi="Times New Roman" w:cs="Times New Roman" w:hint="eastAsia"/>
          <w:sz w:val="24"/>
          <w:szCs w:val="22"/>
        </w:rPr>
        <w:t>层高层办公楼五栋及地下车库，建筑面积</w:t>
      </w:r>
      <w:r w:rsidRPr="004865EF">
        <w:rPr>
          <w:rFonts w:ascii="Times New Roman" w:eastAsia="宋体" w:hAnsi="Times New Roman" w:cs="Times New Roman"/>
          <w:sz w:val="24"/>
          <w:szCs w:val="22"/>
        </w:rPr>
        <w:t>129,048.44</w:t>
      </w:r>
      <w:r w:rsidRPr="004865EF">
        <w:rPr>
          <w:rFonts w:ascii="Times New Roman" w:eastAsia="宋体" w:hAnsi="Times New Roman" w:cs="Times New Roman" w:hint="eastAsia"/>
          <w:sz w:val="24"/>
          <w:szCs w:val="22"/>
        </w:rPr>
        <w:t>平方米。该项目共计房屋</w:t>
      </w:r>
      <w:r w:rsidRPr="004865EF">
        <w:rPr>
          <w:rFonts w:ascii="Times New Roman" w:eastAsia="宋体" w:hAnsi="Times New Roman" w:cs="Times New Roman"/>
          <w:sz w:val="24"/>
          <w:szCs w:val="22"/>
        </w:rPr>
        <w:t>2,405</w:t>
      </w:r>
      <w:r w:rsidRPr="004865EF">
        <w:rPr>
          <w:rFonts w:ascii="Times New Roman" w:eastAsia="宋体" w:hAnsi="Times New Roman" w:cs="Times New Roman" w:hint="eastAsia"/>
          <w:sz w:val="24"/>
          <w:szCs w:val="22"/>
        </w:rPr>
        <w:t>套，预售面积</w:t>
      </w:r>
      <w:r w:rsidRPr="004865EF">
        <w:rPr>
          <w:rFonts w:ascii="Times New Roman" w:eastAsia="宋体" w:hAnsi="Times New Roman" w:cs="Times New Roman"/>
          <w:sz w:val="24"/>
          <w:szCs w:val="22"/>
        </w:rPr>
        <w:t>108,280</w:t>
      </w:r>
      <w:r w:rsidRPr="004865EF">
        <w:rPr>
          <w:rFonts w:ascii="Times New Roman" w:eastAsia="宋体" w:hAnsi="Times New Roman" w:cs="Times New Roman" w:hint="eastAsia"/>
          <w:sz w:val="24"/>
          <w:szCs w:val="22"/>
        </w:rPr>
        <w:t>平方米，预计平均销售价格</w:t>
      </w:r>
      <w:r w:rsidRPr="004865EF">
        <w:rPr>
          <w:rFonts w:ascii="Times New Roman" w:eastAsia="宋体" w:hAnsi="Times New Roman" w:cs="Times New Roman"/>
          <w:sz w:val="24"/>
          <w:szCs w:val="22"/>
        </w:rPr>
        <w:t>18,000</w:t>
      </w:r>
      <w:r w:rsidRPr="004865EF">
        <w:rPr>
          <w:rFonts w:ascii="Times New Roman" w:eastAsia="宋体" w:hAnsi="Times New Roman" w:cs="Times New Roman" w:hint="eastAsia"/>
          <w:sz w:val="24"/>
          <w:szCs w:val="22"/>
        </w:rPr>
        <w:t>元</w:t>
      </w:r>
      <w:r w:rsidRPr="004865EF">
        <w:rPr>
          <w:rFonts w:ascii="Times New Roman" w:eastAsia="宋体" w:hAnsi="Times New Roman" w:cs="Times New Roman"/>
          <w:sz w:val="24"/>
          <w:szCs w:val="22"/>
        </w:rPr>
        <w:t>/</w:t>
      </w:r>
      <w:r w:rsidRPr="004865EF">
        <w:rPr>
          <w:rFonts w:ascii="Times New Roman" w:eastAsia="宋体" w:hAnsi="Times New Roman" w:cs="Times New Roman" w:hint="eastAsia"/>
          <w:sz w:val="24"/>
          <w:szCs w:val="22"/>
        </w:rPr>
        <w:t>米，总销售额预估</w:t>
      </w:r>
      <w:r w:rsidRPr="004865EF">
        <w:rPr>
          <w:rFonts w:ascii="Times New Roman" w:eastAsia="宋体" w:hAnsi="Times New Roman" w:cs="Times New Roman"/>
          <w:sz w:val="24"/>
          <w:szCs w:val="22"/>
        </w:rPr>
        <w:t>19.49</w:t>
      </w:r>
      <w:r w:rsidRPr="004865EF">
        <w:rPr>
          <w:rFonts w:ascii="Times New Roman" w:eastAsia="宋体" w:hAnsi="Times New Roman" w:cs="Times New Roman" w:hint="eastAsia"/>
          <w:sz w:val="24"/>
          <w:szCs w:val="22"/>
        </w:rPr>
        <w:t>亿元。</w:t>
      </w:r>
    </w:p>
    <w:p w14:paraId="050F4325" w14:textId="49E32D44" w:rsidR="00004750" w:rsidRPr="004865EF" w:rsidRDefault="00394DA8" w:rsidP="003009C7">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综上</w:t>
      </w:r>
      <w:r w:rsidR="005D43ED" w:rsidRPr="004865EF">
        <w:rPr>
          <w:rFonts w:ascii="Times New Roman" w:eastAsia="宋体" w:hAnsi="Times New Roman" w:cs="Times New Roman" w:hint="eastAsia"/>
          <w:sz w:val="24"/>
          <w:szCs w:val="22"/>
        </w:rPr>
        <w:t>，</w:t>
      </w:r>
      <w:r w:rsidR="00512D5C" w:rsidRPr="004865EF">
        <w:rPr>
          <w:rFonts w:ascii="Times New Roman" w:eastAsia="宋体" w:hAnsi="Times New Roman" w:cs="Times New Roman" w:hint="eastAsia"/>
          <w:sz w:val="24"/>
          <w:szCs w:val="22"/>
        </w:rPr>
        <w:t>在公司</w:t>
      </w:r>
      <w:proofErr w:type="gramStart"/>
      <w:r w:rsidR="00512D5C" w:rsidRPr="004865EF">
        <w:rPr>
          <w:rFonts w:ascii="Times New Roman" w:eastAsia="宋体" w:hAnsi="Times New Roman" w:cs="Times New Roman" w:hint="eastAsia"/>
          <w:sz w:val="24"/>
          <w:szCs w:val="22"/>
        </w:rPr>
        <w:t>向智达云创</w:t>
      </w:r>
      <w:r w:rsidR="00B53B55" w:rsidRPr="004865EF">
        <w:rPr>
          <w:rFonts w:ascii="Times New Roman" w:eastAsia="宋体" w:hAnsi="Times New Roman" w:cs="Times New Roman" w:hint="eastAsia"/>
          <w:sz w:val="24"/>
          <w:szCs w:val="22"/>
        </w:rPr>
        <w:t>增资</w:t>
      </w:r>
      <w:proofErr w:type="gramEnd"/>
      <w:r w:rsidR="00B53B55" w:rsidRPr="004865EF">
        <w:rPr>
          <w:rFonts w:ascii="Times New Roman" w:eastAsia="宋体" w:hAnsi="Times New Roman" w:cs="Times New Roman" w:hint="eastAsia"/>
          <w:sz w:val="24"/>
          <w:szCs w:val="22"/>
        </w:rPr>
        <w:t>或提供借款时</w:t>
      </w:r>
      <w:r w:rsidR="00512D5C" w:rsidRPr="004865EF">
        <w:rPr>
          <w:rFonts w:ascii="Times New Roman" w:eastAsia="宋体" w:hAnsi="Times New Roman" w:cs="Times New Roman" w:hint="eastAsia"/>
          <w:sz w:val="24"/>
          <w:szCs w:val="22"/>
        </w:rPr>
        <w:t>，</w:t>
      </w:r>
      <w:r w:rsidR="000C78E9" w:rsidRPr="004865EF">
        <w:rPr>
          <w:rFonts w:ascii="Times New Roman" w:eastAsia="宋体" w:hAnsi="Times New Roman" w:cs="Times New Roman"/>
          <w:sz w:val="24"/>
          <w:szCs w:val="22"/>
        </w:rPr>
        <w:t>王禹方、石凤红</w:t>
      </w:r>
      <w:r w:rsidR="0054357E" w:rsidRPr="004865EF">
        <w:rPr>
          <w:rFonts w:ascii="Times New Roman" w:eastAsia="宋体" w:hAnsi="Times New Roman" w:cs="Times New Roman" w:hint="eastAsia"/>
          <w:sz w:val="24"/>
          <w:szCs w:val="22"/>
        </w:rPr>
        <w:t>已承诺</w:t>
      </w:r>
      <w:proofErr w:type="gramStart"/>
      <w:r w:rsidR="000C78E9" w:rsidRPr="004865EF">
        <w:rPr>
          <w:rFonts w:ascii="Times New Roman" w:eastAsia="宋体" w:hAnsi="Times New Roman" w:cs="Times New Roman"/>
          <w:sz w:val="24"/>
          <w:szCs w:val="22"/>
        </w:rPr>
        <w:t>向智达云创</w:t>
      </w:r>
      <w:r w:rsidR="00F07837" w:rsidRPr="004865EF">
        <w:rPr>
          <w:rFonts w:ascii="Times New Roman" w:eastAsia="宋体" w:hAnsi="Times New Roman" w:cs="Times New Roman" w:hint="eastAsia"/>
          <w:sz w:val="24"/>
          <w:szCs w:val="22"/>
        </w:rPr>
        <w:t>同</w:t>
      </w:r>
      <w:proofErr w:type="gramEnd"/>
      <w:r w:rsidR="00F07837" w:rsidRPr="004865EF">
        <w:rPr>
          <w:rFonts w:ascii="Times New Roman" w:eastAsia="宋体" w:hAnsi="Times New Roman" w:cs="Times New Roman" w:hint="eastAsia"/>
          <w:sz w:val="24"/>
          <w:szCs w:val="22"/>
        </w:rPr>
        <w:t>比例提供资金，</w:t>
      </w:r>
      <w:r w:rsidR="00F20770" w:rsidRPr="004865EF">
        <w:rPr>
          <w:rFonts w:ascii="Times New Roman" w:eastAsia="宋体" w:hAnsi="Times New Roman" w:cs="Times New Roman" w:hint="eastAsia"/>
          <w:sz w:val="24"/>
          <w:szCs w:val="22"/>
        </w:rPr>
        <w:t>具备相应的资金实力，</w:t>
      </w:r>
      <w:r w:rsidR="00F07837" w:rsidRPr="004865EF">
        <w:rPr>
          <w:rFonts w:ascii="Times New Roman" w:eastAsia="宋体" w:hAnsi="Times New Roman" w:cs="Times New Roman" w:hint="eastAsia"/>
          <w:sz w:val="24"/>
          <w:szCs w:val="22"/>
        </w:rPr>
        <w:t>且</w:t>
      </w:r>
      <w:r w:rsidR="000C78E9" w:rsidRPr="004865EF">
        <w:rPr>
          <w:rFonts w:ascii="Times New Roman" w:eastAsia="宋体" w:hAnsi="Times New Roman" w:cs="Times New Roman"/>
          <w:sz w:val="24"/>
          <w:szCs w:val="22"/>
        </w:rPr>
        <w:t>增资的价格及提供借款的利率、期限等主要条款将与光环新网保持一致，</w:t>
      </w:r>
      <w:r w:rsidR="00E913D8" w:rsidRPr="004865EF">
        <w:rPr>
          <w:rFonts w:ascii="Times New Roman" w:eastAsia="宋体" w:hAnsi="Times New Roman" w:cs="Times New Roman" w:hint="eastAsia"/>
          <w:sz w:val="24"/>
          <w:szCs w:val="22"/>
        </w:rPr>
        <w:t>不存在</w:t>
      </w:r>
      <w:r w:rsidR="000C78E9" w:rsidRPr="004865EF">
        <w:rPr>
          <w:rFonts w:ascii="Times New Roman" w:eastAsia="宋体" w:hAnsi="Times New Roman" w:cs="Times New Roman"/>
          <w:sz w:val="24"/>
          <w:szCs w:val="22"/>
        </w:rPr>
        <w:t>损害</w:t>
      </w:r>
      <w:r w:rsidR="00382C87" w:rsidRPr="004865EF">
        <w:rPr>
          <w:rFonts w:ascii="Times New Roman" w:eastAsia="宋体" w:hAnsi="Times New Roman" w:cs="Times New Roman" w:hint="eastAsia"/>
          <w:sz w:val="24"/>
          <w:szCs w:val="22"/>
        </w:rPr>
        <w:t>上市公司</w:t>
      </w:r>
      <w:r w:rsidR="000C78E9" w:rsidRPr="004865EF">
        <w:rPr>
          <w:rFonts w:ascii="Times New Roman" w:eastAsia="宋体" w:hAnsi="Times New Roman" w:cs="Times New Roman"/>
          <w:sz w:val="24"/>
          <w:szCs w:val="22"/>
        </w:rPr>
        <w:t>利益</w:t>
      </w:r>
      <w:r w:rsidR="00382C87" w:rsidRPr="004865EF">
        <w:rPr>
          <w:rFonts w:ascii="Times New Roman" w:eastAsia="宋体" w:hAnsi="Times New Roman" w:cs="Times New Roman" w:hint="eastAsia"/>
          <w:sz w:val="24"/>
          <w:szCs w:val="22"/>
        </w:rPr>
        <w:t>的情形。</w:t>
      </w:r>
    </w:p>
    <w:p w14:paraId="358F9EC2" w14:textId="77777777" w:rsidR="00564FD9" w:rsidRPr="004865EF" w:rsidRDefault="00CC1257" w:rsidP="0066058B">
      <w:pPr>
        <w:pStyle w:val="2"/>
      </w:pPr>
      <w:r w:rsidRPr="004865EF">
        <w:rPr>
          <w:rFonts w:hint="eastAsia"/>
        </w:rPr>
        <w:lastRenderedPageBreak/>
        <w:t>四</w:t>
      </w:r>
      <w:r w:rsidR="001913A1" w:rsidRPr="004865EF">
        <w:rPr>
          <w:rFonts w:hint="eastAsia"/>
        </w:rPr>
        <w:t>、</w:t>
      </w:r>
      <w:r w:rsidR="0067704D" w:rsidRPr="004865EF">
        <w:rPr>
          <w:rFonts w:hint="eastAsia"/>
        </w:rPr>
        <w:t>中介机构核查意见</w:t>
      </w:r>
    </w:p>
    <w:p w14:paraId="20B1A3C5" w14:textId="77777777" w:rsidR="00B2262D" w:rsidRPr="004865EF" w:rsidRDefault="00B2262D" w:rsidP="00494620">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b/>
          <w:bCs/>
          <w:sz w:val="24"/>
          <w:szCs w:val="22"/>
        </w:rPr>
        <w:t>（一）</w:t>
      </w:r>
      <w:r w:rsidRPr="004865EF">
        <w:rPr>
          <w:rFonts w:ascii="Times New Roman" w:eastAsia="宋体" w:hAnsi="Times New Roman" w:cs="Times New Roman" w:hint="eastAsia"/>
          <w:b/>
          <w:bCs/>
          <w:sz w:val="24"/>
          <w:szCs w:val="22"/>
        </w:rPr>
        <w:t>核查程序</w:t>
      </w:r>
    </w:p>
    <w:p w14:paraId="6B1D38DC" w14:textId="64295675" w:rsidR="00211306" w:rsidRPr="004865EF" w:rsidRDefault="00211306" w:rsidP="009810A0">
      <w:pPr>
        <w:pStyle w:val="zhengwen"/>
      </w:pPr>
      <w:r w:rsidRPr="004865EF">
        <w:rPr>
          <w:rFonts w:hint="eastAsia"/>
        </w:rPr>
        <w:t>针对上述问题，保荐机构和申报会计师履行了以下核查程序：</w:t>
      </w:r>
    </w:p>
    <w:p w14:paraId="2B09907C" w14:textId="77777777" w:rsidR="007449C0" w:rsidRPr="004865EF" w:rsidRDefault="007449C0" w:rsidP="007449C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1</w:t>
      </w:r>
      <w:r w:rsidRPr="004865EF">
        <w:rPr>
          <w:rFonts w:ascii="Times New Roman" w:eastAsia="宋体" w:hAnsi="Times New Roman" w:cs="Times New Roman"/>
          <w:sz w:val="24"/>
          <w:szCs w:val="22"/>
        </w:rPr>
        <w:t>、查阅发行人</w:t>
      </w:r>
      <w:r w:rsidR="005A7CA1" w:rsidRPr="004865EF">
        <w:rPr>
          <w:rFonts w:ascii="Times New Roman" w:eastAsia="宋体" w:hAnsi="Times New Roman" w:cs="Times New Roman"/>
          <w:sz w:val="24"/>
          <w:szCs w:val="22"/>
        </w:rPr>
        <w:t>与智达云</w:t>
      </w:r>
      <w:proofErr w:type="gramStart"/>
      <w:r w:rsidR="005A7CA1" w:rsidRPr="004865EF">
        <w:rPr>
          <w:rFonts w:ascii="Times New Roman" w:eastAsia="宋体" w:hAnsi="Times New Roman" w:cs="Times New Roman"/>
          <w:sz w:val="24"/>
          <w:szCs w:val="22"/>
        </w:rPr>
        <w:t>创及其</w:t>
      </w:r>
      <w:proofErr w:type="gramEnd"/>
      <w:r w:rsidR="005A7CA1" w:rsidRPr="004865EF">
        <w:rPr>
          <w:rFonts w:ascii="Times New Roman" w:eastAsia="宋体" w:hAnsi="Times New Roman" w:cs="Times New Roman"/>
          <w:sz w:val="24"/>
          <w:szCs w:val="22"/>
        </w:rPr>
        <w:t>现有股东王禹方和石凤红</w:t>
      </w:r>
      <w:r w:rsidR="00DB7CB9" w:rsidRPr="004865EF">
        <w:rPr>
          <w:rFonts w:ascii="Times New Roman" w:eastAsia="宋体" w:hAnsi="Times New Roman" w:cs="Times New Roman" w:hint="eastAsia"/>
          <w:sz w:val="24"/>
          <w:szCs w:val="22"/>
        </w:rPr>
        <w:t>签署的</w:t>
      </w:r>
      <w:r w:rsidR="005A7CA1" w:rsidRPr="004865EF">
        <w:rPr>
          <w:rFonts w:ascii="Times New Roman" w:eastAsia="宋体" w:hAnsi="Times New Roman" w:cs="Times New Roman"/>
          <w:sz w:val="24"/>
          <w:szCs w:val="22"/>
        </w:rPr>
        <w:t>增资协议</w:t>
      </w:r>
      <w:r w:rsidRPr="004865EF">
        <w:rPr>
          <w:rFonts w:ascii="Times New Roman" w:eastAsia="宋体" w:hAnsi="Times New Roman" w:cs="Times New Roman"/>
          <w:sz w:val="24"/>
          <w:szCs w:val="22"/>
        </w:rPr>
        <w:t>；</w:t>
      </w:r>
    </w:p>
    <w:p w14:paraId="28F8B91E" w14:textId="77777777" w:rsidR="00E263ED" w:rsidRPr="004865EF" w:rsidRDefault="00E263ED" w:rsidP="00E263ED">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2</w:t>
      </w:r>
      <w:r w:rsidRPr="004865EF">
        <w:rPr>
          <w:rFonts w:ascii="Times New Roman" w:eastAsia="宋体" w:hAnsi="Times New Roman" w:cs="Times New Roman"/>
          <w:sz w:val="24"/>
          <w:szCs w:val="22"/>
        </w:rPr>
        <w:t>、访谈</w:t>
      </w:r>
      <w:r w:rsidRPr="004865EF">
        <w:rPr>
          <w:rFonts w:ascii="Times New Roman" w:eastAsia="宋体" w:hAnsi="Times New Roman" w:cs="Times New Roman" w:hint="eastAsia"/>
          <w:sz w:val="24"/>
          <w:szCs w:val="22"/>
        </w:rPr>
        <w:t>发行人</w:t>
      </w:r>
      <w:r w:rsidRPr="004865EF">
        <w:rPr>
          <w:rFonts w:ascii="Times New Roman" w:eastAsia="宋体" w:hAnsi="Times New Roman" w:cs="Times New Roman"/>
          <w:sz w:val="24"/>
          <w:szCs w:val="22"/>
        </w:rPr>
        <w:t>管理层，</w:t>
      </w:r>
      <w:r w:rsidR="00231244" w:rsidRPr="004865EF">
        <w:rPr>
          <w:rFonts w:ascii="Times New Roman" w:eastAsia="宋体" w:hAnsi="Times New Roman" w:cs="Times New Roman" w:hint="eastAsia"/>
          <w:sz w:val="24"/>
          <w:szCs w:val="22"/>
        </w:rPr>
        <w:t>了解发行人</w:t>
      </w:r>
      <w:r w:rsidR="003E7F5E" w:rsidRPr="004865EF">
        <w:rPr>
          <w:rFonts w:ascii="Times New Roman" w:eastAsia="宋体" w:hAnsi="Times New Roman" w:cs="Times New Roman" w:hint="eastAsia"/>
          <w:sz w:val="24"/>
          <w:szCs w:val="22"/>
        </w:rPr>
        <w:t>本次</w:t>
      </w:r>
      <w:r w:rsidR="00231244" w:rsidRPr="004865EF">
        <w:rPr>
          <w:rFonts w:ascii="Times New Roman" w:eastAsia="宋体" w:hAnsi="Times New Roman" w:cs="Times New Roman" w:hint="eastAsia"/>
          <w:sz w:val="24"/>
          <w:szCs w:val="22"/>
        </w:rPr>
        <w:t>采用</w:t>
      </w:r>
      <w:proofErr w:type="gramStart"/>
      <w:r w:rsidR="003E7F5E" w:rsidRPr="004865EF">
        <w:rPr>
          <w:rFonts w:ascii="Times New Roman" w:eastAsia="宋体" w:hAnsi="Times New Roman" w:cs="Times New Roman" w:hint="eastAsia"/>
          <w:sz w:val="24"/>
          <w:szCs w:val="22"/>
        </w:rPr>
        <w:t>向智达云创</w:t>
      </w:r>
      <w:r w:rsidR="00231244" w:rsidRPr="004865EF">
        <w:rPr>
          <w:rFonts w:ascii="Times New Roman" w:eastAsia="宋体" w:hAnsi="Times New Roman" w:cs="Times New Roman" w:hint="eastAsia"/>
          <w:sz w:val="24"/>
          <w:szCs w:val="22"/>
        </w:rPr>
        <w:t>增资</w:t>
      </w:r>
      <w:proofErr w:type="gramEnd"/>
      <w:r w:rsidR="00D0684D" w:rsidRPr="004865EF">
        <w:rPr>
          <w:rFonts w:ascii="Times New Roman" w:eastAsia="宋体" w:hAnsi="Times New Roman" w:cs="Times New Roman" w:hint="eastAsia"/>
          <w:sz w:val="24"/>
          <w:szCs w:val="22"/>
        </w:rPr>
        <w:t>的</w:t>
      </w:r>
      <w:r w:rsidR="00231244" w:rsidRPr="004865EF">
        <w:rPr>
          <w:rFonts w:ascii="Times New Roman" w:eastAsia="宋体" w:hAnsi="Times New Roman" w:cs="Times New Roman" w:hint="eastAsia"/>
          <w:sz w:val="24"/>
          <w:szCs w:val="22"/>
        </w:rPr>
        <w:t>方式实施</w:t>
      </w:r>
      <w:proofErr w:type="gramStart"/>
      <w:r w:rsidR="00D0684D" w:rsidRPr="004865EF">
        <w:rPr>
          <w:rFonts w:ascii="Times New Roman" w:eastAsia="宋体" w:hAnsi="Times New Roman" w:cs="Times New Roman" w:hint="eastAsia"/>
          <w:sz w:val="24"/>
          <w:szCs w:val="22"/>
        </w:rPr>
        <w:t>募投项目</w:t>
      </w:r>
      <w:proofErr w:type="gramEnd"/>
      <w:r w:rsidR="00D0684D" w:rsidRPr="004865EF">
        <w:rPr>
          <w:rFonts w:ascii="Times New Roman" w:eastAsia="宋体" w:hAnsi="Times New Roman" w:cs="Times New Roman" w:hint="eastAsia"/>
          <w:sz w:val="24"/>
          <w:szCs w:val="22"/>
        </w:rPr>
        <w:t>的原因</w:t>
      </w:r>
      <w:r w:rsidR="00456A09" w:rsidRPr="004865EF">
        <w:rPr>
          <w:rFonts w:ascii="Times New Roman" w:eastAsia="宋体" w:hAnsi="Times New Roman" w:cs="Times New Roman" w:hint="eastAsia"/>
          <w:sz w:val="24"/>
          <w:szCs w:val="22"/>
        </w:rPr>
        <w:t>；</w:t>
      </w:r>
    </w:p>
    <w:p w14:paraId="68E28618" w14:textId="77777777" w:rsidR="007449C0" w:rsidRPr="004865EF" w:rsidRDefault="00E263ED" w:rsidP="007449C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3</w:t>
      </w:r>
      <w:r w:rsidR="007449C0" w:rsidRPr="004865EF">
        <w:rPr>
          <w:rFonts w:ascii="Times New Roman" w:eastAsia="宋体" w:hAnsi="Times New Roman" w:cs="Times New Roman"/>
          <w:sz w:val="24"/>
          <w:szCs w:val="22"/>
        </w:rPr>
        <w:t>、查阅</w:t>
      </w:r>
      <w:r w:rsidR="00116FD5" w:rsidRPr="004865EF">
        <w:rPr>
          <w:rFonts w:ascii="Times New Roman" w:eastAsia="宋体" w:hAnsi="Times New Roman" w:cs="Times New Roman"/>
          <w:sz w:val="24"/>
          <w:szCs w:val="22"/>
        </w:rPr>
        <w:t>中</w:t>
      </w:r>
      <w:proofErr w:type="gramStart"/>
      <w:r w:rsidR="00116FD5" w:rsidRPr="004865EF">
        <w:rPr>
          <w:rFonts w:ascii="Times New Roman" w:eastAsia="宋体" w:hAnsi="Times New Roman" w:cs="Times New Roman"/>
          <w:sz w:val="24"/>
          <w:szCs w:val="22"/>
        </w:rPr>
        <w:t>铭国际</w:t>
      </w:r>
      <w:proofErr w:type="gramEnd"/>
      <w:r w:rsidR="00116FD5" w:rsidRPr="004865EF">
        <w:rPr>
          <w:rFonts w:ascii="Times New Roman" w:eastAsia="宋体" w:hAnsi="Times New Roman" w:cs="Times New Roman"/>
          <w:sz w:val="24"/>
          <w:szCs w:val="22"/>
        </w:rPr>
        <w:t>出具的智达云创</w:t>
      </w:r>
      <w:r w:rsidR="00116FD5" w:rsidRPr="004865EF">
        <w:rPr>
          <w:rFonts w:ascii="Times New Roman" w:eastAsia="宋体" w:hAnsi="Times New Roman" w:cs="Times New Roman" w:hint="eastAsia"/>
          <w:sz w:val="24"/>
          <w:szCs w:val="22"/>
        </w:rPr>
        <w:t>1</w:t>
      </w:r>
      <w:r w:rsidR="00116FD5" w:rsidRPr="004865EF">
        <w:rPr>
          <w:rFonts w:ascii="Times New Roman" w:eastAsia="宋体" w:hAnsi="Times New Roman" w:cs="Times New Roman"/>
          <w:sz w:val="24"/>
          <w:szCs w:val="22"/>
        </w:rPr>
        <w:t>00%</w:t>
      </w:r>
      <w:r w:rsidR="00116FD5" w:rsidRPr="004865EF">
        <w:rPr>
          <w:rFonts w:ascii="Times New Roman" w:eastAsia="宋体" w:hAnsi="Times New Roman" w:cs="Times New Roman" w:hint="eastAsia"/>
          <w:sz w:val="24"/>
          <w:szCs w:val="22"/>
        </w:rPr>
        <w:t>股权价值评估报告</w:t>
      </w:r>
      <w:r w:rsidR="00116FD5" w:rsidRPr="004865EF">
        <w:rPr>
          <w:rFonts w:ascii="Times New Roman" w:eastAsia="宋体" w:hAnsi="Times New Roman" w:cs="Times New Roman"/>
          <w:sz w:val="24"/>
          <w:szCs w:val="22"/>
        </w:rPr>
        <w:t>（中铭评报字</w:t>
      </w:r>
      <w:r w:rsidR="00116FD5" w:rsidRPr="004865EF">
        <w:rPr>
          <w:rFonts w:ascii="Times New Roman" w:eastAsia="宋体" w:hAnsi="Times New Roman" w:cs="Times New Roman"/>
          <w:sz w:val="24"/>
          <w:szCs w:val="22"/>
        </w:rPr>
        <w:t>[2020]</w:t>
      </w:r>
      <w:r w:rsidR="00116FD5" w:rsidRPr="004865EF">
        <w:rPr>
          <w:rFonts w:ascii="Times New Roman" w:eastAsia="宋体" w:hAnsi="Times New Roman" w:cs="Times New Roman"/>
          <w:sz w:val="24"/>
          <w:szCs w:val="22"/>
        </w:rPr>
        <w:t>第</w:t>
      </w:r>
      <w:r w:rsidR="00116FD5" w:rsidRPr="004865EF">
        <w:rPr>
          <w:rFonts w:ascii="Times New Roman" w:eastAsia="宋体" w:hAnsi="Times New Roman" w:cs="Times New Roman"/>
          <w:sz w:val="24"/>
          <w:szCs w:val="22"/>
        </w:rPr>
        <w:t>1006</w:t>
      </w:r>
      <w:r w:rsidR="00116FD5" w:rsidRPr="004865EF">
        <w:rPr>
          <w:rFonts w:ascii="Times New Roman" w:eastAsia="宋体" w:hAnsi="Times New Roman" w:cs="Times New Roman"/>
          <w:sz w:val="24"/>
          <w:szCs w:val="22"/>
        </w:rPr>
        <w:t>号）</w:t>
      </w:r>
      <w:r w:rsidR="007449C0" w:rsidRPr="004865EF">
        <w:rPr>
          <w:rFonts w:ascii="Times New Roman" w:eastAsia="宋体" w:hAnsi="Times New Roman" w:cs="Times New Roman"/>
          <w:sz w:val="24"/>
          <w:szCs w:val="22"/>
        </w:rPr>
        <w:t>；</w:t>
      </w:r>
    </w:p>
    <w:p w14:paraId="432BE491" w14:textId="77777777" w:rsidR="0013313B" w:rsidRPr="004865EF" w:rsidRDefault="00E263ED" w:rsidP="007449C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4</w:t>
      </w:r>
      <w:r w:rsidR="007449C0" w:rsidRPr="004865EF">
        <w:rPr>
          <w:rFonts w:ascii="Times New Roman" w:eastAsia="宋体" w:hAnsi="Times New Roman" w:cs="Times New Roman"/>
          <w:sz w:val="24"/>
          <w:szCs w:val="22"/>
        </w:rPr>
        <w:t>、查阅</w:t>
      </w:r>
      <w:r w:rsidR="007B4B81" w:rsidRPr="004865EF">
        <w:rPr>
          <w:rFonts w:ascii="Times New Roman" w:eastAsia="宋体" w:hAnsi="Times New Roman" w:cs="Times New Roman" w:hint="eastAsia"/>
          <w:sz w:val="24"/>
          <w:szCs w:val="22"/>
        </w:rPr>
        <w:t>智达云</w:t>
      </w:r>
      <w:proofErr w:type="gramStart"/>
      <w:r w:rsidR="007B4B81" w:rsidRPr="004865EF">
        <w:rPr>
          <w:rFonts w:ascii="Times New Roman" w:eastAsia="宋体" w:hAnsi="Times New Roman" w:cs="Times New Roman" w:hint="eastAsia"/>
          <w:sz w:val="24"/>
          <w:szCs w:val="22"/>
        </w:rPr>
        <w:t>创现有</w:t>
      </w:r>
      <w:proofErr w:type="gramEnd"/>
      <w:r w:rsidR="007B4B81" w:rsidRPr="004865EF">
        <w:rPr>
          <w:rFonts w:ascii="Times New Roman" w:eastAsia="宋体" w:hAnsi="Times New Roman" w:cs="Times New Roman" w:hint="eastAsia"/>
          <w:sz w:val="24"/>
          <w:szCs w:val="22"/>
        </w:rPr>
        <w:t>股东</w:t>
      </w:r>
      <w:r w:rsidR="00FF738F" w:rsidRPr="004865EF">
        <w:rPr>
          <w:rFonts w:ascii="Times New Roman" w:eastAsia="宋体" w:hAnsi="Times New Roman" w:cs="Times New Roman"/>
          <w:sz w:val="24"/>
          <w:szCs w:val="22"/>
        </w:rPr>
        <w:t>王禹方、石凤红</w:t>
      </w:r>
      <w:r w:rsidR="00531D7F" w:rsidRPr="004865EF">
        <w:rPr>
          <w:rFonts w:ascii="Times New Roman" w:eastAsia="宋体" w:hAnsi="Times New Roman" w:cs="Times New Roman" w:hint="eastAsia"/>
          <w:sz w:val="24"/>
          <w:szCs w:val="22"/>
        </w:rPr>
        <w:t>出具的承诺文件</w:t>
      </w:r>
      <w:r w:rsidR="0013313B" w:rsidRPr="004865EF">
        <w:rPr>
          <w:rFonts w:ascii="Times New Roman" w:eastAsia="宋体" w:hAnsi="Times New Roman" w:cs="Times New Roman" w:hint="eastAsia"/>
          <w:sz w:val="24"/>
          <w:szCs w:val="22"/>
        </w:rPr>
        <w:t>；</w:t>
      </w:r>
    </w:p>
    <w:p w14:paraId="07BD1160" w14:textId="77777777" w:rsidR="0013313B" w:rsidRPr="004865EF" w:rsidRDefault="0013313B" w:rsidP="0013313B">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5</w:t>
      </w:r>
      <w:r w:rsidRPr="004865EF">
        <w:rPr>
          <w:rFonts w:ascii="Times New Roman" w:eastAsia="宋体" w:hAnsi="Times New Roman" w:cs="Times New Roman"/>
          <w:sz w:val="24"/>
          <w:szCs w:val="22"/>
        </w:rPr>
        <w:t>、查验智达云创固定资产及在建工程的相关资料，查验固定资产相关证照等，现场对实物资产进行核查，确认资产目前使用状况；</w:t>
      </w:r>
    </w:p>
    <w:p w14:paraId="7B5041EC" w14:textId="77777777" w:rsidR="0013313B" w:rsidRPr="004865EF" w:rsidRDefault="0013313B" w:rsidP="0013313B">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6</w:t>
      </w:r>
      <w:r w:rsidRPr="004865EF">
        <w:rPr>
          <w:rFonts w:ascii="Times New Roman" w:eastAsia="宋体" w:hAnsi="Times New Roman" w:cs="Times New Roman"/>
          <w:sz w:val="24"/>
          <w:szCs w:val="22"/>
        </w:rPr>
        <w:t>、查验实物资产入账价值是否真实、合</w:t>
      </w:r>
      <w:proofErr w:type="gramStart"/>
      <w:r w:rsidRPr="004865EF">
        <w:rPr>
          <w:rFonts w:ascii="Times New Roman" w:eastAsia="宋体" w:hAnsi="Times New Roman" w:cs="Times New Roman"/>
          <w:sz w:val="24"/>
          <w:szCs w:val="22"/>
        </w:rPr>
        <w:t>规</w:t>
      </w:r>
      <w:proofErr w:type="gramEnd"/>
      <w:r w:rsidRPr="004865EF">
        <w:rPr>
          <w:rFonts w:ascii="Times New Roman" w:eastAsia="宋体" w:hAnsi="Times New Roman" w:cs="Times New Roman"/>
          <w:sz w:val="24"/>
          <w:szCs w:val="22"/>
        </w:rPr>
        <w:t>，手续是否齐备；</w:t>
      </w:r>
    </w:p>
    <w:p w14:paraId="553F2A86" w14:textId="330BB5C8" w:rsidR="007449C0" w:rsidRPr="004865EF" w:rsidRDefault="0013313B" w:rsidP="0013313B">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7</w:t>
      </w:r>
      <w:r w:rsidRPr="004865EF">
        <w:rPr>
          <w:rFonts w:ascii="Times New Roman" w:eastAsia="宋体" w:hAnsi="Times New Roman" w:cs="Times New Roman"/>
          <w:sz w:val="24"/>
          <w:szCs w:val="22"/>
        </w:rPr>
        <w:t>、检查实物资产是否已按照企业会计准则的规定在财务报表中</w:t>
      </w:r>
      <w:proofErr w:type="gramStart"/>
      <w:r w:rsidRPr="004865EF">
        <w:rPr>
          <w:rFonts w:ascii="Times New Roman" w:eastAsia="宋体" w:hAnsi="Times New Roman" w:cs="Times New Roman"/>
          <w:sz w:val="24"/>
          <w:szCs w:val="22"/>
        </w:rPr>
        <w:t>作出</w:t>
      </w:r>
      <w:proofErr w:type="gramEnd"/>
      <w:r w:rsidRPr="004865EF">
        <w:rPr>
          <w:rFonts w:ascii="Times New Roman" w:eastAsia="宋体" w:hAnsi="Times New Roman" w:cs="Times New Roman"/>
          <w:sz w:val="24"/>
          <w:szCs w:val="22"/>
        </w:rPr>
        <w:t>恰当列报和披露。</w:t>
      </w:r>
    </w:p>
    <w:p w14:paraId="734F2E6B" w14:textId="77777777" w:rsidR="007449C0" w:rsidRPr="004865EF" w:rsidRDefault="007449C0" w:rsidP="007449C0">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b/>
          <w:bCs/>
          <w:sz w:val="24"/>
          <w:szCs w:val="22"/>
        </w:rPr>
        <w:t>（二）核查意见</w:t>
      </w:r>
    </w:p>
    <w:p w14:paraId="3FB4B39C" w14:textId="77777777" w:rsidR="00BB5A6B" w:rsidRPr="004865EF" w:rsidRDefault="007449C0" w:rsidP="007449C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经核查，保荐机构</w:t>
      </w:r>
      <w:r w:rsidR="00203A99" w:rsidRPr="004865EF">
        <w:rPr>
          <w:rFonts w:ascii="Times New Roman" w:eastAsia="宋体" w:hAnsi="Times New Roman" w:cs="Times New Roman" w:hint="eastAsia"/>
          <w:sz w:val="24"/>
          <w:szCs w:val="22"/>
        </w:rPr>
        <w:t>和</w:t>
      </w:r>
      <w:r w:rsidR="00D2211F" w:rsidRPr="004865EF">
        <w:rPr>
          <w:rFonts w:ascii="Times New Roman" w:eastAsia="宋体" w:hAnsi="Times New Roman" w:cs="Times New Roman" w:hint="eastAsia"/>
          <w:sz w:val="24"/>
          <w:szCs w:val="22"/>
        </w:rPr>
        <w:t>申报会计师</w:t>
      </w:r>
      <w:r w:rsidRPr="004865EF">
        <w:rPr>
          <w:rFonts w:ascii="Times New Roman" w:eastAsia="宋体" w:hAnsi="Times New Roman" w:cs="Times New Roman" w:hint="eastAsia"/>
          <w:sz w:val="24"/>
          <w:szCs w:val="22"/>
        </w:rPr>
        <w:t>认</w:t>
      </w:r>
      <w:r w:rsidRPr="004865EF">
        <w:rPr>
          <w:rFonts w:ascii="Times New Roman" w:eastAsia="宋体" w:hAnsi="Times New Roman" w:cs="Times New Roman"/>
          <w:sz w:val="24"/>
          <w:szCs w:val="22"/>
        </w:rPr>
        <w:t>为：</w:t>
      </w:r>
    </w:p>
    <w:p w14:paraId="125B4184" w14:textId="77777777" w:rsidR="007412D5" w:rsidRPr="004865EF" w:rsidRDefault="00BB5A6B" w:rsidP="007449C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1</w:t>
      </w:r>
      <w:r w:rsidRPr="004865EF">
        <w:rPr>
          <w:rFonts w:ascii="Times New Roman" w:eastAsia="宋体" w:hAnsi="Times New Roman" w:cs="Times New Roman" w:hint="eastAsia"/>
          <w:sz w:val="24"/>
          <w:szCs w:val="22"/>
        </w:rPr>
        <w:t>、</w:t>
      </w:r>
      <w:r w:rsidR="0096226B" w:rsidRPr="004865EF">
        <w:rPr>
          <w:rFonts w:ascii="Times New Roman" w:eastAsia="宋体" w:hAnsi="Times New Roman" w:cs="Times New Roman"/>
          <w:sz w:val="24"/>
          <w:szCs w:val="22"/>
        </w:rPr>
        <w:t>公司本次采用以增资方式收购智达云创</w:t>
      </w:r>
      <w:r w:rsidR="0096226B" w:rsidRPr="004865EF">
        <w:rPr>
          <w:rFonts w:ascii="Times New Roman" w:eastAsia="宋体" w:hAnsi="Times New Roman" w:cs="Times New Roman"/>
          <w:sz w:val="24"/>
          <w:szCs w:val="22"/>
        </w:rPr>
        <w:t>65%</w:t>
      </w:r>
      <w:r w:rsidR="0096226B" w:rsidRPr="004865EF">
        <w:rPr>
          <w:rFonts w:ascii="Times New Roman" w:eastAsia="宋体" w:hAnsi="Times New Roman" w:cs="Times New Roman"/>
          <w:sz w:val="24"/>
          <w:szCs w:val="22"/>
        </w:rPr>
        <w:t>股权并作为燕郊绿色</w:t>
      </w:r>
      <w:proofErr w:type="gramStart"/>
      <w:r w:rsidR="0096226B" w:rsidRPr="004865EF">
        <w:rPr>
          <w:rFonts w:ascii="Times New Roman" w:eastAsia="宋体" w:hAnsi="Times New Roman" w:cs="Times New Roman"/>
          <w:sz w:val="24"/>
          <w:szCs w:val="22"/>
        </w:rPr>
        <w:t>云计算</w:t>
      </w:r>
      <w:proofErr w:type="gramEnd"/>
      <w:r w:rsidR="0096226B" w:rsidRPr="004865EF">
        <w:rPr>
          <w:rFonts w:ascii="Times New Roman" w:eastAsia="宋体" w:hAnsi="Times New Roman" w:cs="Times New Roman"/>
          <w:sz w:val="24"/>
          <w:szCs w:val="22"/>
        </w:rPr>
        <w:t>基地三四期项目的实施主体，</w:t>
      </w:r>
      <w:r w:rsidR="001B7110" w:rsidRPr="004865EF">
        <w:rPr>
          <w:rFonts w:ascii="Times New Roman" w:eastAsia="宋体" w:hAnsi="Times New Roman" w:cs="Times New Roman" w:hint="eastAsia"/>
          <w:sz w:val="24"/>
          <w:szCs w:val="22"/>
        </w:rPr>
        <w:t>而</w:t>
      </w:r>
      <w:r w:rsidR="008E281A" w:rsidRPr="004865EF">
        <w:rPr>
          <w:rFonts w:ascii="Times New Roman" w:eastAsia="宋体" w:hAnsi="Times New Roman" w:cs="Times New Roman"/>
          <w:sz w:val="24"/>
          <w:szCs w:val="22"/>
        </w:rPr>
        <w:t>未采取新设方式实施</w:t>
      </w:r>
      <w:proofErr w:type="gramStart"/>
      <w:r w:rsidR="008E281A" w:rsidRPr="004865EF">
        <w:rPr>
          <w:rFonts w:ascii="Times New Roman" w:eastAsia="宋体" w:hAnsi="Times New Roman" w:cs="Times New Roman"/>
          <w:sz w:val="24"/>
          <w:szCs w:val="22"/>
        </w:rPr>
        <w:t>本募投项目</w:t>
      </w:r>
      <w:proofErr w:type="gramEnd"/>
      <w:r w:rsidR="008E281A" w:rsidRPr="004865EF">
        <w:rPr>
          <w:rFonts w:ascii="Times New Roman" w:eastAsia="宋体" w:hAnsi="Times New Roman" w:cs="Times New Roman" w:hint="eastAsia"/>
          <w:sz w:val="24"/>
          <w:szCs w:val="22"/>
        </w:rPr>
        <w:t>，</w:t>
      </w:r>
      <w:r w:rsidR="0096226B" w:rsidRPr="004865EF">
        <w:rPr>
          <w:rFonts w:ascii="Times New Roman" w:eastAsia="宋体" w:hAnsi="Times New Roman" w:cs="Times New Roman" w:hint="eastAsia"/>
          <w:sz w:val="24"/>
          <w:szCs w:val="22"/>
        </w:rPr>
        <w:t>系</w:t>
      </w:r>
      <w:r w:rsidR="0096226B" w:rsidRPr="004865EF">
        <w:rPr>
          <w:rFonts w:ascii="Times New Roman" w:eastAsia="宋体" w:hAnsi="Times New Roman" w:cs="Times New Roman"/>
          <w:sz w:val="24"/>
          <w:szCs w:val="22"/>
        </w:rPr>
        <w:t>相关各方</w:t>
      </w:r>
      <w:r w:rsidR="00FB737B" w:rsidRPr="004865EF">
        <w:rPr>
          <w:rFonts w:ascii="Times New Roman" w:eastAsia="宋体" w:hAnsi="Times New Roman" w:cs="Times New Roman" w:hint="eastAsia"/>
          <w:sz w:val="24"/>
          <w:szCs w:val="22"/>
        </w:rPr>
        <w:t>基于</w:t>
      </w:r>
      <w:r w:rsidR="0096226B" w:rsidRPr="004865EF">
        <w:rPr>
          <w:rFonts w:ascii="Times New Roman" w:eastAsia="宋体" w:hAnsi="Times New Roman" w:cs="Times New Roman"/>
          <w:sz w:val="24"/>
          <w:szCs w:val="22"/>
        </w:rPr>
        <w:t>各自拥有的不动产、技术或业务资源经协商一致而</w:t>
      </w:r>
      <w:proofErr w:type="gramStart"/>
      <w:r w:rsidR="0096226B" w:rsidRPr="004865EF">
        <w:rPr>
          <w:rFonts w:ascii="Times New Roman" w:eastAsia="宋体" w:hAnsi="Times New Roman" w:cs="Times New Roman"/>
          <w:sz w:val="24"/>
          <w:szCs w:val="22"/>
        </w:rPr>
        <w:t>作出</w:t>
      </w:r>
      <w:proofErr w:type="gramEnd"/>
      <w:r w:rsidR="0096226B" w:rsidRPr="004865EF">
        <w:rPr>
          <w:rFonts w:ascii="Times New Roman" w:eastAsia="宋体" w:hAnsi="Times New Roman" w:cs="Times New Roman"/>
          <w:sz w:val="24"/>
          <w:szCs w:val="22"/>
        </w:rPr>
        <w:t>的商业安排，具有合理性</w:t>
      </w:r>
      <w:r w:rsidRPr="004865EF">
        <w:rPr>
          <w:rFonts w:ascii="Times New Roman" w:eastAsia="宋体" w:hAnsi="Times New Roman" w:cs="Times New Roman" w:hint="eastAsia"/>
          <w:sz w:val="24"/>
          <w:szCs w:val="22"/>
        </w:rPr>
        <w:t>；</w:t>
      </w:r>
    </w:p>
    <w:p w14:paraId="51ED1043" w14:textId="77777777" w:rsidR="00BB5A6B" w:rsidRPr="004865EF" w:rsidRDefault="00BB5A6B" w:rsidP="007449C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2</w:t>
      </w:r>
      <w:r w:rsidRPr="004865EF">
        <w:rPr>
          <w:rFonts w:ascii="Times New Roman" w:eastAsia="宋体" w:hAnsi="Times New Roman" w:cs="Times New Roman" w:hint="eastAsia"/>
          <w:sz w:val="24"/>
          <w:szCs w:val="22"/>
        </w:rPr>
        <w:t>、</w:t>
      </w:r>
      <w:r w:rsidR="00771C91" w:rsidRPr="004865EF">
        <w:rPr>
          <w:rFonts w:ascii="Times New Roman" w:eastAsia="宋体" w:hAnsi="Times New Roman" w:cs="Times New Roman"/>
          <w:sz w:val="24"/>
          <w:szCs w:val="22"/>
        </w:rPr>
        <w:t>智达云创的固定资产和在建工程增值率较高，主要</w:t>
      </w:r>
      <w:proofErr w:type="gramStart"/>
      <w:r w:rsidR="0061788D" w:rsidRPr="004865EF">
        <w:rPr>
          <w:rFonts w:ascii="Times New Roman" w:eastAsia="宋体" w:hAnsi="Times New Roman" w:cs="Times New Roman" w:hint="eastAsia"/>
          <w:sz w:val="24"/>
          <w:szCs w:val="22"/>
        </w:rPr>
        <w:t>原因系</w:t>
      </w:r>
      <w:r w:rsidR="00771C91" w:rsidRPr="004865EF">
        <w:rPr>
          <w:rFonts w:ascii="Times New Roman" w:eastAsia="宋体" w:hAnsi="Times New Roman" w:cs="Times New Roman"/>
          <w:sz w:val="24"/>
          <w:szCs w:val="22"/>
        </w:rPr>
        <w:t>燕郊</w:t>
      </w:r>
      <w:proofErr w:type="gramEnd"/>
      <w:r w:rsidR="00771C91" w:rsidRPr="004865EF">
        <w:rPr>
          <w:rFonts w:ascii="Times New Roman" w:eastAsia="宋体" w:hAnsi="Times New Roman" w:cs="Times New Roman"/>
          <w:sz w:val="24"/>
          <w:szCs w:val="22"/>
        </w:rPr>
        <w:t>绿色</w:t>
      </w:r>
      <w:proofErr w:type="gramStart"/>
      <w:r w:rsidR="00771C91" w:rsidRPr="004865EF">
        <w:rPr>
          <w:rFonts w:ascii="Times New Roman" w:eastAsia="宋体" w:hAnsi="Times New Roman" w:cs="Times New Roman"/>
          <w:sz w:val="24"/>
          <w:szCs w:val="22"/>
        </w:rPr>
        <w:t>云计算</w:t>
      </w:r>
      <w:proofErr w:type="gramEnd"/>
      <w:r w:rsidR="00771C91" w:rsidRPr="004865EF">
        <w:rPr>
          <w:rFonts w:ascii="Times New Roman" w:eastAsia="宋体" w:hAnsi="Times New Roman" w:cs="Times New Roman"/>
          <w:sz w:val="24"/>
          <w:szCs w:val="22"/>
        </w:rPr>
        <w:t>基地项目厂房建设年代较早，土地及建造成本较低，评估基准日时点</w:t>
      </w:r>
      <w:proofErr w:type="gramStart"/>
      <w:r w:rsidR="00771C91" w:rsidRPr="004865EF">
        <w:rPr>
          <w:rFonts w:ascii="Times New Roman" w:eastAsia="宋体" w:hAnsi="Times New Roman" w:cs="Times New Roman"/>
          <w:sz w:val="24"/>
          <w:szCs w:val="22"/>
        </w:rPr>
        <w:t>燕郊同地区</w:t>
      </w:r>
      <w:proofErr w:type="gramEnd"/>
      <w:r w:rsidR="00771C91" w:rsidRPr="004865EF">
        <w:rPr>
          <w:rFonts w:ascii="Times New Roman" w:eastAsia="宋体" w:hAnsi="Times New Roman" w:cs="Times New Roman"/>
          <w:sz w:val="24"/>
          <w:szCs w:val="22"/>
        </w:rPr>
        <w:t>同类型的房地产价格已大幅上升</w:t>
      </w:r>
      <w:r w:rsidR="006217E6" w:rsidRPr="004865EF">
        <w:rPr>
          <w:rFonts w:ascii="Times New Roman" w:eastAsia="宋体" w:hAnsi="Times New Roman" w:cs="Times New Roman" w:hint="eastAsia"/>
          <w:sz w:val="24"/>
          <w:szCs w:val="22"/>
        </w:rPr>
        <w:t>，</w:t>
      </w:r>
      <w:r w:rsidR="00771C91" w:rsidRPr="004865EF">
        <w:rPr>
          <w:rFonts w:ascii="Times New Roman" w:eastAsia="宋体" w:hAnsi="Times New Roman" w:cs="Times New Roman"/>
          <w:sz w:val="24"/>
          <w:szCs w:val="22"/>
        </w:rPr>
        <w:t>具有合理性</w:t>
      </w:r>
      <w:r w:rsidR="008F71A9" w:rsidRPr="004865EF">
        <w:rPr>
          <w:rFonts w:ascii="Times New Roman" w:eastAsia="宋体" w:hAnsi="Times New Roman" w:cs="Times New Roman" w:hint="eastAsia"/>
          <w:sz w:val="24"/>
          <w:szCs w:val="22"/>
        </w:rPr>
        <w:t>，</w:t>
      </w:r>
      <w:r w:rsidR="00771C91" w:rsidRPr="004865EF">
        <w:rPr>
          <w:rFonts w:ascii="Times New Roman" w:eastAsia="宋体" w:hAnsi="Times New Roman" w:cs="Times New Roman" w:hint="eastAsia"/>
          <w:sz w:val="24"/>
          <w:szCs w:val="22"/>
        </w:rPr>
        <w:t>交易价格公允</w:t>
      </w:r>
      <w:r w:rsidR="007B053E" w:rsidRPr="004865EF">
        <w:rPr>
          <w:rFonts w:ascii="Times New Roman" w:eastAsia="宋体" w:hAnsi="Times New Roman" w:cs="Times New Roman" w:hint="eastAsia"/>
          <w:sz w:val="24"/>
          <w:szCs w:val="22"/>
        </w:rPr>
        <w:t>；</w:t>
      </w:r>
    </w:p>
    <w:p w14:paraId="0E95B3BC" w14:textId="21E58DF8" w:rsidR="007B053E" w:rsidRPr="004865EF" w:rsidRDefault="00C61C3B" w:rsidP="007449C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3</w:t>
      </w:r>
      <w:r w:rsidRPr="004865EF">
        <w:rPr>
          <w:rFonts w:ascii="Times New Roman" w:eastAsia="宋体" w:hAnsi="Times New Roman" w:cs="Times New Roman" w:hint="eastAsia"/>
          <w:sz w:val="24"/>
          <w:szCs w:val="22"/>
        </w:rPr>
        <w:t>、</w:t>
      </w:r>
      <w:r w:rsidR="00945F49" w:rsidRPr="004865EF">
        <w:rPr>
          <w:rFonts w:ascii="Times New Roman" w:eastAsia="宋体" w:hAnsi="Times New Roman" w:cs="Times New Roman" w:hint="eastAsia"/>
          <w:sz w:val="24"/>
          <w:szCs w:val="22"/>
        </w:rPr>
        <w:t>各方</w:t>
      </w:r>
      <w:r w:rsidR="00D17063" w:rsidRPr="004865EF">
        <w:rPr>
          <w:rFonts w:ascii="Times New Roman" w:eastAsia="宋体" w:hAnsi="Times New Roman" w:cs="Times New Roman" w:hint="eastAsia"/>
          <w:sz w:val="24"/>
          <w:szCs w:val="22"/>
        </w:rPr>
        <w:t>已</w:t>
      </w:r>
      <w:r w:rsidR="00B53D01" w:rsidRPr="004865EF">
        <w:rPr>
          <w:rFonts w:ascii="Times New Roman" w:eastAsia="宋体" w:hAnsi="Times New Roman" w:cs="Times New Roman" w:hint="eastAsia"/>
          <w:sz w:val="24"/>
          <w:szCs w:val="22"/>
        </w:rPr>
        <w:t>在</w:t>
      </w:r>
      <w:r w:rsidR="008D11D3" w:rsidRPr="004865EF">
        <w:rPr>
          <w:rFonts w:ascii="Times New Roman" w:eastAsia="宋体" w:hAnsi="Times New Roman" w:cs="Times New Roman"/>
          <w:sz w:val="24"/>
          <w:szCs w:val="22"/>
        </w:rPr>
        <w:t>增资协议</w:t>
      </w:r>
      <w:r w:rsidR="00B53D01" w:rsidRPr="004865EF">
        <w:rPr>
          <w:rFonts w:ascii="Times New Roman" w:eastAsia="宋体" w:hAnsi="Times New Roman" w:cs="Times New Roman" w:hint="eastAsia"/>
          <w:sz w:val="24"/>
          <w:szCs w:val="22"/>
        </w:rPr>
        <w:t>中</w:t>
      </w:r>
      <w:r w:rsidR="004962FE" w:rsidRPr="004865EF">
        <w:rPr>
          <w:rFonts w:ascii="Times New Roman" w:eastAsia="宋体" w:hAnsi="Times New Roman" w:cs="Times New Roman" w:hint="eastAsia"/>
          <w:sz w:val="24"/>
          <w:szCs w:val="22"/>
        </w:rPr>
        <w:t>约定</w:t>
      </w:r>
      <w:r w:rsidR="00D17063" w:rsidRPr="004865EF">
        <w:rPr>
          <w:rFonts w:ascii="Times New Roman" w:eastAsia="宋体" w:hAnsi="Times New Roman" w:cs="Times New Roman" w:hint="eastAsia"/>
          <w:sz w:val="24"/>
          <w:szCs w:val="22"/>
        </w:rPr>
        <w:t>本次增资的具体安排</w:t>
      </w:r>
      <w:r w:rsidR="008D11D3" w:rsidRPr="004865EF">
        <w:rPr>
          <w:rFonts w:ascii="Times New Roman" w:eastAsia="宋体" w:hAnsi="Times New Roman" w:cs="Times New Roman" w:hint="eastAsia"/>
          <w:sz w:val="24"/>
          <w:szCs w:val="22"/>
        </w:rPr>
        <w:t>，</w:t>
      </w:r>
      <w:r w:rsidR="002D733C" w:rsidRPr="004865EF">
        <w:rPr>
          <w:rFonts w:ascii="Times New Roman" w:eastAsia="宋体" w:hAnsi="Times New Roman" w:cs="Times New Roman"/>
          <w:sz w:val="24"/>
          <w:szCs w:val="22"/>
        </w:rPr>
        <w:t>募集资金剩余部分</w:t>
      </w:r>
      <w:r w:rsidR="006E0E14" w:rsidRPr="004865EF">
        <w:rPr>
          <w:rFonts w:ascii="Times New Roman" w:eastAsia="宋体" w:hAnsi="Times New Roman" w:cs="Times New Roman"/>
          <w:sz w:val="24"/>
          <w:szCs w:val="22"/>
        </w:rPr>
        <w:t>公司将通过</w:t>
      </w:r>
      <w:proofErr w:type="gramStart"/>
      <w:r w:rsidR="006E0E14" w:rsidRPr="004865EF">
        <w:rPr>
          <w:rFonts w:ascii="Times New Roman" w:eastAsia="宋体" w:hAnsi="Times New Roman" w:cs="Times New Roman"/>
          <w:sz w:val="24"/>
          <w:szCs w:val="22"/>
        </w:rPr>
        <w:t>向智达云创增资</w:t>
      </w:r>
      <w:proofErr w:type="gramEnd"/>
      <w:r w:rsidR="006E0E14" w:rsidRPr="004865EF">
        <w:rPr>
          <w:rFonts w:ascii="Times New Roman" w:eastAsia="宋体" w:hAnsi="Times New Roman" w:cs="Times New Roman"/>
          <w:sz w:val="24"/>
          <w:szCs w:val="22"/>
        </w:rPr>
        <w:t>或提供借款的方式来实施</w:t>
      </w:r>
      <w:proofErr w:type="gramStart"/>
      <w:r w:rsidR="006E0E14" w:rsidRPr="004865EF">
        <w:rPr>
          <w:rFonts w:ascii="Times New Roman" w:eastAsia="宋体" w:hAnsi="Times New Roman" w:cs="Times New Roman"/>
          <w:sz w:val="24"/>
          <w:szCs w:val="22"/>
        </w:rPr>
        <w:t>本募投项目</w:t>
      </w:r>
      <w:proofErr w:type="gramEnd"/>
      <w:r w:rsidR="004013A8" w:rsidRPr="004865EF">
        <w:rPr>
          <w:rFonts w:ascii="Times New Roman" w:eastAsia="宋体" w:hAnsi="Times New Roman" w:cs="Times New Roman" w:hint="eastAsia"/>
          <w:sz w:val="24"/>
          <w:szCs w:val="22"/>
        </w:rPr>
        <w:t>。</w:t>
      </w:r>
      <w:r w:rsidR="006B5EB3" w:rsidRPr="004865EF">
        <w:rPr>
          <w:rFonts w:ascii="Times New Roman" w:eastAsia="宋体" w:hAnsi="Times New Roman" w:cs="Times New Roman"/>
          <w:sz w:val="24"/>
          <w:szCs w:val="22"/>
        </w:rPr>
        <w:t>王禹方、石凤红已承诺</w:t>
      </w:r>
      <w:proofErr w:type="gramStart"/>
      <w:r w:rsidR="006B5EB3" w:rsidRPr="004865EF">
        <w:rPr>
          <w:rFonts w:ascii="Times New Roman" w:eastAsia="宋体" w:hAnsi="Times New Roman" w:cs="Times New Roman"/>
          <w:sz w:val="24"/>
          <w:szCs w:val="22"/>
        </w:rPr>
        <w:t>向智达云创同</w:t>
      </w:r>
      <w:proofErr w:type="gramEnd"/>
      <w:r w:rsidR="006B5EB3" w:rsidRPr="004865EF">
        <w:rPr>
          <w:rFonts w:ascii="Times New Roman" w:eastAsia="宋体" w:hAnsi="Times New Roman" w:cs="Times New Roman"/>
          <w:sz w:val="24"/>
          <w:szCs w:val="22"/>
        </w:rPr>
        <w:t>比例提供资金，</w:t>
      </w:r>
      <w:r w:rsidR="00E266A0" w:rsidRPr="004865EF">
        <w:rPr>
          <w:rFonts w:ascii="Times New Roman" w:eastAsia="宋体" w:hAnsi="Times New Roman" w:cs="Times New Roman" w:hint="eastAsia"/>
          <w:sz w:val="24"/>
          <w:szCs w:val="22"/>
        </w:rPr>
        <w:t>具备相应的资金实力，</w:t>
      </w:r>
      <w:r w:rsidR="006B5EB3" w:rsidRPr="004865EF">
        <w:rPr>
          <w:rFonts w:ascii="Times New Roman" w:eastAsia="宋体" w:hAnsi="Times New Roman" w:cs="Times New Roman"/>
          <w:sz w:val="24"/>
          <w:szCs w:val="22"/>
        </w:rPr>
        <w:t>且增资的价格及提供借</w:t>
      </w:r>
      <w:r w:rsidR="006B5EB3" w:rsidRPr="004865EF">
        <w:rPr>
          <w:rFonts w:ascii="Times New Roman" w:eastAsia="宋体" w:hAnsi="Times New Roman" w:cs="Times New Roman"/>
          <w:sz w:val="24"/>
          <w:szCs w:val="22"/>
        </w:rPr>
        <w:lastRenderedPageBreak/>
        <w:t>款的利率、期限等主要条款将与光环新网保持一致，不存在损害上市公司利益的情形。</w:t>
      </w:r>
    </w:p>
    <w:p w14:paraId="531FBC15" w14:textId="77777777" w:rsidR="00E84FF7" w:rsidRPr="004865EF" w:rsidRDefault="00E84FF7" w:rsidP="007449C0">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p>
    <w:p w14:paraId="2CCE1F33" w14:textId="431A344C" w:rsidR="00B4309A" w:rsidRPr="004865EF" w:rsidRDefault="00B4309A" w:rsidP="00181621">
      <w:pPr>
        <w:pStyle w:val="1"/>
        <w:spacing w:before="120"/>
      </w:pPr>
      <w:bookmarkStart w:id="6" w:name="_Toc46013712"/>
      <w:bookmarkStart w:id="7" w:name="_Toc47020537"/>
      <w:r w:rsidRPr="004865EF">
        <w:rPr>
          <w:rFonts w:hint="eastAsia"/>
        </w:rPr>
        <w:t>问题</w:t>
      </w:r>
      <w:r w:rsidRPr="004865EF">
        <w:t>3</w:t>
      </w:r>
      <w:r w:rsidR="0063025B" w:rsidRPr="004865EF">
        <w:t>.</w:t>
      </w:r>
      <w:r w:rsidR="0063025B" w:rsidRPr="004865EF">
        <w:rPr>
          <w:rFonts w:hint="eastAsia"/>
        </w:rPr>
        <w:t>关于</w:t>
      </w:r>
      <w:proofErr w:type="gramStart"/>
      <w:r w:rsidR="0063025B" w:rsidRPr="004865EF">
        <w:t>前次募投项目</w:t>
      </w:r>
      <w:bookmarkEnd w:id="6"/>
      <w:bookmarkEnd w:id="7"/>
      <w:proofErr w:type="gramEnd"/>
    </w:p>
    <w:p w14:paraId="0388792B" w14:textId="7471481A" w:rsidR="00626513" w:rsidRPr="004865EF" w:rsidRDefault="00626513"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hint="eastAsia"/>
          <w:b/>
          <w:sz w:val="24"/>
        </w:rPr>
        <w:t>公司</w:t>
      </w:r>
      <w:r w:rsidRPr="004865EF">
        <w:rPr>
          <w:rFonts w:ascii="黑体" w:eastAsia="黑体" w:hAnsi="黑体"/>
          <w:b/>
          <w:sz w:val="24"/>
        </w:rPr>
        <w:t>2016</w:t>
      </w:r>
      <w:r w:rsidRPr="004865EF">
        <w:rPr>
          <w:rFonts w:ascii="黑体" w:eastAsia="黑体" w:hAnsi="黑体" w:hint="eastAsia"/>
          <w:b/>
          <w:sz w:val="24"/>
        </w:rPr>
        <w:t>年发行股份购买资产的配套融资主要用于绿色</w:t>
      </w:r>
      <w:proofErr w:type="gramStart"/>
      <w:r w:rsidRPr="004865EF">
        <w:rPr>
          <w:rFonts w:ascii="黑体" w:eastAsia="黑体" w:hAnsi="黑体" w:hint="eastAsia"/>
          <w:b/>
          <w:sz w:val="24"/>
        </w:rPr>
        <w:t>云计算</w:t>
      </w:r>
      <w:proofErr w:type="gramEnd"/>
      <w:r w:rsidRPr="004865EF">
        <w:rPr>
          <w:rFonts w:ascii="黑体" w:eastAsia="黑体" w:hAnsi="黑体" w:hint="eastAsia"/>
          <w:b/>
          <w:sz w:val="24"/>
        </w:rPr>
        <w:t>基地项目建设，截至</w:t>
      </w:r>
      <w:r w:rsidRPr="004865EF">
        <w:rPr>
          <w:rFonts w:ascii="黑体" w:eastAsia="黑体" w:hAnsi="黑体"/>
          <w:b/>
          <w:sz w:val="24"/>
        </w:rPr>
        <w:t>2019</w:t>
      </w:r>
      <w:r w:rsidRPr="004865EF">
        <w:rPr>
          <w:rFonts w:ascii="黑体" w:eastAsia="黑体" w:hAnsi="黑体" w:hint="eastAsia"/>
          <w:b/>
          <w:sz w:val="24"/>
        </w:rPr>
        <w:t>年</w:t>
      </w:r>
      <w:r w:rsidRPr="004865EF">
        <w:rPr>
          <w:rFonts w:ascii="黑体" w:eastAsia="黑体" w:hAnsi="黑体"/>
          <w:b/>
          <w:sz w:val="24"/>
        </w:rPr>
        <w:t>12</w:t>
      </w:r>
      <w:r w:rsidRPr="004865EF">
        <w:rPr>
          <w:rFonts w:ascii="黑体" w:eastAsia="黑体" w:hAnsi="黑体" w:hint="eastAsia"/>
          <w:b/>
          <w:sz w:val="24"/>
        </w:rPr>
        <w:t>月</w:t>
      </w:r>
      <w:r w:rsidRPr="004865EF">
        <w:rPr>
          <w:rFonts w:ascii="黑体" w:eastAsia="黑体" w:hAnsi="黑体"/>
          <w:b/>
          <w:sz w:val="24"/>
        </w:rPr>
        <w:t>31</w:t>
      </w:r>
      <w:r w:rsidRPr="004865EF">
        <w:rPr>
          <w:rFonts w:ascii="黑体" w:eastAsia="黑体" w:hAnsi="黑体" w:hint="eastAsia"/>
          <w:b/>
          <w:sz w:val="24"/>
        </w:rPr>
        <w:t>日，前次</w:t>
      </w:r>
      <w:proofErr w:type="gramStart"/>
      <w:r w:rsidRPr="004865EF">
        <w:rPr>
          <w:rFonts w:ascii="黑体" w:eastAsia="黑体" w:hAnsi="黑体" w:hint="eastAsia"/>
          <w:b/>
          <w:sz w:val="24"/>
        </w:rPr>
        <w:t>募投项目</w:t>
      </w:r>
      <w:proofErr w:type="gramEnd"/>
      <w:r w:rsidRPr="004865EF">
        <w:rPr>
          <w:rFonts w:ascii="黑体" w:eastAsia="黑体" w:hAnsi="黑体" w:hint="eastAsia"/>
          <w:b/>
          <w:sz w:val="24"/>
        </w:rPr>
        <w:t>上海嘉定绿色</w:t>
      </w:r>
      <w:proofErr w:type="gramStart"/>
      <w:r w:rsidRPr="004865EF">
        <w:rPr>
          <w:rFonts w:ascii="黑体" w:eastAsia="黑体" w:hAnsi="黑体" w:hint="eastAsia"/>
          <w:b/>
          <w:sz w:val="24"/>
        </w:rPr>
        <w:t>云计算</w:t>
      </w:r>
      <w:proofErr w:type="gramEnd"/>
      <w:r w:rsidRPr="004865EF">
        <w:rPr>
          <w:rFonts w:ascii="黑体" w:eastAsia="黑体" w:hAnsi="黑体" w:hint="eastAsia"/>
          <w:b/>
          <w:sz w:val="24"/>
        </w:rPr>
        <w:t>基地一期和房山绿色</w:t>
      </w:r>
      <w:proofErr w:type="gramStart"/>
      <w:r w:rsidRPr="004865EF">
        <w:rPr>
          <w:rFonts w:ascii="黑体" w:eastAsia="黑体" w:hAnsi="黑体" w:hint="eastAsia"/>
          <w:b/>
          <w:sz w:val="24"/>
        </w:rPr>
        <w:t>云计算</w:t>
      </w:r>
      <w:proofErr w:type="gramEnd"/>
      <w:r w:rsidRPr="004865EF">
        <w:rPr>
          <w:rFonts w:ascii="黑体" w:eastAsia="黑体" w:hAnsi="黑体" w:hint="eastAsia"/>
          <w:b/>
          <w:sz w:val="24"/>
        </w:rPr>
        <w:t>基地一期产能利用率分别为</w:t>
      </w:r>
      <w:r w:rsidRPr="004865EF">
        <w:rPr>
          <w:rFonts w:ascii="黑体" w:eastAsia="黑体" w:hAnsi="黑体"/>
          <w:b/>
          <w:sz w:val="24"/>
        </w:rPr>
        <w:t>78.91%</w:t>
      </w:r>
      <w:r w:rsidRPr="004865EF">
        <w:rPr>
          <w:rFonts w:ascii="黑体" w:eastAsia="黑体" w:hAnsi="黑体" w:hint="eastAsia"/>
          <w:b/>
          <w:sz w:val="24"/>
        </w:rPr>
        <w:t>和</w:t>
      </w:r>
      <w:r w:rsidRPr="004865EF">
        <w:rPr>
          <w:rFonts w:ascii="黑体" w:eastAsia="黑体" w:hAnsi="黑体"/>
          <w:b/>
          <w:sz w:val="24"/>
        </w:rPr>
        <w:t>21.67%</w:t>
      </w:r>
      <w:r w:rsidRPr="004865EF">
        <w:rPr>
          <w:rFonts w:ascii="黑体" w:eastAsia="黑体" w:hAnsi="黑体" w:hint="eastAsia"/>
          <w:b/>
          <w:sz w:val="24"/>
        </w:rPr>
        <w:t>，尚未达到预计产能。</w:t>
      </w:r>
    </w:p>
    <w:p w14:paraId="259D203E" w14:textId="77777777" w:rsidR="00626513" w:rsidRPr="004865EF" w:rsidRDefault="00626513"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b/>
          <w:sz w:val="24"/>
        </w:rPr>
        <w:t>请发行人补充说明：（1）前次</w:t>
      </w:r>
      <w:proofErr w:type="gramStart"/>
      <w:r w:rsidRPr="004865EF">
        <w:rPr>
          <w:rFonts w:ascii="黑体" w:eastAsia="黑体" w:hAnsi="黑体"/>
          <w:b/>
          <w:sz w:val="24"/>
        </w:rPr>
        <w:t>募投项目</w:t>
      </w:r>
      <w:proofErr w:type="gramEnd"/>
      <w:r w:rsidRPr="004865EF">
        <w:rPr>
          <w:rFonts w:ascii="黑体" w:eastAsia="黑体" w:hAnsi="黑体"/>
          <w:b/>
          <w:sz w:val="24"/>
        </w:rPr>
        <w:t>建设进度及效益实现是否符合预期，没有达到预计产能的原因；（2）前次</w:t>
      </w:r>
      <w:proofErr w:type="gramStart"/>
      <w:r w:rsidRPr="004865EF">
        <w:rPr>
          <w:rFonts w:ascii="黑体" w:eastAsia="黑体" w:hAnsi="黑体"/>
          <w:b/>
          <w:sz w:val="24"/>
        </w:rPr>
        <w:t>募投项目</w:t>
      </w:r>
      <w:proofErr w:type="gramEnd"/>
      <w:r w:rsidRPr="004865EF">
        <w:rPr>
          <w:rFonts w:ascii="黑体" w:eastAsia="黑体" w:hAnsi="黑体"/>
          <w:b/>
          <w:sz w:val="24"/>
        </w:rPr>
        <w:t>和本次</w:t>
      </w:r>
      <w:proofErr w:type="gramStart"/>
      <w:r w:rsidRPr="004865EF">
        <w:rPr>
          <w:rFonts w:ascii="黑体" w:eastAsia="黑体" w:hAnsi="黑体"/>
          <w:b/>
          <w:sz w:val="24"/>
        </w:rPr>
        <w:t>募投项目</w:t>
      </w:r>
      <w:proofErr w:type="gramEnd"/>
      <w:r w:rsidRPr="004865EF">
        <w:rPr>
          <w:rFonts w:ascii="黑体" w:eastAsia="黑体" w:hAnsi="黑体"/>
          <w:b/>
          <w:sz w:val="24"/>
        </w:rPr>
        <w:t>的关系，是否存在重复融资的情形。</w:t>
      </w:r>
    </w:p>
    <w:p w14:paraId="17EAB827" w14:textId="77777777" w:rsidR="00626513" w:rsidRPr="004865EF" w:rsidRDefault="00626513"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b/>
          <w:sz w:val="24"/>
        </w:rPr>
        <w:t>请保荐人核查并发表明确意见。</w:t>
      </w:r>
    </w:p>
    <w:p w14:paraId="22A76A8A" w14:textId="77777777"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【回复】</w:t>
      </w:r>
    </w:p>
    <w:p w14:paraId="0BAEF6B8" w14:textId="77777777" w:rsidR="00626513" w:rsidRPr="004865EF" w:rsidRDefault="00626513" w:rsidP="00A66425">
      <w:pPr>
        <w:pStyle w:val="2"/>
      </w:pPr>
      <w:r w:rsidRPr="004865EF">
        <w:t>一、前次</w:t>
      </w:r>
      <w:proofErr w:type="gramStart"/>
      <w:r w:rsidRPr="004865EF">
        <w:t>募投项目</w:t>
      </w:r>
      <w:proofErr w:type="gramEnd"/>
      <w:r w:rsidRPr="004865EF">
        <w:t>建设进度及效益实现是否符合预期，没有达到预计产能的原因</w:t>
      </w:r>
    </w:p>
    <w:p w14:paraId="523BA85D" w14:textId="77777777" w:rsidR="00626513" w:rsidRPr="004865EF" w:rsidRDefault="00626513" w:rsidP="00626513">
      <w:pPr>
        <w:spacing w:beforeLines="50" w:before="120" w:line="360" w:lineRule="auto"/>
        <w:ind w:firstLineChars="200" w:firstLine="482"/>
        <w:rPr>
          <w:rFonts w:ascii="Times New Roman" w:eastAsia="宋体" w:hAnsi="Times New Roman" w:cs="Times New Roman"/>
          <w:b/>
          <w:sz w:val="24"/>
        </w:rPr>
      </w:pPr>
      <w:r w:rsidRPr="004865EF">
        <w:rPr>
          <w:rFonts w:ascii="Times New Roman" w:eastAsia="宋体" w:hAnsi="Times New Roman" w:cs="Times New Roman" w:hint="eastAsia"/>
          <w:b/>
          <w:sz w:val="24"/>
        </w:rPr>
        <w:t>（一）</w:t>
      </w:r>
      <w:proofErr w:type="gramStart"/>
      <w:r w:rsidRPr="004865EF">
        <w:rPr>
          <w:rFonts w:ascii="Times New Roman" w:eastAsia="宋体" w:hAnsi="Times New Roman" w:cs="Times New Roman"/>
          <w:b/>
          <w:sz w:val="24"/>
        </w:rPr>
        <w:t>募投项目</w:t>
      </w:r>
      <w:proofErr w:type="gramEnd"/>
      <w:r w:rsidRPr="004865EF">
        <w:rPr>
          <w:rFonts w:ascii="Times New Roman" w:eastAsia="宋体" w:hAnsi="Times New Roman" w:cs="Times New Roman"/>
          <w:b/>
          <w:sz w:val="24"/>
        </w:rPr>
        <w:t>建设进度</w:t>
      </w:r>
    </w:p>
    <w:p w14:paraId="55B6E87A" w14:textId="7EA609CD"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截至</w:t>
      </w:r>
      <w:r w:rsidRPr="004865EF">
        <w:rPr>
          <w:rFonts w:ascii="Times New Roman" w:eastAsia="宋体" w:hAnsi="Times New Roman" w:cs="Times New Roman"/>
          <w:sz w:val="24"/>
        </w:rPr>
        <w:t>2019</w:t>
      </w:r>
      <w:r w:rsidRPr="004865EF">
        <w:rPr>
          <w:rFonts w:ascii="Times New Roman" w:eastAsia="宋体" w:hAnsi="Times New Roman" w:cs="Times New Roman"/>
          <w:sz w:val="24"/>
        </w:rPr>
        <w:t>年</w:t>
      </w:r>
      <w:r w:rsidRPr="004865EF">
        <w:rPr>
          <w:rFonts w:ascii="Times New Roman" w:eastAsia="宋体" w:hAnsi="Times New Roman" w:cs="Times New Roman"/>
          <w:sz w:val="24"/>
        </w:rPr>
        <w:t>12</w:t>
      </w:r>
      <w:r w:rsidRPr="004865EF">
        <w:rPr>
          <w:rFonts w:ascii="Times New Roman" w:eastAsia="宋体" w:hAnsi="Times New Roman" w:cs="Times New Roman"/>
          <w:sz w:val="24"/>
        </w:rPr>
        <w:t>月</w:t>
      </w:r>
      <w:r w:rsidRPr="004865EF">
        <w:rPr>
          <w:rFonts w:ascii="Times New Roman" w:eastAsia="宋体" w:hAnsi="Times New Roman" w:cs="Times New Roman"/>
          <w:sz w:val="24"/>
        </w:rPr>
        <w:t>31</w:t>
      </w:r>
      <w:r w:rsidRPr="004865EF">
        <w:rPr>
          <w:rFonts w:ascii="Times New Roman" w:eastAsia="宋体" w:hAnsi="Times New Roman" w:cs="Times New Roman"/>
          <w:sz w:val="24"/>
        </w:rPr>
        <w:t>日，</w:t>
      </w:r>
      <w:r w:rsidR="00762E30" w:rsidRPr="004865EF">
        <w:rPr>
          <w:rFonts w:ascii="Times New Roman" w:eastAsia="宋体" w:hAnsi="Times New Roman" w:cs="Times New Roman" w:hint="eastAsia"/>
          <w:sz w:val="24"/>
        </w:rPr>
        <w:t>发行人</w:t>
      </w:r>
      <w:r w:rsidR="00762E30" w:rsidRPr="004865EF">
        <w:rPr>
          <w:rFonts w:ascii="Times New Roman" w:eastAsia="宋体" w:hAnsi="Times New Roman" w:cs="Times New Roman"/>
          <w:sz w:val="24"/>
        </w:rPr>
        <w:t>2016</w:t>
      </w:r>
      <w:r w:rsidR="00762E30" w:rsidRPr="004865EF">
        <w:rPr>
          <w:rFonts w:ascii="Times New Roman" w:eastAsia="宋体" w:hAnsi="Times New Roman" w:cs="Times New Roman"/>
          <w:sz w:val="24"/>
        </w:rPr>
        <w:t>年发行股份及支付现金购买资产并募集的配套资金（以下简称</w:t>
      </w:r>
      <w:r w:rsidR="00762E30" w:rsidRPr="004865EF">
        <w:rPr>
          <w:rFonts w:ascii="Times New Roman" w:eastAsia="宋体" w:hAnsi="Times New Roman" w:cs="Times New Roman" w:hint="eastAsia"/>
          <w:sz w:val="24"/>
        </w:rPr>
        <w:t>“</w:t>
      </w:r>
      <w:r w:rsidR="00762E30" w:rsidRPr="004865EF">
        <w:rPr>
          <w:rFonts w:ascii="Times New Roman" w:eastAsia="宋体" w:hAnsi="Times New Roman" w:cs="Times New Roman"/>
          <w:sz w:val="24"/>
        </w:rPr>
        <w:t>前次发行</w:t>
      </w:r>
      <w:r w:rsidR="00762E30" w:rsidRPr="004865EF">
        <w:rPr>
          <w:rFonts w:ascii="Times New Roman" w:eastAsia="宋体" w:hAnsi="Times New Roman" w:cs="Times New Roman" w:hint="eastAsia"/>
          <w:sz w:val="24"/>
        </w:rPr>
        <w:t>”</w:t>
      </w:r>
      <w:r w:rsidR="00762E30" w:rsidRPr="004865EF">
        <w:rPr>
          <w:rFonts w:ascii="Times New Roman" w:eastAsia="宋体" w:hAnsi="Times New Roman" w:cs="Times New Roman"/>
          <w:sz w:val="24"/>
        </w:rPr>
        <w:t>或</w:t>
      </w:r>
      <w:r w:rsidR="00762E30" w:rsidRPr="004865EF">
        <w:rPr>
          <w:rFonts w:ascii="Times New Roman" w:eastAsia="宋体" w:hAnsi="Times New Roman" w:cs="Times New Roman" w:hint="eastAsia"/>
          <w:sz w:val="24"/>
        </w:rPr>
        <w:t>“</w:t>
      </w:r>
      <w:r w:rsidR="00762E30" w:rsidRPr="004865EF">
        <w:rPr>
          <w:rFonts w:ascii="Times New Roman" w:eastAsia="宋体" w:hAnsi="Times New Roman" w:cs="Times New Roman"/>
          <w:sz w:val="24"/>
        </w:rPr>
        <w:t>前次募投</w:t>
      </w:r>
      <w:r w:rsidR="00762E30" w:rsidRPr="004865EF">
        <w:rPr>
          <w:rFonts w:ascii="Times New Roman" w:eastAsia="宋体" w:hAnsi="Times New Roman" w:cs="Times New Roman" w:hint="eastAsia"/>
          <w:sz w:val="24"/>
        </w:rPr>
        <w:t>”</w:t>
      </w:r>
      <w:r w:rsidR="00762E30" w:rsidRPr="004865EF">
        <w:rPr>
          <w:rFonts w:ascii="Times New Roman" w:eastAsia="宋体" w:hAnsi="Times New Roman" w:cs="Times New Roman"/>
          <w:sz w:val="24"/>
        </w:rPr>
        <w:t>）总体使用情况如下：</w:t>
      </w:r>
    </w:p>
    <w:p w14:paraId="6501715A" w14:textId="77777777" w:rsidR="00626513" w:rsidRPr="004865EF" w:rsidRDefault="00626513" w:rsidP="00626513">
      <w:pPr>
        <w:spacing w:line="360" w:lineRule="auto"/>
        <w:ind w:left="360"/>
        <w:jc w:val="right"/>
        <w:rPr>
          <w:rFonts w:ascii="Times New Roman" w:eastAsia="宋体" w:hAnsi="Times New Roman" w:cs="Times New Roman"/>
          <w:szCs w:val="21"/>
        </w:rPr>
      </w:pPr>
      <w:r w:rsidRPr="004865EF">
        <w:rPr>
          <w:rFonts w:ascii="Times New Roman" w:eastAsia="宋体" w:hAnsi="Times New Roman" w:cs="Times New Roman"/>
          <w:szCs w:val="21"/>
        </w:rPr>
        <w:t>单位：万元</w:t>
      </w:r>
    </w:p>
    <w:tbl>
      <w:tblPr>
        <w:tblW w:w="6444"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5"/>
        <w:gridCol w:w="750"/>
        <w:gridCol w:w="824"/>
        <w:gridCol w:w="1116"/>
        <w:gridCol w:w="1116"/>
        <w:gridCol w:w="1118"/>
        <w:gridCol w:w="1236"/>
        <w:gridCol w:w="83"/>
        <w:gridCol w:w="1112"/>
        <w:gridCol w:w="1116"/>
        <w:gridCol w:w="1131"/>
        <w:gridCol w:w="931"/>
      </w:tblGrid>
      <w:tr w:rsidR="004865EF" w:rsidRPr="004865EF" w14:paraId="20D86FFB" w14:textId="77777777" w:rsidTr="00A66425">
        <w:trPr>
          <w:trHeight w:val="20"/>
          <w:jc w:val="center"/>
        </w:trPr>
        <w:tc>
          <w:tcPr>
            <w:tcW w:w="890"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666C28"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募集资金总额：</w:t>
            </w:r>
          </w:p>
        </w:tc>
        <w:tc>
          <w:tcPr>
            <w:tcW w:w="1537"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B4FE193" w14:textId="77777777" w:rsidR="00626513" w:rsidRPr="004865EF" w:rsidRDefault="00626513"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287,454.52</w:t>
            </w:r>
          </w:p>
        </w:tc>
        <w:tc>
          <w:tcPr>
            <w:tcW w:w="1115"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28D69DF"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已累计使用募集资金总额：</w:t>
            </w:r>
          </w:p>
        </w:tc>
        <w:tc>
          <w:tcPr>
            <w:tcW w:w="1458"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6233C98" w14:textId="77777777" w:rsidR="00626513" w:rsidRPr="004865EF" w:rsidRDefault="00626513"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244,865.74</w:t>
            </w:r>
          </w:p>
        </w:tc>
      </w:tr>
      <w:tr w:rsidR="004865EF" w:rsidRPr="004865EF" w14:paraId="18C73056" w14:textId="77777777" w:rsidTr="00A66425">
        <w:trPr>
          <w:trHeight w:val="20"/>
          <w:jc w:val="center"/>
        </w:trPr>
        <w:tc>
          <w:tcPr>
            <w:tcW w:w="890"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4CC514"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变更用途的募集资金总额：</w:t>
            </w:r>
          </w:p>
        </w:tc>
        <w:tc>
          <w:tcPr>
            <w:tcW w:w="1537"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E316263" w14:textId="38E7FAC4" w:rsidR="00626513" w:rsidRPr="004865EF" w:rsidRDefault="00200E90"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w:t>
            </w:r>
          </w:p>
        </w:tc>
        <w:tc>
          <w:tcPr>
            <w:tcW w:w="2573" w:type="pct"/>
            <w:gridSpan w:val="6"/>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7984CCE"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各年度使用募集资金总额：</w:t>
            </w:r>
          </w:p>
        </w:tc>
      </w:tr>
      <w:tr w:rsidR="004865EF" w:rsidRPr="004865EF" w14:paraId="3C38E6E5" w14:textId="77777777" w:rsidTr="00A66425">
        <w:trPr>
          <w:trHeight w:val="20"/>
          <w:jc w:val="center"/>
        </w:trPr>
        <w:tc>
          <w:tcPr>
            <w:tcW w:w="890" w:type="pct"/>
            <w:gridSpan w:val="3"/>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C96213E"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变更用途的募集资金总额比例：</w:t>
            </w:r>
          </w:p>
        </w:tc>
        <w:tc>
          <w:tcPr>
            <w:tcW w:w="1537" w:type="pct"/>
            <w:gridSpan w:val="3"/>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68624BD" w14:textId="368C0BA4" w:rsidR="00626513" w:rsidRPr="004865EF" w:rsidRDefault="00200E90"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w:t>
            </w:r>
          </w:p>
        </w:tc>
        <w:tc>
          <w:tcPr>
            <w:tcW w:w="605"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33C18A3"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sz w:val="18"/>
                <w:szCs w:val="18"/>
              </w:rPr>
              <w:t>2016</w:t>
            </w:r>
            <w:r w:rsidRPr="004865EF">
              <w:rPr>
                <w:rFonts w:ascii="Times New Roman" w:eastAsia="宋体" w:hAnsi="Times New Roman" w:cs="Times New Roman" w:hint="eastAsia"/>
                <w:sz w:val="18"/>
                <w:szCs w:val="18"/>
              </w:rPr>
              <w:t>年：</w:t>
            </w:r>
          </w:p>
        </w:tc>
        <w:tc>
          <w:tcPr>
            <w:tcW w:w="51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8A04FA"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116,703.46</w:t>
            </w:r>
          </w:p>
        </w:tc>
        <w:tc>
          <w:tcPr>
            <w:tcW w:w="1031"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0EDA38C"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sz w:val="18"/>
                <w:szCs w:val="18"/>
              </w:rPr>
              <w:t>2017</w:t>
            </w:r>
            <w:r w:rsidRPr="004865EF">
              <w:rPr>
                <w:rFonts w:ascii="Times New Roman" w:eastAsia="宋体" w:hAnsi="Times New Roman" w:cs="Times New Roman" w:hint="eastAsia"/>
                <w:sz w:val="18"/>
                <w:szCs w:val="18"/>
              </w:rPr>
              <w:t>年：</w:t>
            </w:r>
          </w:p>
        </w:tc>
        <w:tc>
          <w:tcPr>
            <w:tcW w:w="42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A7D23B"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41,193.68</w:t>
            </w:r>
          </w:p>
        </w:tc>
      </w:tr>
      <w:tr w:rsidR="004865EF" w:rsidRPr="004865EF" w14:paraId="15282F70" w14:textId="77777777" w:rsidTr="00A66425">
        <w:trPr>
          <w:trHeight w:val="20"/>
          <w:jc w:val="center"/>
        </w:trPr>
        <w:tc>
          <w:tcPr>
            <w:tcW w:w="890" w:type="pct"/>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FEACBD" w14:textId="77777777" w:rsidR="00626513" w:rsidRPr="004865EF" w:rsidRDefault="00626513" w:rsidP="00A66425">
            <w:pPr>
              <w:snapToGrid w:val="0"/>
              <w:rPr>
                <w:rFonts w:ascii="Times New Roman" w:eastAsia="宋体" w:hAnsi="Times New Roman" w:cs="Times New Roman"/>
                <w:sz w:val="18"/>
                <w:szCs w:val="18"/>
              </w:rPr>
            </w:pPr>
          </w:p>
        </w:tc>
        <w:tc>
          <w:tcPr>
            <w:tcW w:w="1537" w:type="pct"/>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35CEC9" w14:textId="77777777" w:rsidR="00626513" w:rsidRPr="004865EF" w:rsidRDefault="00626513" w:rsidP="00A66425">
            <w:pPr>
              <w:snapToGrid w:val="0"/>
              <w:rPr>
                <w:rFonts w:ascii="Times New Roman" w:eastAsia="宋体" w:hAnsi="Times New Roman" w:cs="Times New Roman"/>
                <w:sz w:val="18"/>
                <w:szCs w:val="18"/>
              </w:rPr>
            </w:pPr>
          </w:p>
        </w:tc>
        <w:tc>
          <w:tcPr>
            <w:tcW w:w="605"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14AE63C"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sz w:val="18"/>
                <w:szCs w:val="18"/>
              </w:rPr>
              <w:t>2018</w:t>
            </w:r>
            <w:r w:rsidRPr="004865EF">
              <w:rPr>
                <w:rFonts w:ascii="Times New Roman" w:eastAsia="宋体" w:hAnsi="Times New Roman" w:cs="Times New Roman" w:hint="eastAsia"/>
                <w:sz w:val="18"/>
                <w:szCs w:val="18"/>
              </w:rPr>
              <w:t>年：</w:t>
            </w:r>
          </w:p>
        </w:tc>
        <w:tc>
          <w:tcPr>
            <w:tcW w:w="51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6F773F"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57,081.45</w:t>
            </w:r>
          </w:p>
        </w:tc>
        <w:tc>
          <w:tcPr>
            <w:tcW w:w="1031"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C3E717E"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sz w:val="18"/>
                <w:szCs w:val="18"/>
              </w:rPr>
              <w:t>2019</w:t>
            </w:r>
            <w:r w:rsidRPr="004865EF">
              <w:rPr>
                <w:rFonts w:ascii="Times New Roman" w:eastAsia="宋体" w:hAnsi="Times New Roman" w:cs="Times New Roman" w:hint="eastAsia"/>
                <w:sz w:val="18"/>
                <w:szCs w:val="18"/>
              </w:rPr>
              <w:t>年：</w:t>
            </w:r>
          </w:p>
        </w:tc>
        <w:tc>
          <w:tcPr>
            <w:tcW w:w="42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294E529"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29,887.15</w:t>
            </w:r>
          </w:p>
        </w:tc>
      </w:tr>
      <w:tr w:rsidR="004865EF" w:rsidRPr="004865EF" w14:paraId="02CD2A6E" w14:textId="77777777" w:rsidTr="00A66425">
        <w:trPr>
          <w:trHeight w:val="20"/>
          <w:jc w:val="center"/>
        </w:trPr>
        <w:tc>
          <w:tcPr>
            <w:tcW w:w="890"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B0917C"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投资项目</w:t>
            </w:r>
          </w:p>
        </w:tc>
        <w:tc>
          <w:tcPr>
            <w:tcW w:w="1537"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DCA2BEC"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募集资金投资总额</w:t>
            </w:r>
          </w:p>
        </w:tc>
        <w:tc>
          <w:tcPr>
            <w:tcW w:w="2146" w:type="pct"/>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003C976"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截止日募集资金累计投资额</w:t>
            </w:r>
          </w:p>
        </w:tc>
        <w:tc>
          <w:tcPr>
            <w:tcW w:w="426" w:type="pct"/>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hideMark/>
          </w:tcPr>
          <w:p w14:paraId="6C548DB4"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项目达到预定可使用状态日期</w:t>
            </w:r>
          </w:p>
        </w:tc>
      </w:tr>
      <w:tr w:rsidR="004865EF" w:rsidRPr="004865EF" w14:paraId="5B742624" w14:textId="77777777" w:rsidTr="00A66425">
        <w:trPr>
          <w:trHeight w:val="20"/>
          <w:jc w:val="center"/>
        </w:trPr>
        <w:tc>
          <w:tcPr>
            <w:tcW w:w="16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3E17124"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序号</w:t>
            </w:r>
          </w:p>
        </w:tc>
        <w:tc>
          <w:tcPr>
            <w:tcW w:w="34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ABE27E1"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承诺投资项目</w:t>
            </w:r>
          </w:p>
        </w:tc>
        <w:tc>
          <w:tcPr>
            <w:tcW w:w="37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C0CBD40"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实际投资项目</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FC52A47"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募集</w:t>
            </w:r>
            <w:proofErr w:type="gramStart"/>
            <w:r w:rsidRPr="004865EF">
              <w:rPr>
                <w:rFonts w:ascii="Times New Roman" w:eastAsia="宋体" w:hAnsi="Times New Roman" w:cs="Times New Roman" w:hint="eastAsia"/>
                <w:sz w:val="18"/>
                <w:szCs w:val="18"/>
              </w:rPr>
              <w:t>前承诺</w:t>
            </w:r>
            <w:proofErr w:type="gramEnd"/>
            <w:r w:rsidRPr="004865EF">
              <w:rPr>
                <w:rFonts w:ascii="Times New Roman" w:eastAsia="宋体" w:hAnsi="Times New Roman" w:cs="Times New Roman" w:hint="eastAsia"/>
                <w:sz w:val="18"/>
                <w:szCs w:val="18"/>
              </w:rPr>
              <w:t>投资金额</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F39A2C"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募集后承诺投资金额</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16E3C30"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实际投资金额</w:t>
            </w:r>
          </w:p>
        </w:tc>
        <w:tc>
          <w:tcPr>
            <w:tcW w:w="56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D07CBBC"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募集</w:t>
            </w:r>
            <w:proofErr w:type="gramStart"/>
            <w:r w:rsidRPr="004865EF">
              <w:rPr>
                <w:rFonts w:ascii="Times New Roman" w:eastAsia="宋体" w:hAnsi="Times New Roman" w:cs="Times New Roman" w:hint="eastAsia"/>
                <w:sz w:val="18"/>
                <w:szCs w:val="18"/>
              </w:rPr>
              <w:t>前承诺</w:t>
            </w:r>
            <w:proofErr w:type="gramEnd"/>
            <w:r w:rsidRPr="004865EF">
              <w:rPr>
                <w:rFonts w:ascii="Times New Roman" w:eastAsia="宋体" w:hAnsi="Times New Roman" w:cs="Times New Roman" w:hint="eastAsia"/>
                <w:sz w:val="18"/>
                <w:szCs w:val="18"/>
              </w:rPr>
              <w:t>投资金额</w:t>
            </w:r>
          </w:p>
        </w:tc>
        <w:tc>
          <w:tcPr>
            <w:tcW w:w="548"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F1FE461"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募集后承诺投资金额</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5894B75"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实际投资金额</w:t>
            </w:r>
          </w:p>
        </w:tc>
        <w:tc>
          <w:tcPr>
            <w:tcW w:w="51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F20A8C2"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实际投资金额与募集后承诺投资金额的差额</w:t>
            </w:r>
          </w:p>
        </w:tc>
        <w:tc>
          <w:tcPr>
            <w:tcW w:w="426" w:type="pct"/>
            <w:vMerge/>
            <w:tcBorders>
              <w:left w:val="outset" w:sz="6" w:space="0" w:color="auto"/>
              <w:bottom w:val="outset" w:sz="6" w:space="0" w:color="auto"/>
              <w:right w:val="outset" w:sz="6" w:space="0" w:color="auto"/>
            </w:tcBorders>
            <w:shd w:val="clear" w:color="auto" w:fill="FFFFFF"/>
            <w:vAlign w:val="center"/>
            <w:hideMark/>
          </w:tcPr>
          <w:p w14:paraId="02F711D7" w14:textId="77777777" w:rsidR="00626513" w:rsidRPr="004865EF" w:rsidRDefault="00626513" w:rsidP="00A66425">
            <w:pPr>
              <w:snapToGrid w:val="0"/>
              <w:rPr>
                <w:rFonts w:ascii="Times New Roman" w:eastAsia="宋体" w:hAnsi="Times New Roman" w:cs="Times New Roman"/>
                <w:sz w:val="18"/>
                <w:szCs w:val="18"/>
              </w:rPr>
            </w:pPr>
          </w:p>
        </w:tc>
      </w:tr>
      <w:tr w:rsidR="004865EF" w:rsidRPr="004865EF" w14:paraId="0CD071FB" w14:textId="77777777" w:rsidTr="006916B2">
        <w:trPr>
          <w:trHeight w:val="20"/>
          <w:jc w:val="center"/>
        </w:trPr>
        <w:tc>
          <w:tcPr>
            <w:tcW w:w="16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1E82666"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sz w:val="18"/>
                <w:szCs w:val="18"/>
              </w:rPr>
              <w:t>1</w:t>
            </w:r>
          </w:p>
        </w:tc>
        <w:tc>
          <w:tcPr>
            <w:tcW w:w="34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215D014"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重组的现金对价</w:t>
            </w:r>
          </w:p>
        </w:tc>
        <w:tc>
          <w:tcPr>
            <w:tcW w:w="37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9DC4B81"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重组的现金对价</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3499590"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83,200.00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8FB9F42"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83,200.00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819A108"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83,200.00</w:t>
            </w:r>
          </w:p>
        </w:tc>
        <w:tc>
          <w:tcPr>
            <w:tcW w:w="56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A43AC10"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83,200.00</w:t>
            </w:r>
          </w:p>
        </w:tc>
        <w:tc>
          <w:tcPr>
            <w:tcW w:w="548"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12CBAD4"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83,200.00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C0828C3"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83,200.00</w:t>
            </w:r>
          </w:p>
        </w:tc>
        <w:tc>
          <w:tcPr>
            <w:tcW w:w="51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010A133"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0.00</w:t>
            </w:r>
          </w:p>
        </w:tc>
        <w:tc>
          <w:tcPr>
            <w:tcW w:w="42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904EBA2" w14:textId="77777777" w:rsidR="00626513" w:rsidRPr="004865EF" w:rsidRDefault="00626513"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不适用</w:t>
            </w:r>
          </w:p>
        </w:tc>
      </w:tr>
      <w:tr w:rsidR="004865EF" w:rsidRPr="004865EF" w14:paraId="140F489D" w14:textId="77777777" w:rsidTr="006916B2">
        <w:trPr>
          <w:trHeight w:val="20"/>
          <w:jc w:val="center"/>
        </w:trPr>
        <w:tc>
          <w:tcPr>
            <w:tcW w:w="16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3B172A4"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sz w:val="18"/>
                <w:szCs w:val="18"/>
              </w:rPr>
              <w:lastRenderedPageBreak/>
              <w:t>2</w:t>
            </w:r>
          </w:p>
        </w:tc>
        <w:tc>
          <w:tcPr>
            <w:tcW w:w="34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987C9DB"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燕郊绿色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基地二期项目</w:t>
            </w:r>
          </w:p>
        </w:tc>
        <w:tc>
          <w:tcPr>
            <w:tcW w:w="37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57ACF4"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燕郊绿色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基地二期项目</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92D0AD"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22,844.04</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5C53FD"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22,844.04</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B0EF444"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23,395.73</w:t>
            </w:r>
          </w:p>
        </w:tc>
        <w:tc>
          <w:tcPr>
            <w:tcW w:w="56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BDA8FF"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22,844.04</w:t>
            </w:r>
          </w:p>
        </w:tc>
        <w:tc>
          <w:tcPr>
            <w:tcW w:w="548"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0925BD"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22,844.04</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3F99B1A"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23,395.73</w:t>
            </w:r>
          </w:p>
        </w:tc>
        <w:tc>
          <w:tcPr>
            <w:tcW w:w="51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9C00D4F"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551.69</w:t>
            </w:r>
          </w:p>
        </w:tc>
        <w:tc>
          <w:tcPr>
            <w:tcW w:w="42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CB79E0" w14:textId="77777777" w:rsidR="00626513" w:rsidRPr="004865EF" w:rsidRDefault="00626513"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2017</w:t>
            </w:r>
            <w:r w:rsidRPr="004865EF">
              <w:rPr>
                <w:rFonts w:ascii="Times New Roman" w:eastAsia="宋体" w:hAnsi="Times New Roman" w:cs="Times New Roman" w:hint="eastAsia"/>
                <w:sz w:val="18"/>
                <w:szCs w:val="18"/>
              </w:rPr>
              <w:t>年</w:t>
            </w:r>
            <w:r w:rsidRPr="004865EF">
              <w:rPr>
                <w:rFonts w:ascii="Times New Roman" w:eastAsia="宋体" w:hAnsi="Times New Roman" w:cs="Times New Roman"/>
                <w:sz w:val="18"/>
                <w:szCs w:val="18"/>
              </w:rPr>
              <w:t>1</w:t>
            </w:r>
            <w:r w:rsidRPr="004865EF">
              <w:rPr>
                <w:rFonts w:ascii="Times New Roman" w:eastAsia="宋体" w:hAnsi="Times New Roman" w:cs="Times New Roman" w:hint="eastAsia"/>
                <w:sz w:val="18"/>
                <w:szCs w:val="18"/>
              </w:rPr>
              <w:t>月</w:t>
            </w:r>
            <w:r w:rsidRPr="004865EF">
              <w:rPr>
                <w:rFonts w:ascii="Times New Roman" w:eastAsia="宋体" w:hAnsi="Times New Roman" w:cs="Times New Roman"/>
                <w:sz w:val="18"/>
                <w:szCs w:val="18"/>
              </w:rPr>
              <w:t>1</w:t>
            </w:r>
            <w:r w:rsidRPr="004865EF">
              <w:rPr>
                <w:rFonts w:ascii="Times New Roman" w:eastAsia="宋体" w:hAnsi="Times New Roman" w:cs="Times New Roman" w:hint="eastAsia"/>
                <w:sz w:val="18"/>
                <w:szCs w:val="18"/>
              </w:rPr>
              <w:t>日</w:t>
            </w:r>
          </w:p>
        </w:tc>
      </w:tr>
      <w:tr w:rsidR="004865EF" w:rsidRPr="004865EF" w14:paraId="3FE7C01F" w14:textId="77777777" w:rsidTr="006916B2">
        <w:trPr>
          <w:trHeight w:val="20"/>
          <w:jc w:val="center"/>
        </w:trPr>
        <w:tc>
          <w:tcPr>
            <w:tcW w:w="16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617864"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sz w:val="18"/>
                <w:szCs w:val="18"/>
              </w:rPr>
              <w:t>3</w:t>
            </w:r>
          </w:p>
        </w:tc>
        <w:tc>
          <w:tcPr>
            <w:tcW w:w="34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B546780"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上海嘉定绿色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基地一期项目</w:t>
            </w:r>
          </w:p>
        </w:tc>
        <w:tc>
          <w:tcPr>
            <w:tcW w:w="37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01364CE"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上海嘉定绿色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基地一期项目</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30EFB5E"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57,354.83</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0CE1866"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57,354.83</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D8AACF6"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52,396.82</w:t>
            </w:r>
          </w:p>
        </w:tc>
        <w:tc>
          <w:tcPr>
            <w:tcW w:w="56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C1A4424"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57,354.83</w:t>
            </w:r>
          </w:p>
        </w:tc>
        <w:tc>
          <w:tcPr>
            <w:tcW w:w="548"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6B4F850"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57,354.83</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7A6E9BC"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52,396.82</w:t>
            </w:r>
          </w:p>
        </w:tc>
        <w:tc>
          <w:tcPr>
            <w:tcW w:w="51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618E84"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-4,958.01</w:t>
            </w:r>
          </w:p>
        </w:tc>
        <w:tc>
          <w:tcPr>
            <w:tcW w:w="42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A520CB" w14:textId="77777777" w:rsidR="00626513" w:rsidRPr="004865EF" w:rsidRDefault="00626513"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2016</w:t>
            </w:r>
            <w:r w:rsidRPr="004865EF">
              <w:rPr>
                <w:rFonts w:ascii="Times New Roman" w:eastAsia="宋体" w:hAnsi="Times New Roman" w:cs="Times New Roman" w:hint="eastAsia"/>
                <w:sz w:val="18"/>
                <w:szCs w:val="18"/>
              </w:rPr>
              <w:t>年</w:t>
            </w:r>
            <w:r w:rsidRPr="004865EF">
              <w:rPr>
                <w:rFonts w:ascii="Times New Roman" w:eastAsia="宋体" w:hAnsi="Times New Roman" w:cs="Times New Roman"/>
                <w:sz w:val="18"/>
                <w:szCs w:val="18"/>
              </w:rPr>
              <w:t>12</w:t>
            </w:r>
            <w:r w:rsidRPr="004865EF">
              <w:rPr>
                <w:rFonts w:ascii="Times New Roman" w:eastAsia="宋体" w:hAnsi="Times New Roman" w:cs="Times New Roman" w:hint="eastAsia"/>
                <w:sz w:val="18"/>
                <w:szCs w:val="18"/>
              </w:rPr>
              <w:t>月</w:t>
            </w:r>
            <w:r w:rsidRPr="004865EF">
              <w:rPr>
                <w:rFonts w:ascii="Times New Roman" w:eastAsia="宋体" w:hAnsi="Times New Roman" w:cs="Times New Roman"/>
                <w:sz w:val="18"/>
                <w:szCs w:val="18"/>
              </w:rPr>
              <w:t>31</w:t>
            </w:r>
            <w:r w:rsidRPr="004865EF">
              <w:rPr>
                <w:rFonts w:ascii="Times New Roman" w:eastAsia="宋体" w:hAnsi="Times New Roman" w:cs="Times New Roman" w:hint="eastAsia"/>
                <w:sz w:val="18"/>
                <w:szCs w:val="18"/>
              </w:rPr>
              <w:t>日</w:t>
            </w:r>
          </w:p>
        </w:tc>
      </w:tr>
      <w:tr w:rsidR="004865EF" w:rsidRPr="004865EF" w14:paraId="0BAB7997" w14:textId="77777777" w:rsidTr="006916B2">
        <w:trPr>
          <w:trHeight w:val="20"/>
          <w:jc w:val="center"/>
        </w:trPr>
        <w:tc>
          <w:tcPr>
            <w:tcW w:w="16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8C23DD4"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sz w:val="18"/>
                <w:szCs w:val="18"/>
              </w:rPr>
              <w:t>4</w:t>
            </w:r>
          </w:p>
        </w:tc>
        <w:tc>
          <w:tcPr>
            <w:tcW w:w="34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ECABC52"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房山绿色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基地一期项目</w:t>
            </w:r>
          </w:p>
        </w:tc>
        <w:tc>
          <w:tcPr>
            <w:tcW w:w="37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2A74226" w14:textId="77777777" w:rsidR="00626513" w:rsidRPr="004865EF" w:rsidRDefault="00626513"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房山绿色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基地一期项目</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5A173A9"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124,055.65</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DDEFBA8"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124,055.65</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E6906AA"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85,873.19</w:t>
            </w:r>
          </w:p>
        </w:tc>
        <w:tc>
          <w:tcPr>
            <w:tcW w:w="56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E318F28"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124,055.65</w:t>
            </w:r>
          </w:p>
        </w:tc>
        <w:tc>
          <w:tcPr>
            <w:tcW w:w="548"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E4DE4D9"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124,055.65</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D512136"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85,873.19</w:t>
            </w:r>
          </w:p>
        </w:tc>
        <w:tc>
          <w:tcPr>
            <w:tcW w:w="51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C74004A" w14:textId="77777777" w:rsidR="00626513" w:rsidRPr="004865EF" w:rsidRDefault="00626513" w:rsidP="00A66425">
            <w:pPr>
              <w:snapToGrid w:val="0"/>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-38,182.46</w:t>
            </w:r>
          </w:p>
        </w:tc>
        <w:tc>
          <w:tcPr>
            <w:tcW w:w="42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93BF178" w14:textId="77777777" w:rsidR="00626513" w:rsidRPr="004865EF" w:rsidRDefault="00626513"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2019</w:t>
            </w:r>
            <w:r w:rsidRPr="004865EF">
              <w:rPr>
                <w:rFonts w:ascii="Times New Roman" w:eastAsia="宋体" w:hAnsi="Times New Roman" w:cs="Times New Roman" w:hint="eastAsia"/>
                <w:sz w:val="18"/>
                <w:szCs w:val="18"/>
              </w:rPr>
              <w:t>年</w:t>
            </w:r>
            <w:r w:rsidRPr="004865EF">
              <w:rPr>
                <w:rFonts w:ascii="Times New Roman" w:eastAsia="宋体" w:hAnsi="Times New Roman" w:cs="Times New Roman"/>
                <w:sz w:val="18"/>
                <w:szCs w:val="18"/>
              </w:rPr>
              <w:t>6</w:t>
            </w:r>
            <w:r w:rsidRPr="004865EF">
              <w:rPr>
                <w:rFonts w:ascii="Times New Roman" w:eastAsia="宋体" w:hAnsi="Times New Roman" w:cs="Times New Roman" w:hint="eastAsia"/>
                <w:sz w:val="18"/>
                <w:szCs w:val="18"/>
              </w:rPr>
              <w:t>月</w:t>
            </w:r>
            <w:r w:rsidRPr="004865EF">
              <w:rPr>
                <w:rFonts w:ascii="Times New Roman" w:eastAsia="宋体" w:hAnsi="Times New Roman" w:cs="Times New Roman"/>
                <w:sz w:val="18"/>
                <w:szCs w:val="18"/>
              </w:rPr>
              <w:t>30</w:t>
            </w:r>
            <w:r w:rsidRPr="004865EF">
              <w:rPr>
                <w:rFonts w:ascii="Times New Roman" w:eastAsia="宋体" w:hAnsi="Times New Roman" w:cs="Times New Roman" w:hint="eastAsia"/>
                <w:sz w:val="18"/>
                <w:szCs w:val="18"/>
              </w:rPr>
              <w:t>日</w:t>
            </w:r>
          </w:p>
        </w:tc>
      </w:tr>
      <w:tr w:rsidR="004865EF" w:rsidRPr="004865EF" w14:paraId="5855BF88" w14:textId="77777777" w:rsidTr="00A66425">
        <w:trPr>
          <w:trHeight w:val="20"/>
          <w:jc w:val="center"/>
        </w:trPr>
        <w:tc>
          <w:tcPr>
            <w:tcW w:w="890"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C644609" w14:textId="77777777" w:rsidR="00626513" w:rsidRPr="004865EF" w:rsidRDefault="00626513" w:rsidP="00A66425">
            <w:pPr>
              <w:snapToGrid w:val="0"/>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合计</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DDF993E" w14:textId="77777777" w:rsidR="00626513" w:rsidRPr="004865EF" w:rsidRDefault="00626513" w:rsidP="00A66425">
            <w:pPr>
              <w:snapToGrid w:val="0"/>
              <w:jc w:val="right"/>
              <w:rPr>
                <w:rFonts w:ascii="Times New Roman" w:eastAsia="宋体" w:hAnsi="Times New Roman" w:cs="Times New Roman"/>
                <w:b/>
                <w:sz w:val="18"/>
                <w:szCs w:val="18"/>
              </w:rPr>
            </w:pPr>
            <w:r w:rsidRPr="004865EF">
              <w:rPr>
                <w:rFonts w:ascii="Times New Roman" w:eastAsia="宋体" w:hAnsi="Times New Roman" w:cs="Times New Roman"/>
                <w:b/>
                <w:sz w:val="18"/>
                <w:szCs w:val="18"/>
              </w:rPr>
              <w:t>287,454.52</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606AE6C" w14:textId="77777777" w:rsidR="00626513" w:rsidRPr="004865EF" w:rsidRDefault="00626513" w:rsidP="00A66425">
            <w:pPr>
              <w:snapToGrid w:val="0"/>
              <w:jc w:val="right"/>
              <w:rPr>
                <w:rFonts w:ascii="Times New Roman" w:eastAsia="宋体" w:hAnsi="Times New Roman" w:cs="Times New Roman"/>
                <w:b/>
                <w:sz w:val="18"/>
                <w:szCs w:val="18"/>
              </w:rPr>
            </w:pPr>
            <w:r w:rsidRPr="004865EF">
              <w:rPr>
                <w:rFonts w:ascii="Times New Roman" w:eastAsia="宋体" w:hAnsi="Times New Roman" w:cs="Times New Roman"/>
                <w:b/>
                <w:sz w:val="18"/>
                <w:szCs w:val="18"/>
              </w:rPr>
              <w:t>287,454.52</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95E4958" w14:textId="77777777" w:rsidR="00626513" w:rsidRPr="004865EF" w:rsidRDefault="00626513" w:rsidP="00A66425">
            <w:pPr>
              <w:snapToGrid w:val="0"/>
              <w:jc w:val="right"/>
              <w:rPr>
                <w:rFonts w:ascii="Times New Roman" w:eastAsia="宋体" w:hAnsi="Times New Roman" w:cs="Times New Roman"/>
                <w:b/>
                <w:sz w:val="18"/>
                <w:szCs w:val="18"/>
              </w:rPr>
            </w:pPr>
            <w:r w:rsidRPr="004865EF">
              <w:rPr>
                <w:rFonts w:ascii="Times New Roman" w:eastAsia="宋体" w:hAnsi="Times New Roman" w:cs="Times New Roman"/>
                <w:b/>
                <w:sz w:val="18"/>
                <w:szCs w:val="18"/>
              </w:rPr>
              <w:t>244,865.74</w:t>
            </w:r>
          </w:p>
        </w:tc>
        <w:tc>
          <w:tcPr>
            <w:tcW w:w="56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1305BDC" w14:textId="77777777" w:rsidR="00626513" w:rsidRPr="004865EF" w:rsidRDefault="00626513" w:rsidP="00A66425">
            <w:pPr>
              <w:snapToGrid w:val="0"/>
              <w:jc w:val="right"/>
              <w:rPr>
                <w:rFonts w:ascii="Times New Roman" w:eastAsia="宋体" w:hAnsi="Times New Roman" w:cs="Times New Roman"/>
                <w:b/>
                <w:sz w:val="18"/>
                <w:szCs w:val="18"/>
              </w:rPr>
            </w:pPr>
            <w:r w:rsidRPr="004865EF">
              <w:rPr>
                <w:rFonts w:ascii="Times New Roman" w:eastAsia="宋体" w:hAnsi="Times New Roman" w:cs="Times New Roman"/>
                <w:b/>
                <w:sz w:val="18"/>
                <w:szCs w:val="18"/>
              </w:rPr>
              <w:t>287,454.52</w:t>
            </w:r>
          </w:p>
        </w:tc>
        <w:tc>
          <w:tcPr>
            <w:tcW w:w="548"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740C4D0" w14:textId="77777777" w:rsidR="00626513" w:rsidRPr="004865EF" w:rsidRDefault="00626513" w:rsidP="00A66425">
            <w:pPr>
              <w:snapToGrid w:val="0"/>
              <w:jc w:val="right"/>
              <w:rPr>
                <w:rFonts w:ascii="Times New Roman" w:eastAsia="宋体" w:hAnsi="Times New Roman" w:cs="Times New Roman"/>
                <w:b/>
                <w:sz w:val="18"/>
                <w:szCs w:val="18"/>
              </w:rPr>
            </w:pPr>
            <w:r w:rsidRPr="004865EF">
              <w:rPr>
                <w:rFonts w:ascii="Times New Roman" w:eastAsia="宋体" w:hAnsi="Times New Roman" w:cs="Times New Roman"/>
                <w:b/>
                <w:sz w:val="18"/>
                <w:szCs w:val="18"/>
              </w:rPr>
              <w:t>287,454.52</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ACB3AC0" w14:textId="77777777" w:rsidR="00626513" w:rsidRPr="004865EF" w:rsidRDefault="00626513" w:rsidP="00A66425">
            <w:pPr>
              <w:snapToGrid w:val="0"/>
              <w:jc w:val="right"/>
              <w:rPr>
                <w:rFonts w:ascii="Times New Roman" w:eastAsia="宋体" w:hAnsi="Times New Roman" w:cs="Times New Roman"/>
                <w:b/>
                <w:sz w:val="18"/>
                <w:szCs w:val="18"/>
              </w:rPr>
            </w:pPr>
            <w:r w:rsidRPr="004865EF">
              <w:rPr>
                <w:rFonts w:ascii="Times New Roman" w:eastAsia="宋体" w:hAnsi="Times New Roman" w:cs="Times New Roman"/>
                <w:b/>
                <w:sz w:val="18"/>
                <w:szCs w:val="18"/>
              </w:rPr>
              <w:t>244,865.74</w:t>
            </w:r>
          </w:p>
        </w:tc>
        <w:tc>
          <w:tcPr>
            <w:tcW w:w="51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199BF39" w14:textId="77777777" w:rsidR="00626513" w:rsidRPr="004865EF" w:rsidRDefault="00626513" w:rsidP="00A66425">
            <w:pPr>
              <w:snapToGrid w:val="0"/>
              <w:jc w:val="right"/>
              <w:rPr>
                <w:rFonts w:ascii="Times New Roman" w:eastAsia="宋体" w:hAnsi="Times New Roman" w:cs="Times New Roman"/>
                <w:b/>
                <w:sz w:val="18"/>
                <w:szCs w:val="18"/>
              </w:rPr>
            </w:pPr>
            <w:r w:rsidRPr="004865EF">
              <w:rPr>
                <w:rFonts w:ascii="Times New Roman" w:eastAsia="宋体" w:hAnsi="Times New Roman" w:cs="Times New Roman"/>
                <w:b/>
                <w:sz w:val="18"/>
                <w:szCs w:val="18"/>
              </w:rPr>
              <w:t>-42,588.78</w:t>
            </w:r>
          </w:p>
        </w:tc>
        <w:tc>
          <w:tcPr>
            <w:tcW w:w="42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249E7FE" w14:textId="77777777" w:rsidR="00626513" w:rsidRPr="004865EF" w:rsidRDefault="00626513" w:rsidP="00A66425">
            <w:pPr>
              <w:snapToGrid w:val="0"/>
              <w:rPr>
                <w:rFonts w:ascii="Times New Roman" w:eastAsia="宋体" w:hAnsi="Times New Roman" w:cs="Times New Roman"/>
                <w:b/>
                <w:sz w:val="18"/>
                <w:szCs w:val="18"/>
              </w:rPr>
            </w:pPr>
          </w:p>
        </w:tc>
      </w:tr>
    </w:tbl>
    <w:p w14:paraId="6CA1B073" w14:textId="77777777"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截至</w:t>
      </w:r>
      <w:r w:rsidRPr="004865EF">
        <w:rPr>
          <w:rFonts w:ascii="Times New Roman" w:eastAsia="宋体" w:hAnsi="Times New Roman" w:cs="Times New Roman"/>
          <w:sz w:val="24"/>
        </w:rPr>
        <w:t>2019</w:t>
      </w:r>
      <w:r w:rsidRPr="004865EF">
        <w:rPr>
          <w:rFonts w:ascii="Times New Roman" w:eastAsia="宋体" w:hAnsi="Times New Roman" w:cs="Times New Roman"/>
          <w:sz w:val="24"/>
        </w:rPr>
        <w:t>年</w:t>
      </w:r>
      <w:r w:rsidRPr="004865EF">
        <w:rPr>
          <w:rFonts w:ascii="Times New Roman" w:eastAsia="宋体" w:hAnsi="Times New Roman" w:cs="Times New Roman"/>
          <w:sz w:val="24"/>
        </w:rPr>
        <w:t>12</w:t>
      </w:r>
      <w:r w:rsidRPr="004865EF">
        <w:rPr>
          <w:rFonts w:ascii="Times New Roman" w:eastAsia="宋体" w:hAnsi="Times New Roman" w:cs="Times New Roman"/>
          <w:sz w:val="24"/>
        </w:rPr>
        <w:t>月</w:t>
      </w:r>
      <w:r w:rsidRPr="004865EF">
        <w:rPr>
          <w:rFonts w:ascii="Times New Roman" w:eastAsia="宋体" w:hAnsi="Times New Roman" w:cs="Times New Roman"/>
          <w:sz w:val="24"/>
        </w:rPr>
        <w:t>31</w:t>
      </w:r>
      <w:r w:rsidRPr="004865EF">
        <w:rPr>
          <w:rFonts w:ascii="Times New Roman" w:eastAsia="宋体" w:hAnsi="Times New Roman" w:cs="Times New Roman"/>
          <w:sz w:val="24"/>
        </w:rPr>
        <w:t>日，公司实际使用募集资金共计</w:t>
      </w:r>
      <w:r w:rsidRPr="004865EF">
        <w:rPr>
          <w:rFonts w:ascii="Times New Roman" w:eastAsia="宋体" w:hAnsi="Times New Roman" w:cs="Times New Roman"/>
          <w:sz w:val="24"/>
        </w:rPr>
        <w:t>244,865.74</w:t>
      </w:r>
      <w:r w:rsidRPr="004865EF">
        <w:rPr>
          <w:rFonts w:ascii="Times New Roman" w:eastAsia="宋体" w:hAnsi="Times New Roman" w:cs="Times New Roman"/>
          <w:sz w:val="24"/>
        </w:rPr>
        <w:t>万元。其中各</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进展情况如下：</w:t>
      </w:r>
    </w:p>
    <w:p w14:paraId="11FB2923" w14:textId="77777777" w:rsidR="00626513" w:rsidRPr="004865EF" w:rsidRDefault="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1</w:t>
      </w: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2016</w:t>
      </w:r>
      <w:r w:rsidRPr="004865EF">
        <w:rPr>
          <w:rFonts w:ascii="Times New Roman" w:eastAsia="宋体" w:hAnsi="Times New Roman" w:cs="Times New Roman"/>
          <w:sz w:val="24"/>
        </w:rPr>
        <w:t>年重组的现金对价总额</w:t>
      </w:r>
      <w:r w:rsidRPr="004865EF">
        <w:rPr>
          <w:rFonts w:ascii="Times New Roman" w:eastAsia="宋体" w:hAnsi="Times New Roman" w:cs="Times New Roman"/>
          <w:sz w:val="24"/>
        </w:rPr>
        <w:t>83,200</w:t>
      </w:r>
      <w:r w:rsidRPr="004865EF">
        <w:rPr>
          <w:rFonts w:ascii="Times New Roman" w:eastAsia="宋体" w:hAnsi="Times New Roman" w:cs="Times New Roman"/>
          <w:sz w:val="24"/>
        </w:rPr>
        <w:t>万元，截至</w:t>
      </w:r>
      <w:r w:rsidRPr="004865EF">
        <w:rPr>
          <w:rFonts w:ascii="Times New Roman" w:eastAsia="宋体" w:hAnsi="Times New Roman" w:cs="Times New Roman"/>
          <w:sz w:val="24"/>
        </w:rPr>
        <w:t>2019</w:t>
      </w:r>
      <w:r w:rsidRPr="004865EF">
        <w:rPr>
          <w:rFonts w:ascii="Times New Roman" w:eastAsia="宋体" w:hAnsi="Times New Roman" w:cs="Times New Roman"/>
          <w:sz w:val="24"/>
        </w:rPr>
        <w:t>年</w:t>
      </w:r>
      <w:r w:rsidRPr="004865EF">
        <w:rPr>
          <w:rFonts w:ascii="Times New Roman" w:eastAsia="宋体" w:hAnsi="Times New Roman" w:cs="Times New Roman"/>
          <w:sz w:val="24"/>
        </w:rPr>
        <w:t>12</w:t>
      </w:r>
      <w:r w:rsidRPr="004865EF">
        <w:rPr>
          <w:rFonts w:ascii="Times New Roman" w:eastAsia="宋体" w:hAnsi="Times New Roman" w:cs="Times New Roman"/>
          <w:sz w:val="24"/>
        </w:rPr>
        <w:t>月</w:t>
      </w:r>
      <w:r w:rsidRPr="004865EF">
        <w:rPr>
          <w:rFonts w:ascii="Times New Roman" w:eastAsia="宋体" w:hAnsi="Times New Roman" w:cs="Times New Roman"/>
          <w:sz w:val="24"/>
        </w:rPr>
        <w:t>31</w:t>
      </w:r>
      <w:r w:rsidRPr="004865EF">
        <w:rPr>
          <w:rFonts w:ascii="Times New Roman" w:eastAsia="宋体" w:hAnsi="Times New Roman" w:cs="Times New Roman"/>
          <w:sz w:val="24"/>
        </w:rPr>
        <w:t>日累计支付现金对价</w:t>
      </w:r>
      <w:r w:rsidRPr="004865EF">
        <w:rPr>
          <w:rFonts w:ascii="Times New Roman" w:eastAsia="宋体" w:hAnsi="Times New Roman" w:cs="Times New Roman"/>
          <w:sz w:val="24"/>
        </w:rPr>
        <w:t>83,200</w:t>
      </w:r>
      <w:r w:rsidRPr="004865EF">
        <w:rPr>
          <w:rFonts w:ascii="Times New Roman" w:eastAsia="宋体" w:hAnsi="Times New Roman" w:cs="Times New Roman"/>
          <w:sz w:val="24"/>
        </w:rPr>
        <w:t>万元</w:t>
      </w:r>
      <w:r w:rsidRPr="004865EF">
        <w:rPr>
          <w:rFonts w:ascii="Times New Roman" w:eastAsia="宋体" w:hAnsi="Times New Roman" w:cs="Times New Roman" w:hint="eastAsia"/>
          <w:sz w:val="24"/>
        </w:rPr>
        <w:t>，且标的资产已完成过户，项目进度与计划一致。</w:t>
      </w:r>
    </w:p>
    <w:p w14:paraId="3C568BF9" w14:textId="13A7FECA" w:rsidR="00626513" w:rsidRPr="004865EF" w:rsidRDefault="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2</w:t>
      </w: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燕郊绿色</w:t>
      </w:r>
      <w:proofErr w:type="gramStart"/>
      <w:r w:rsidRPr="004865EF">
        <w:rPr>
          <w:rFonts w:ascii="Times New Roman" w:eastAsia="宋体" w:hAnsi="Times New Roman" w:cs="Times New Roman"/>
          <w:sz w:val="24"/>
        </w:rPr>
        <w:t>云计算</w:t>
      </w:r>
      <w:proofErr w:type="gramEnd"/>
      <w:r w:rsidRPr="004865EF">
        <w:rPr>
          <w:rFonts w:ascii="Times New Roman" w:eastAsia="宋体" w:hAnsi="Times New Roman" w:cs="Times New Roman"/>
          <w:sz w:val="24"/>
        </w:rPr>
        <w:t>基地二期项目总投资</w:t>
      </w:r>
      <w:r w:rsidRPr="004865EF">
        <w:rPr>
          <w:rFonts w:ascii="Times New Roman" w:eastAsia="宋体" w:hAnsi="Times New Roman" w:cs="Times New Roman"/>
          <w:sz w:val="24"/>
        </w:rPr>
        <w:t>22,844.04</w:t>
      </w:r>
      <w:r w:rsidRPr="004865EF">
        <w:rPr>
          <w:rFonts w:ascii="Times New Roman" w:eastAsia="宋体" w:hAnsi="Times New Roman" w:cs="Times New Roman"/>
          <w:sz w:val="24"/>
        </w:rPr>
        <w:t>万元</w:t>
      </w:r>
      <w:r w:rsidR="00216C17" w:rsidRPr="004865EF">
        <w:rPr>
          <w:rFonts w:ascii="Times New Roman" w:eastAsia="宋体" w:hAnsi="Times New Roman" w:cs="Times New Roman" w:hint="eastAsia"/>
          <w:sz w:val="24"/>
        </w:rPr>
        <w:t>。</w:t>
      </w:r>
      <w:r w:rsidR="00216C17" w:rsidRPr="004865EF">
        <w:rPr>
          <w:rFonts w:ascii="Times New Roman" w:eastAsia="宋体" w:hAnsi="Times New Roman" w:cs="Times New Roman"/>
          <w:kern w:val="0"/>
          <w:sz w:val="24"/>
          <w:lang w:val="zh-CN"/>
        </w:rPr>
        <w:t>截至</w:t>
      </w:r>
      <w:r w:rsidR="00216C17" w:rsidRPr="004865EF">
        <w:rPr>
          <w:rFonts w:ascii="Times New Roman" w:eastAsia="宋体" w:hAnsi="Times New Roman" w:cs="Times New Roman"/>
          <w:kern w:val="0"/>
          <w:sz w:val="24"/>
          <w:lang w:val="zh-CN"/>
        </w:rPr>
        <w:t>2019</w:t>
      </w:r>
      <w:r w:rsidR="00216C17" w:rsidRPr="004865EF">
        <w:rPr>
          <w:rFonts w:ascii="Times New Roman" w:eastAsia="宋体" w:hAnsi="Times New Roman" w:cs="Times New Roman"/>
          <w:kern w:val="0"/>
          <w:sz w:val="24"/>
          <w:lang w:val="zh-CN"/>
        </w:rPr>
        <w:t>年末，</w:t>
      </w:r>
      <w:r w:rsidR="00216C17" w:rsidRPr="004865EF">
        <w:rPr>
          <w:rFonts w:ascii="Times New Roman" w:eastAsia="宋体" w:hAnsi="Times New Roman" w:cs="Times New Roman"/>
          <w:sz w:val="24"/>
        </w:rPr>
        <w:t>燕郊绿色</w:t>
      </w:r>
      <w:proofErr w:type="gramStart"/>
      <w:r w:rsidR="00216C17" w:rsidRPr="004865EF">
        <w:rPr>
          <w:rFonts w:ascii="Times New Roman" w:eastAsia="宋体" w:hAnsi="Times New Roman" w:cs="Times New Roman"/>
          <w:sz w:val="24"/>
        </w:rPr>
        <w:t>云计算</w:t>
      </w:r>
      <w:proofErr w:type="gramEnd"/>
      <w:r w:rsidR="00216C17" w:rsidRPr="004865EF">
        <w:rPr>
          <w:rFonts w:ascii="Times New Roman" w:eastAsia="宋体" w:hAnsi="Times New Roman" w:cs="Times New Roman"/>
          <w:sz w:val="24"/>
        </w:rPr>
        <w:t>基地二期项目已完成</w:t>
      </w:r>
      <w:r w:rsidR="00216C17" w:rsidRPr="004865EF">
        <w:rPr>
          <w:rFonts w:ascii="Times New Roman" w:eastAsia="宋体" w:hAnsi="Times New Roman" w:cs="Times New Roman"/>
          <w:kern w:val="0"/>
          <w:sz w:val="24"/>
          <w:lang w:val="zh-CN"/>
        </w:rPr>
        <w:t>全部建设</w:t>
      </w:r>
      <w:r w:rsidR="00216C17" w:rsidRPr="004865EF">
        <w:rPr>
          <w:rFonts w:ascii="Times New Roman" w:eastAsia="宋体" w:hAnsi="Times New Roman" w:cs="Times New Roman" w:hint="eastAsia"/>
          <w:sz w:val="24"/>
        </w:rPr>
        <w:t>，</w:t>
      </w:r>
      <w:r w:rsidR="00216C17" w:rsidRPr="004865EF">
        <w:rPr>
          <w:rFonts w:ascii="Times New Roman" w:eastAsia="宋体" w:hAnsi="Times New Roman" w:cs="Times New Roman"/>
          <w:sz w:val="24"/>
        </w:rPr>
        <w:t>累计投入</w:t>
      </w:r>
      <w:r w:rsidR="00216C17" w:rsidRPr="004865EF">
        <w:rPr>
          <w:rFonts w:ascii="Times New Roman" w:eastAsia="宋体" w:hAnsi="Times New Roman" w:cs="Times New Roman" w:hint="eastAsia"/>
          <w:sz w:val="24"/>
        </w:rPr>
        <w:t>资金</w:t>
      </w:r>
      <w:r w:rsidR="00216C17" w:rsidRPr="004865EF">
        <w:rPr>
          <w:rFonts w:ascii="Times New Roman" w:eastAsia="宋体" w:hAnsi="Times New Roman" w:cs="Times New Roman"/>
          <w:sz w:val="24"/>
        </w:rPr>
        <w:t>23,395.73</w:t>
      </w:r>
      <w:r w:rsidR="00216C17" w:rsidRPr="004865EF">
        <w:rPr>
          <w:rFonts w:ascii="Times New Roman" w:eastAsia="宋体" w:hAnsi="Times New Roman" w:cs="Times New Roman"/>
          <w:sz w:val="24"/>
        </w:rPr>
        <w:t>万元，</w:t>
      </w:r>
      <w:r w:rsidR="00216C17" w:rsidRPr="004865EF">
        <w:rPr>
          <w:rFonts w:ascii="Times New Roman" w:eastAsia="宋体" w:hAnsi="Times New Roman" w:cs="Times New Roman" w:hint="eastAsia"/>
          <w:sz w:val="24"/>
        </w:rPr>
        <w:t>资金支付比例</w:t>
      </w:r>
      <w:r w:rsidR="00216C17" w:rsidRPr="004865EF">
        <w:rPr>
          <w:rFonts w:ascii="Times New Roman" w:eastAsia="宋体" w:hAnsi="Times New Roman" w:cs="Times New Roman"/>
          <w:sz w:val="24"/>
        </w:rPr>
        <w:t>102.42%</w:t>
      </w:r>
      <w:r w:rsidR="00216C17" w:rsidRPr="004865EF">
        <w:rPr>
          <w:rFonts w:ascii="Times New Roman" w:eastAsia="宋体" w:hAnsi="Times New Roman" w:cs="Times New Roman"/>
          <w:sz w:val="24"/>
        </w:rPr>
        <w:t>，</w:t>
      </w:r>
      <w:r w:rsidR="00216C17" w:rsidRPr="004865EF">
        <w:rPr>
          <w:rFonts w:ascii="Times New Roman" w:eastAsia="宋体" w:hAnsi="Times New Roman" w:cs="Times New Roman" w:hint="eastAsia"/>
          <w:sz w:val="24"/>
        </w:rPr>
        <w:t>项目建设进度符合预期。</w:t>
      </w:r>
    </w:p>
    <w:p w14:paraId="383824AF" w14:textId="36E67CBA" w:rsidR="00216C17" w:rsidRPr="004865EF" w:rsidRDefault="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3</w:t>
      </w: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上海嘉定绿色</w:t>
      </w:r>
      <w:proofErr w:type="gramStart"/>
      <w:r w:rsidRPr="004865EF">
        <w:rPr>
          <w:rFonts w:ascii="Times New Roman" w:eastAsia="宋体" w:hAnsi="Times New Roman" w:cs="Times New Roman"/>
          <w:sz w:val="24"/>
        </w:rPr>
        <w:t>云计算</w:t>
      </w:r>
      <w:proofErr w:type="gramEnd"/>
      <w:r w:rsidRPr="004865EF">
        <w:rPr>
          <w:rFonts w:ascii="Times New Roman" w:eastAsia="宋体" w:hAnsi="Times New Roman" w:cs="Times New Roman"/>
          <w:sz w:val="24"/>
        </w:rPr>
        <w:t>基地一期项目总投资</w:t>
      </w:r>
      <w:r w:rsidRPr="004865EF">
        <w:rPr>
          <w:rFonts w:ascii="Times New Roman" w:eastAsia="宋体" w:hAnsi="Times New Roman" w:cs="Times New Roman"/>
          <w:sz w:val="24"/>
        </w:rPr>
        <w:t>57,354.83</w:t>
      </w:r>
      <w:r w:rsidRPr="004865EF">
        <w:rPr>
          <w:rFonts w:ascii="Times New Roman" w:eastAsia="宋体" w:hAnsi="Times New Roman" w:cs="Times New Roman"/>
          <w:sz w:val="24"/>
        </w:rPr>
        <w:t>万元</w:t>
      </w:r>
      <w:r w:rsidR="00216C17" w:rsidRPr="004865EF">
        <w:rPr>
          <w:rFonts w:ascii="Times New Roman" w:eastAsia="宋体" w:hAnsi="Times New Roman" w:cs="Times New Roman" w:hint="eastAsia"/>
          <w:sz w:val="24"/>
        </w:rPr>
        <w:t>。</w:t>
      </w:r>
      <w:r w:rsidR="00216C17" w:rsidRPr="004865EF">
        <w:rPr>
          <w:rFonts w:ascii="Times New Roman" w:eastAsia="宋体" w:hAnsi="Times New Roman" w:cs="Times New Roman"/>
          <w:kern w:val="0"/>
          <w:sz w:val="24"/>
          <w:lang w:val="zh-CN"/>
        </w:rPr>
        <w:t>截至</w:t>
      </w:r>
      <w:r w:rsidR="00216C17" w:rsidRPr="004865EF">
        <w:rPr>
          <w:rFonts w:ascii="Times New Roman" w:eastAsia="宋体" w:hAnsi="Times New Roman" w:cs="Times New Roman"/>
          <w:kern w:val="0"/>
          <w:sz w:val="24"/>
          <w:lang w:val="zh-CN"/>
        </w:rPr>
        <w:t>2019</w:t>
      </w:r>
      <w:r w:rsidR="00216C17" w:rsidRPr="004865EF">
        <w:rPr>
          <w:rFonts w:ascii="Times New Roman" w:eastAsia="宋体" w:hAnsi="Times New Roman" w:cs="Times New Roman"/>
          <w:kern w:val="0"/>
          <w:sz w:val="24"/>
          <w:lang w:val="zh-CN"/>
        </w:rPr>
        <w:t>年末，</w:t>
      </w:r>
      <w:r w:rsidR="00216C17" w:rsidRPr="004865EF">
        <w:rPr>
          <w:rFonts w:ascii="Times New Roman" w:eastAsia="宋体" w:hAnsi="Times New Roman" w:cs="Times New Roman"/>
          <w:sz w:val="24"/>
        </w:rPr>
        <w:t>上海嘉定绿色</w:t>
      </w:r>
      <w:proofErr w:type="gramStart"/>
      <w:r w:rsidR="00216C17" w:rsidRPr="004865EF">
        <w:rPr>
          <w:rFonts w:ascii="Times New Roman" w:eastAsia="宋体" w:hAnsi="Times New Roman" w:cs="Times New Roman"/>
          <w:sz w:val="24"/>
        </w:rPr>
        <w:t>云计算</w:t>
      </w:r>
      <w:proofErr w:type="gramEnd"/>
      <w:r w:rsidR="00216C17" w:rsidRPr="004865EF">
        <w:rPr>
          <w:rFonts w:ascii="Times New Roman" w:eastAsia="宋体" w:hAnsi="Times New Roman" w:cs="Times New Roman"/>
          <w:sz w:val="24"/>
        </w:rPr>
        <w:t>基地一期项目已完成</w:t>
      </w:r>
      <w:r w:rsidR="00216C17" w:rsidRPr="004865EF">
        <w:rPr>
          <w:rFonts w:ascii="Times New Roman" w:eastAsia="宋体" w:hAnsi="Times New Roman" w:cs="Times New Roman"/>
          <w:kern w:val="0"/>
          <w:sz w:val="24"/>
          <w:lang w:val="zh-CN"/>
        </w:rPr>
        <w:t>全部建设，</w:t>
      </w:r>
      <w:r w:rsidR="00216C17" w:rsidRPr="004865EF">
        <w:rPr>
          <w:rFonts w:ascii="Times New Roman" w:eastAsia="宋体" w:hAnsi="Times New Roman" w:cs="Times New Roman" w:hint="eastAsia"/>
          <w:kern w:val="0"/>
          <w:sz w:val="24"/>
          <w:lang w:val="zh-CN"/>
        </w:rPr>
        <w:t>累计投入资金</w:t>
      </w:r>
      <w:r w:rsidR="00216C17" w:rsidRPr="004865EF">
        <w:rPr>
          <w:rFonts w:ascii="Times New Roman" w:eastAsia="宋体" w:hAnsi="Times New Roman" w:cs="Times New Roman"/>
          <w:sz w:val="24"/>
        </w:rPr>
        <w:t>52,396.82</w:t>
      </w:r>
      <w:r w:rsidR="00216C17" w:rsidRPr="004865EF">
        <w:rPr>
          <w:rFonts w:ascii="Times New Roman" w:eastAsia="宋体" w:hAnsi="Times New Roman" w:cs="Times New Roman"/>
          <w:sz w:val="24"/>
        </w:rPr>
        <w:t>万元，</w:t>
      </w:r>
      <w:r w:rsidR="00216C17" w:rsidRPr="004865EF">
        <w:rPr>
          <w:rFonts w:ascii="Times New Roman" w:eastAsia="宋体" w:hAnsi="Times New Roman" w:cs="Times New Roman" w:hint="eastAsia"/>
          <w:sz w:val="24"/>
        </w:rPr>
        <w:t>资金支付比例</w:t>
      </w:r>
      <w:r w:rsidR="00216C17" w:rsidRPr="004865EF">
        <w:rPr>
          <w:rFonts w:ascii="Times New Roman" w:eastAsia="宋体" w:hAnsi="Times New Roman" w:cs="Times New Roman"/>
          <w:sz w:val="24"/>
        </w:rPr>
        <w:t>91.36%</w:t>
      </w:r>
      <w:r w:rsidR="00216C17" w:rsidRPr="004865EF">
        <w:rPr>
          <w:rFonts w:ascii="Times New Roman" w:eastAsia="宋体" w:hAnsi="Times New Roman" w:cs="Times New Roman"/>
          <w:sz w:val="24"/>
        </w:rPr>
        <w:t>，</w:t>
      </w:r>
      <w:r w:rsidR="00216C17" w:rsidRPr="004865EF">
        <w:rPr>
          <w:rFonts w:ascii="Times New Roman" w:eastAsia="宋体" w:hAnsi="Times New Roman" w:cs="Times New Roman" w:hint="eastAsia"/>
          <w:sz w:val="24"/>
        </w:rPr>
        <w:t>项目建设进度符合预期。</w:t>
      </w:r>
    </w:p>
    <w:p w14:paraId="61CF00CB" w14:textId="150D09CD" w:rsidR="00626513" w:rsidRPr="004865EF" w:rsidRDefault="00626513" w:rsidP="00A66425">
      <w:pPr>
        <w:spacing w:beforeLines="50" w:before="120" w:line="360" w:lineRule="auto"/>
        <w:ind w:firstLineChars="200" w:firstLine="480"/>
        <w:rPr>
          <w:rFonts w:ascii="Times New Roman" w:eastAsia="宋体" w:hAnsi="Times New Roman" w:cs="Times New Roman"/>
          <w:kern w:val="0"/>
          <w:sz w:val="24"/>
          <w:lang w:val="zh-CN"/>
        </w:rPr>
      </w:pPr>
      <w:r w:rsidRPr="004865EF">
        <w:rPr>
          <w:rFonts w:ascii="Times New Roman" w:eastAsia="宋体" w:hAnsi="Times New Roman" w:cs="Times New Roman" w:hint="eastAsia"/>
          <w:sz w:val="24"/>
        </w:rPr>
        <w:t>4</w:t>
      </w: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房山绿色</w:t>
      </w:r>
      <w:proofErr w:type="gramStart"/>
      <w:r w:rsidRPr="004865EF">
        <w:rPr>
          <w:rFonts w:ascii="Times New Roman" w:eastAsia="宋体" w:hAnsi="Times New Roman" w:cs="Times New Roman"/>
          <w:sz w:val="24"/>
        </w:rPr>
        <w:t>云计算</w:t>
      </w:r>
      <w:proofErr w:type="gramEnd"/>
      <w:r w:rsidRPr="004865EF">
        <w:rPr>
          <w:rFonts w:ascii="Times New Roman" w:eastAsia="宋体" w:hAnsi="Times New Roman" w:cs="Times New Roman"/>
          <w:sz w:val="24"/>
        </w:rPr>
        <w:t>基地一期项目总投资</w:t>
      </w:r>
      <w:r w:rsidRPr="004865EF">
        <w:rPr>
          <w:rFonts w:ascii="Times New Roman" w:eastAsia="宋体" w:hAnsi="Times New Roman" w:cs="Times New Roman"/>
          <w:sz w:val="24"/>
        </w:rPr>
        <w:t>124,055.65</w:t>
      </w:r>
      <w:r w:rsidRPr="004865EF">
        <w:rPr>
          <w:rFonts w:ascii="Times New Roman" w:eastAsia="宋体" w:hAnsi="Times New Roman" w:cs="Times New Roman"/>
          <w:sz w:val="24"/>
        </w:rPr>
        <w:t>万元</w:t>
      </w:r>
      <w:r w:rsidR="00216C17" w:rsidRPr="004865EF">
        <w:rPr>
          <w:rFonts w:ascii="Times New Roman" w:eastAsia="宋体" w:hAnsi="Times New Roman" w:cs="Times New Roman"/>
          <w:sz w:val="24"/>
        </w:rPr>
        <w:t>。</w:t>
      </w:r>
      <w:r w:rsidR="00216C17" w:rsidRPr="004865EF">
        <w:rPr>
          <w:rFonts w:ascii="Times New Roman" w:eastAsia="宋体" w:hAnsi="Times New Roman" w:cs="Times New Roman"/>
          <w:kern w:val="0"/>
          <w:sz w:val="24"/>
          <w:lang w:val="zh-CN"/>
        </w:rPr>
        <w:t>截至</w:t>
      </w:r>
      <w:r w:rsidR="00216C17" w:rsidRPr="004865EF">
        <w:rPr>
          <w:rFonts w:ascii="Times New Roman" w:eastAsia="宋体" w:hAnsi="Times New Roman" w:cs="Times New Roman"/>
          <w:kern w:val="0"/>
          <w:sz w:val="24"/>
          <w:lang w:val="zh-CN"/>
        </w:rPr>
        <w:t>2019</w:t>
      </w:r>
      <w:r w:rsidR="00216C17" w:rsidRPr="004865EF">
        <w:rPr>
          <w:rFonts w:ascii="Times New Roman" w:eastAsia="宋体" w:hAnsi="Times New Roman" w:cs="Times New Roman"/>
          <w:kern w:val="0"/>
          <w:sz w:val="24"/>
          <w:lang w:val="zh-CN"/>
        </w:rPr>
        <w:t>年末，</w:t>
      </w:r>
      <w:r w:rsidR="00216C17" w:rsidRPr="004865EF">
        <w:rPr>
          <w:rFonts w:ascii="Times New Roman" w:eastAsia="宋体" w:hAnsi="Times New Roman" w:cs="Times New Roman" w:hint="eastAsia"/>
          <w:kern w:val="0"/>
          <w:sz w:val="24"/>
          <w:lang w:val="zh-CN"/>
        </w:rPr>
        <w:t>房山一期</w:t>
      </w:r>
      <w:r w:rsidR="00216C17" w:rsidRPr="004865EF">
        <w:rPr>
          <w:rFonts w:ascii="Times New Roman" w:eastAsia="宋体" w:hAnsi="Times New Roman" w:cs="Times New Roman"/>
          <w:kern w:val="0"/>
          <w:sz w:val="24"/>
          <w:lang w:val="zh-CN"/>
        </w:rPr>
        <w:t>规划的</w:t>
      </w:r>
      <w:r w:rsidR="00216C17" w:rsidRPr="004865EF">
        <w:rPr>
          <w:rFonts w:ascii="Times New Roman" w:eastAsia="宋体" w:hAnsi="Times New Roman" w:cs="Times New Roman" w:hint="eastAsia"/>
          <w:kern w:val="0"/>
          <w:sz w:val="24"/>
          <w:lang w:val="zh-CN"/>
        </w:rPr>
        <w:t>4</w:t>
      </w:r>
      <w:r w:rsidR="00216C17" w:rsidRPr="004865EF">
        <w:rPr>
          <w:rFonts w:ascii="Times New Roman" w:eastAsia="宋体" w:hAnsi="Times New Roman" w:cs="Times New Roman"/>
          <w:kern w:val="0"/>
          <w:sz w:val="24"/>
          <w:lang w:val="zh-CN"/>
        </w:rPr>
        <w:t>栋云计算中心房屋已竣工并结转固定资产，其中</w:t>
      </w:r>
      <w:r w:rsidR="00216C17" w:rsidRPr="004865EF">
        <w:rPr>
          <w:rFonts w:ascii="Times New Roman" w:eastAsia="宋体" w:hAnsi="Times New Roman" w:cs="Times New Roman"/>
          <w:kern w:val="0"/>
          <w:sz w:val="24"/>
          <w:lang w:val="zh-CN"/>
        </w:rPr>
        <w:t>2#</w:t>
      </w:r>
      <w:r w:rsidR="00216C17" w:rsidRPr="004865EF">
        <w:rPr>
          <w:rFonts w:ascii="Times New Roman" w:eastAsia="宋体" w:hAnsi="Times New Roman" w:cs="Times New Roman"/>
          <w:kern w:val="0"/>
          <w:sz w:val="24"/>
          <w:lang w:val="zh-CN"/>
        </w:rPr>
        <w:t>楼机电、网络等设备已安装完毕，并调试完成投入使用，</w:t>
      </w:r>
      <w:r w:rsidR="00216C17" w:rsidRPr="004865EF">
        <w:rPr>
          <w:rFonts w:ascii="Times New Roman" w:eastAsia="宋体" w:hAnsi="Times New Roman" w:cs="Times New Roman"/>
          <w:kern w:val="0"/>
          <w:sz w:val="24"/>
          <w:lang w:val="zh-CN"/>
        </w:rPr>
        <w:t>1#</w:t>
      </w:r>
      <w:r w:rsidR="00216C17" w:rsidRPr="004865EF">
        <w:rPr>
          <w:rFonts w:ascii="Times New Roman" w:eastAsia="宋体" w:hAnsi="Times New Roman" w:cs="Times New Roman"/>
          <w:kern w:val="0"/>
          <w:sz w:val="24"/>
          <w:lang w:val="zh-CN"/>
        </w:rPr>
        <w:t>楼机电、网络仍在安装过程中，</w:t>
      </w:r>
      <w:r w:rsidR="00216C17" w:rsidRPr="004865EF">
        <w:rPr>
          <w:rFonts w:ascii="Times New Roman" w:eastAsia="宋体" w:hAnsi="Times New Roman" w:cs="Times New Roman"/>
          <w:kern w:val="0"/>
          <w:sz w:val="24"/>
          <w:lang w:val="zh-CN"/>
        </w:rPr>
        <w:t>3#</w:t>
      </w:r>
      <w:r w:rsidR="00216C17" w:rsidRPr="004865EF">
        <w:rPr>
          <w:rFonts w:ascii="Times New Roman" w:eastAsia="宋体" w:hAnsi="Times New Roman" w:cs="Times New Roman"/>
          <w:kern w:val="0"/>
          <w:sz w:val="24"/>
          <w:lang w:val="zh-CN"/>
        </w:rPr>
        <w:t>、</w:t>
      </w:r>
      <w:r w:rsidR="00216C17" w:rsidRPr="004865EF">
        <w:rPr>
          <w:rFonts w:ascii="Times New Roman" w:eastAsia="宋体" w:hAnsi="Times New Roman" w:cs="Times New Roman"/>
          <w:kern w:val="0"/>
          <w:sz w:val="24"/>
          <w:lang w:val="zh-CN"/>
        </w:rPr>
        <w:t>4#</w:t>
      </w:r>
      <w:r w:rsidR="00216C17" w:rsidRPr="004865EF">
        <w:rPr>
          <w:rFonts w:ascii="Times New Roman" w:eastAsia="宋体" w:hAnsi="Times New Roman" w:cs="Times New Roman"/>
          <w:kern w:val="0"/>
          <w:sz w:val="24"/>
          <w:lang w:val="zh-CN"/>
        </w:rPr>
        <w:t>楼尚未启动内部装修；</w:t>
      </w:r>
      <w:r w:rsidRPr="004865EF">
        <w:rPr>
          <w:rFonts w:ascii="Times New Roman" w:eastAsia="宋体" w:hAnsi="Times New Roman" w:cs="Times New Roman"/>
          <w:sz w:val="24"/>
        </w:rPr>
        <w:t>累计投入</w:t>
      </w:r>
      <w:r w:rsidR="00216C17" w:rsidRPr="004865EF">
        <w:rPr>
          <w:rFonts w:ascii="Times New Roman" w:eastAsia="宋体" w:hAnsi="Times New Roman" w:cs="Times New Roman" w:hint="eastAsia"/>
          <w:sz w:val="24"/>
        </w:rPr>
        <w:t>资金</w:t>
      </w:r>
      <w:r w:rsidRPr="004865EF">
        <w:rPr>
          <w:rFonts w:ascii="Times New Roman" w:eastAsia="宋体" w:hAnsi="Times New Roman" w:cs="Times New Roman"/>
          <w:sz w:val="24"/>
        </w:rPr>
        <w:t>85,873.19</w:t>
      </w:r>
      <w:r w:rsidRPr="004865EF">
        <w:rPr>
          <w:rFonts w:ascii="Times New Roman" w:eastAsia="宋体" w:hAnsi="Times New Roman" w:cs="Times New Roman"/>
          <w:sz w:val="24"/>
        </w:rPr>
        <w:t>万元，资金</w:t>
      </w:r>
      <w:r w:rsidR="00216C17" w:rsidRPr="004865EF">
        <w:rPr>
          <w:rFonts w:ascii="Times New Roman" w:eastAsia="宋体" w:hAnsi="Times New Roman" w:cs="Times New Roman" w:hint="eastAsia"/>
          <w:sz w:val="24"/>
        </w:rPr>
        <w:t>支付比例</w:t>
      </w:r>
      <w:r w:rsidRPr="004865EF">
        <w:rPr>
          <w:rFonts w:ascii="Times New Roman" w:eastAsia="宋体" w:hAnsi="Times New Roman" w:cs="Times New Roman"/>
          <w:sz w:val="24"/>
        </w:rPr>
        <w:t>69.22%</w:t>
      </w:r>
      <w:r w:rsidR="00216C17" w:rsidRPr="004865EF">
        <w:rPr>
          <w:rFonts w:ascii="Times New Roman" w:eastAsia="宋体" w:hAnsi="Times New Roman" w:cs="Times New Roman"/>
          <w:sz w:val="24"/>
        </w:rPr>
        <w:t>，</w:t>
      </w:r>
      <w:r w:rsidR="00216C17" w:rsidRPr="004865EF">
        <w:rPr>
          <w:rFonts w:ascii="Times New Roman" w:eastAsia="宋体" w:hAnsi="Times New Roman" w:cs="Times New Roman" w:hint="eastAsia"/>
          <w:sz w:val="24"/>
        </w:rPr>
        <w:t>项目进度与计划一致。</w:t>
      </w:r>
    </w:p>
    <w:p w14:paraId="20A561F8" w14:textId="77777777" w:rsidR="00626513" w:rsidRPr="004865EF" w:rsidRDefault="00626513" w:rsidP="00626513">
      <w:pPr>
        <w:spacing w:beforeLines="50" w:before="120" w:line="360" w:lineRule="auto"/>
        <w:ind w:firstLineChars="200" w:firstLine="482"/>
        <w:rPr>
          <w:rFonts w:ascii="Times New Roman" w:eastAsia="宋体" w:hAnsi="Times New Roman" w:cs="Times New Roman"/>
          <w:b/>
          <w:sz w:val="24"/>
        </w:rPr>
      </w:pPr>
      <w:r w:rsidRPr="004865EF">
        <w:rPr>
          <w:rFonts w:ascii="Times New Roman" w:eastAsia="宋体" w:hAnsi="Times New Roman" w:cs="Times New Roman" w:hint="eastAsia"/>
          <w:b/>
          <w:sz w:val="24"/>
        </w:rPr>
        <w:t>（二）</w:t>
      </w:r>
      <w:proofErr w:type="gramStart"/>
      <w:r w:rsidRPr="004865EF">
        <w:rPr>
          <w:rFonts w:ascii="Times New Roman" w:eastAsia="宋体" w:hAnsi="Times New Roman" w:cs="Times New Roman"/>
          <w:b/>
          <w:sz w:val="24"/>
        </w:rPr>
        <w:t>募投项目</w:t>
      </w:r>
      <w:proofErr w:type="gramEnd"/>
      <w:r w:rsidRPr="004865EF">
        <w:rPr>
          <w:rFonts w:ascii="Times New Roman" w:eastAsia="宋体" w:hAnsi="Times New Roman" w:cs="Times New Roman"/>
          <w:b/>
          <w:sz w:val="24"/>
        </w:rPr>
        <w:t>效益情况</w:t>
      </w:r>
    </w:p>
    <w:p w14:paraId="03AC2C08" w14:textId="77777777"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截至</w:t>
      </w:r>
      <w:r w:rsidRPr="004865EF">
        <w:rPr>
          <w:rFonts w:ascii="Times New Roman" w:eastAsia="宋体" w:hAnsi="Times New Roman" w:cs="Times New Roman"/>
          <w:sz w:val="24"/>
        </w:rPr>
        <w:t>2019</w:t>
      </w:r>
      <w:r w:rsidRPr="004865EF">
        <w:rPr>
          <w:rFonts w:ascii="Times New Roman" w:eastAsia="宋体" w:hAnsi="Times New Roman" w:cs="Times New Roman"/>
          <w:sz w:val="24"/>
        </w:rPr>
        <w:t>年</w:t>
      </w:r>
      <w:r w:rsidRPr="004865EF">
        <w:rPr>
          <w:rFonts w:ascii="Times New Roman" w:eastAsia="宋体" w:hAnsi="Times New Roman" w:cs="Times New Roman"/>
          <w:sz w:val="24"/>
        </w:rPr>
        <w:t>12</w:t>
      </w:r>
      <w:r w:rsidRPr="004865EF">
        <w:rPr>
          <w:rFonts w:ascii="Times New Roman" w:eastAsia="宋体" w:hAnsi="Times New Roman" w:cs="Times New Roman"/>
          <w:sz w:val="24"/>
        </w:rPr>
        <w:t>月</w:t>
      </w:r>
      <w:r w:rsidRPr="004865EF">
        <w:rPr>
          <w:rFonts w:ascii="Times New Roman" w:eastAsia="宋体" w:hAnsi="Times New Roman" w:cs="Times New Roman"/>
          <w:sz w:val="24"/>
        </w:rPr>
        <w:t>31</w:t>
      </w:r>
      <w:r w:rsidRPr="004865EF">
        <w:rPr>
          <w:rFonts w:ascii="Times New Roman" w:eastAsia="宋体" w:hAnsi="Times New Roman" w:cs="Times New Roman"/>
          <w:sz w:val="24"/>
        </w:rPr>
        <w:t>日，发行人前次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效益情况如下：</w:t>
      </w:r>
    </w:p>
    <w:p w14:paraId="7F21E693" w14:textId="77777777" w:rsidR="00626513" w:rsidRPr="004865EF" w:rsidRDefault="00626513" w:rsidP="00626513">
      <w:pPr>
        <w:spacing w:line="360" w:lineRule="auto"/>
        <w:ind w:firstLineChars="200" w:firstLine="420"/>
        <w:jc w:val="right"/>
        <w:rPr>
          <w:rFonts w:ascii="Times New Roman" w:eastAsia="宋体" w:hAnsi="Times New Roman" w:cs="Times New Roman"/>
          <w:szCs w:val="21"/>
        </w:rPr>
      </w:pPr>
      <w:r w:rsidRPr="004865EF">
        <w:rPr>
          <w:rFonts w:ascii="Times New Roman" w:eastAsia="宋体" w:hAnsi="Times New Roman" w:cs="Times New Roman"/>
          <w:szCs w:val="21"/>
        </w:rPr>
        <w:t>单位：万元</w:t>
      </w:r>
    </w:p>
    <w:tbl>
      <w:tblPr>
        <w:tblW w:w="6126"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1"/>
        <w:gridCol w:w="1121"/>
        <w:gridCol w:w="1162"/>
        <w:gridCol w:w="1374"/>
        <w:gridCol w:w="1162"/>
        <w:gridCol w:w="1374"/>
        <w:gridCol w:w="1376"/>
        <w:gridCol w:w="1109"/>
        <w:gridCol w:w="1111"/>
      </w:tblGrid>
      <w:tr w:rsidR="004865EF" w:rsidRPr="004865EF" w14:paraId="1BCE56F4" w14:textId="77777777" w:rsidTr="00A66425">
        <w:trPr>
          <w:jc w:val="center"/>
        </w:trPr>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979408" w14:textId="77777777" w:rsidR="00626513" w:rsidRPr="004865EF" w:rsidRDefault="00626513" w:rsidP="00A66425">
            <w:pPr>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lastRenderedPageBreak/>
              <w:t>实际投资项目</w:t>
            </w:r>
          </w:p>
        </w:tc>
        <w:tc>
          <w:tcPr>
            <w:tcW w:w="561" w:type="pct"/>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C16CFD9" w14:textId="77777777" w:rsidR="00626513" w:rsidRPr="004865EF" w:rsidRDefault="00626513" w:rsidP="00A66425">
            <w:pPr>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截止日投资项目累计产能利用率</w:t>
            </w:r>
          </w:p>
        </w:tc>
        <w:tc>
          <w:tcPr>
            <w:tcW w:w="663" w:type="pct"/>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230829D" w14:textId="77777777" w:rsidR="00626513" w:rsidRPr="004865EF" w:rsidRDefault="00626513" w:rsidP="00A66425">
            <w:pPr>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项目达产后预计效益（净利润）（注</w:t>
            </w:r>
            <w:r w:rsidRPr="004865EF">
              <w:rPr>
                <w:rFonts w:ascii="Times New Roman" w:eastAsia="宋体" w:hAnsi="Times New Roman" w:cs="Times New Roman"/>
                <w:b/>
                <w:sz w:val="18"/>
                <w:szCs w:val="18"/>
              </w:rPr>
              <w:t>1</w:t>
            </w:r>
            <w:r w:rsidRPr="004865EF">
              <w:rPr>
                <w:rFonts w:ascii="Times New Roman" w:eastAsia="宋体" w:hAnsi="Times New Roman" w:cs="Times New Roman" w:hint="eastAsia"/>
                <w:b/>
                <w:sz w:val="18"/>
                <w:szCs w:val="18"/>
              </w:rPr>
              <w:t>）</w:t>
            </w:r>
          </w:p>
        </w:tc>
        <w:tc>
          <w:tcPr>
            <w:tcW w:w="1888" w:type="pct"/>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A0F7F28" w14:textId="77777777" w:rsidR="00626513" w:rsidRPr="004865EF" w:rsidRDefault="00626513" w:rsidP="003027A1">
            <w:pPr>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最近三年实际效益</w:t>
            </w:r>
          </w:p>
        </w:tc>
        <w:tc>
          <w:tcPr>
            <w:tcW w:w="535" w:type="pct"/>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F8DC4E7" w14:textId="77777777" w:rsidR="00626513" w:rsidRPr="004865EF" w:rsidRDefault="00626513" w:rsidP="00A66425">
            <w:pPr>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截止日累计实现收益（净利润）</w:t>
            </w:r>
          </w:p>
        </w:tc>
        <w:tc>
          <w:tcPr>
            <w:tcW w:w="536" w:type="pct"/>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CC77B34" w14:textId="77777777" w:rsidR="00626513" w:rsidRPr="004865EF" w:rsidRDefault="00626513" w:rsidP="00A66425">
            <w:pPr>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是否达到预计效益（净利润）</w:t>
            </w:r>
          </w:p>
        </w:tc>
      </w:tr>
      <w:tr w:rsidR="004865EF" w:rsidRPr="004865EF" w14:paraId="176616CD" w14:textId="77777777" w:rsidTr="00A66425">
        <w:trPr>
          <w:jc w:val="center"/>
        </w:trPr>
        <w:tc>
          <w:tcPr>
            <w:tcW w:w="27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5EA990B" w14:textId="77777777" w:rsidR="00626513" w:rsidRPr="004865EF" w:rsidRDefault="00626513" w:rsidP="00A66425">
            <w:pPr>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序号</w:t>
            </w:r>
          </w:p>
        </w:tc>
        <w:tc>
          <w:tcPr>
            <w:tcW w:w="5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FE2300" w14:textId="77777777" w:rsidR="00626513" w:rsidRPr="004865EF" w:rsidRDefault="00626513" w:rsidP="00A66425">
            <w:pPr>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项目名称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916EF8" w14:textId="77777777" w:rsidR="00626513" w:rsidRPr="004865EF" w:rsidRDefault="00626513" w:rsidP="00A66425">
            <w:pPr>
              <w:jc w:val="center"/>
              <w:rPr>
                <w:rFonts w:ascii="Times New Roman" w:eastAsia="宋体" w:hAnsi="Times New Roman" w:cs="Times New Roman"/>
                <w:b/>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5B143B" w14:textId="77777777" w:rsidR="00626513" w:rsidRPr="004865EF" w:rsidRDefault="00626513" w:rsidP="00A66425">
            <w:pPr>
              <w:jc w:val="center"/>
              <w:rPr>
                <w:rFonts w:ascii="Times New Roman" w:eastAsia="宋体" w:hAnsi="Times New Roman" w:cs="Times New Roman"/>
                <w:b/>
                <w:sz w:val="18"/>
                <w:szCs w:val="18"/>
              </w:rPr>
            </w:pPr>
          </w:p>
        </w:tc>
        <w:tc>
          <w:tcPr>
            <w:tcW w:w="56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E240A1B" w14:textId="77777777" w:rsidR="00626513" w:rsidRPr="004865EF" w:rsidRDefault="00626513" w:rsidP="003027A1">
            <w:pPr>
              <w:jc w:val="center"/>
              <w:rPr>
                <w:rFonts w:ascii="Times New Roman" w:eastAsia="宋体" w:hAnsi="Times New Roman" w:cs="Times New Roman"/>
                <w:b/>
                <w:sz w:val="18"/>
                <w:szCs w:val="18"/>
              </w:rPr>
            </w:pPr>
            <w:r w:rsidRPr="004865EF">
              <w:rPr>
                <w:rFonts w:ascii="Times New Roman" w:eastAsia="宋体" w:hAnsi="Times New Roman" w:cs="Times New Roman"/>
                <w:b/>
                <w:sz w:val="18"/>
                <w:szCs w:val="18"/>
              </w:rPr>
              <w:t>2017</w:t>
            </w:r>
            <w:r w:rsidRPr="004865EF">
              <w:rPr>
                <w:rFonts w:ascii="Times New Roman" w:eastAsia="宋体" w:hAnsi="Times New Roman" w:cs="Times New Roman" w:hint="eastAsia"/>
                <w:b/>
                <w:sz w:val="18"/>
                <w:szCs w:val="18"/>
              </w:rPr>
              <w:t>年度</w:t>
            </w:r>
          </w:p>
        </w:tc>
        <w:tc>
          <w:tcPr>
            <w:tcW w:w="66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A46C26" w14:textId="77777777" w:rsidR="00626513" w:rsidRPr="004865EF" w:rsidRDefault="00626513" w:rsidP="003027A1">
            <w:pPr>
              <w:jc w:val="center"/>
              <w:rPr>
                <w:rFonts w:ascii="Times New Roman" w:eastAsia="宋体" w:hAnsi="Times New Roman" w:cs="Times New Roman"/>
                <w:b/>
                <w:sz w:val="18"/>
                <w:szCs w:val="18"/>
              </w:rPr>
            </w:pPr>
            <w:r w:rsidRPr="004865EF">
              <w:rPr>
                <w:rFonts w:ascii="Times New Roman" w:eastAsia="宋体" w:hAnsi="Times New Roman" w:cs="Times New Roman"/>
                <w:b/>
                <w:sz w:val="18"/>
                <w:szCs w:val="18"/>
              </w:rPr>
              <w:t>2018</w:t>
            </w:r>
            <w:r w:rsidRPr="004865EF">
              <w:rPr>
                <w:rFonts w:ascii="Times New Roman" w:eastAsia="宋体" w:hAnsi="Times New Roman" w:cs="Times New Roman" w:hint="eastAsia"/>
                <w:b/>
                <w:sz w:val="18"/>
                <w:szCs w:val="18"/>
              </w:rPr>
              <w:t>年度</w:t>
            </w:r>
          </w:p>
        </w:tc>
        <w:tc>
          <w:tcPr>
            <w:tcW w:w="66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9D5CC71" w14:textId="77777777" w:rsidR="00626513" w:rsidRPr="004865EF" w:rsidRDefault="00626513" w:rsidP="003027A1">
            <w:pPr>
              <w:jc w:val="center"/>
              <w:rPr>
                <w:rFonts w:ascii="Times New Roman" w:eastAsia="宋体" w:hAnsi="Times New Roman" w:cs="Times New Roman"/>
                <w:b/>
                <w:sz w:val="18"/>
                <w:szCs w:val="18"/>
              </w:rPr>
            </w:pPr>
            <w:r w:rsidRPr="004865EF">
              <w:rPr>
                <w:rFonts w:ascii="Times New Roman" w:eastAsia="宋体" w:hAnsi="Times New Roman" w:cs="Times New Roman"/>
                <w:b/>
                <w:sz w:val="18"/>
                <w:szCs w:val="18"/>
              </w:rPr>
              <w:t>2019</w:t>
            </w:r>
            <w:r w:rsidRPr="004865EF">
              <w:rPr>
                <w:rFonts w:ascii="Times New Roman" w:eastAsia="宋体" w:hAnsi="Times New Roman" w:cs="Times New Roman" w:hint="eastAsia"/>
                <w:b/>
                <w:sz w:val="18"/>
                <w:szCs w:val="18"/>
              </w:rPr>
              <w:t>年度</w:t>
            </w:r>
          </w:p>
        </w:tc>
        <w:tc>
          <w:tcPr>
            <w:tcW w:w="5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10CE56" w14:textId="77777777" w:rsidR="00626513" w:rsidRPr="004865EF" w:rsidRDefault="00626513" w:rsidP="00A66425">
            <w:pPr>
              <w:jc w:val="center"/>
              <w:rPr>
                <w:rFonts w:ascii="Times New Roman" w:eastAsia="宋体" w:hAnsi="Times New Roman" w:cs="Times New Roman"/>
                <w:b/>
                <w:sz w:val="18"/>
                <w:szCs w:val="18"/>
              </w:rPr>
            </w:pPr>
          </w:p>
        </w:tc>
        <w:tc>
          <w:tcPr>
            <w:tcW w:w="5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C8976D" w14:textId="77777777" w:rsidR="00626513" w:rsidRPr="004865EF" w:rsidRDefault="00626513" w:rsidP="00A66425">
            <w:pPr>
              <w:jc w:val="center"/>
              <w:rPr>
                <w:rFonts w:ascii="Times New Roman" w:eastAsia="宋体" w:hAnsi="Times New Roman" w:cs="Times New Roman"/>
                <w:b/>
                <w:sz w:val="18"/>
                <w:szCs w:val="18"/>
              </w:rPr>
            </w:pPr>
          </w:p>
        </w:tc>
      </w:tr>
      <w:tr w:rsidR="004865EF" w:rsidRPr="004865EF" w14:paraId="57FE40C9" w14:textId="77777777" w:rsidTr="00A66425">
        <w:trPr>
          <w:jc w:val="center"/>
        </w:trPr>
        <w:tc>
          <w:tcPr>
            <w:tcW w:w="27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2858705"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1</w:t>
            </w:r>
          </w:p>
        </w:tc>
        <w:tc>
          <w:tcPr>
            <w:tcW w:w="5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99AEC6" w14:textId="77777777" w:rsidR="00626513" w:rsidRPr="004865EF" w:rsidRDefault="00626513" w:rsidP="00626513">
            <w:pP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燕郊绿色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基地二期项目</w:t>
            </w:r>
          </w:p>
        </w:tc>
        <w:tc>
          <w:tcPr>
            <w:tcW w:w="56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DD2A13E"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77.42%</w:t>
            </w:r>
          </w:p>
        </w:tc>
        <w:tc>
          <w:tcPr>
            <w:tcW w:w="66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480B406"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4,330.74</w:t>
            </w:r>
          </w:p>
        </w:tc>
        <w:tc>
          <w:tcPr>
            <w:tcW w:w="56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886FE42"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338.00</w:t>
            </w:r>
          </w:p>
        </w:tc>
        <w:tc>
          <w:tcPr>
            <w:tcW w:w="66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DD4E6AB"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4,650.39</w:t>
            </w:r>
          </w:p>
        </w:tc>
        <w:tc>
          <w:tcPr>
            <w:tcW w:w="66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BA20CE8"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6,061.31</w:t>
            </w:r>
          </w:p>
        </w:tc>
        <w:tc>
          <w:tcPr>
            <w:tcW w:w="53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2D5F181"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11,049.70</w:t>
            </w:r>
          </w:p>
        </w:tc>
        <w:tc>
          <w:tcPr>
            <w:tcW w:w="53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49EB7CF"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是</w:t>
            </w:r>
          </w:p>
        </w:tc>
      </w:tr>
      <w:tr w:rsidR="004865EF" w:rsidRPr="004865EF" w14:paraId="0993A8E1" w14:textId="77777777" w:rsidTr="00A66425">
        <w:trPr>
          <w:jc w:val="center"/>
        </w:trPr>
        <w:tc>
          <w:tcPr>
            <w:tcW w:w="27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084EE3"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2</w:t>
            </w:r>
          </w:p>
        </w:tc>
        <w:tc>
          <w:tcPr>
            <w:tcW w:w="5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9C73B92" w14:textId="77777777" w:rsidR="00626513" w:rsidRPr="004865EF" w:rsidRDefault="00626513" w:rsidP="00626513">
            <w:pP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上海嘉定绿色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基地一期项目</w:t>
            </w:r>
          </w:p>
        </w:tc>
        <w:tc>
          <w:tcPr>
            <w:tcW w:w="56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B453977"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78.91%</w:t>
            </w:r>
          </w:p>
        </w:tc>
        <w:tc>
          <w:tcPr>
            <w:tcW w:w="66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9BA5383"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12,890.48</w:t>
            </w:r>
          </w:p>
        </w:tc>
        <w:tc>
          <w:tcPr>
            <w:tcW w:w="56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C2294CC"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-317.05</w:t>
            </w:r>
          </w:p>
        </w:tc>
        <w:tc>
          <w:tcPr>
            <w:tcW w:w="66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5B2FF2C"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179.83</w:t>
            </w:r>
          </w:p>
        </w:tc>
        <w:tc>
          <w:tcPr>
            <w:tcW w:w="66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EF40324"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5,966.99</w:t>
            </w:r>
          </w:p>
        </w:tc>
        <w:tc>
          <w:tcPr>
            <w:tcW w:w="53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2952D8"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5,829.77</w:t>
            </w:r>
          </w:p>
        </w:tc>
        <w:tc>
          <w:tcPr>
            <w:tcW w:w="53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65C0F59"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不适用</w:t>
            </w:r>
          </w:p>
          <w:p w14:paraId="64C58BDE"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（注</w:t>
            </w:r>
            <w:r w:rsidRPr="004865EF">
              <w:rPr>
                <w:rFonts w:ascii="Times New Roman" w:eastAsia="宋体" w:hAnsi="Times New Roman" w:cs="Times New Roman"/>
                <w:sz w:val="18"/>
                <w:szCs w:val="18"/>
              </w:rPr>
              <w:t>2</w:t>
            </w:r>
            <w:r w:rsidRPr="004865EF">
              <w:rPr>
                <w:rFonts w:ascii="Times New Roman" w:eastAsia="宋体" w:hAnsi="Times New Roman" w:cs="Times New Roman" w:hint="eastAsia"/>
                <w:sz w:val="18"/>
                <w:szCs w:val="18"/>
              </w:rPr>
              <w:t>）</w:t>
            </w:r>
          </w:p>
        </w:tc>
      </w:tr>
      <w:tr w:rsidR="004865EF" w:rsidRPr="004865EF" w14:paraId="28C4FC15" w14:textId="77777777" w:rsidTr="00A66425">
        <w:trPr>
          <w:jc w:val="center"/>
        </w:trPr>
        <w:tc>
          <w:tcPr>
            <w:tcW w:w="27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0C2826E"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3</w:t>
            </w:r>
          </w:p>
        </w:tc>
        <w:tc>
          <w:tcPr>
            <w:tcW w:w="5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125C66" w14:textId="77777777" w:rsidR="00626513" w:rsidRPr="004865EF" w:rsidRDefault="00626513" w:rsidP="00626513">
            <w:pP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房山绿色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基地一期项目</w:t>
            </w:r>
          </w:p>
        </w:tc>
        <w:tc>
          <w:tcPr>
            <w:tcW w:w="56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86F95DC"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21.67%</w:t>
            </w:r>
          </w:p>
        </w:tc>
        <w:tc>
          <w:tcPr>
            <w:tcW w:w="66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BD5184C"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23,834.88</w:t>
            </w:r>
          </w:p>
        </w:tc>
        <w:tc>
          <w:tcPr>
            <w:tcW w:w="56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91213B8"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w:t>
            </w:r>
          </w:p>
        </w:tc>
        <w:tc>
          <w:tcPr>
            <w:tcW w:w="66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58B5A46"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w:t>
            </w:r>
          </w:p>
        </w:tc>
        <w:tc>
          <w:tcPr>
            <w:tcW w:w="66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E1326DD"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758.06</w:t>
            </w:r>
          </w:p>
        </w:tc>
        <w:tc>
          <w:tcPr>
            <w:tcW w:w="53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FC6DACE"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758.06</w:t>
            </w:r>
          </w:p>
        </w:tc>
        <w:tc>
          <w:tcPr>
            <w:tcW w:w="53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AC4E7AD"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不适用</w:t>
            </w:r>
          </w:p>
          <w:p w14:paraId="7EF8C5B0"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（注</w:t>
            </w:r>
            <w:r w:rsidRPr="004865EF">
              <w:rPr>
                <w:rFonts w:ascii="Times New Roman" w:eastAsia="宋体" w:hAnsi="Times New Roman" w:cs="Times New Roman"/>
                <w:sz w:val="18"/>
                <w:szCs w:val="18"/>
              </w:rPr>
              <w:t>3</w:t>
            </w:r>
            <w:r w:rsidRPr="004865EF">
              <w:rPr>
                <w:rFonts w:ascii="Times New Roman" w:eastAsia="宋体" w:hAnsi="Times New Roman" w:cs="Times New Roman" w:hint="eastAsia"/>
                <w:sz w:val="18"/>
                <w:szCs w:val="18"/>
              </w:rPr>
              <w:t>）</w:t>
            </w:r>
          </w:p>
        </w:tc>
      </w:tr>
      <w:tr w:rsidR="004865EF" w:rsidRPr="004865EF" w14:paraId="6ED3EDF9" w14:textId="77777777" w:rsidTr="00A66425">
        <w:trPr>
          <w:jc w:val="center"/>
        </w:trPr>
        <w:tc>
          <w:tcPr>
            <w:tcW w:w="27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80770F2"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4</w:t>
            </w:r>
          </w:p>
        </w:tc>
        <w:tc>
          <w:tcPr>
            <w:tcW w:w="54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084BA0C" w14:textId="77777777" w:rsidR="00626513" w:rsidRPr="004865EF" w:rsidRDefault="00626513" w:rsidP="00626513">
            <w:pPr>
              <w:rPr>
                <w:rFonts w:ascii="Times New Roman" w:eastAsia="宋体" w:hAnsi="Times New Roman" w:cs="Times New Roman"/>
                <w:sz w:val="18"/>
                <w:szCs w:val="18"/>
              </w:rPr>
            </w:pPr>
            <w:r w:rsidRPr="004865EF">
              <w:rPr>
                <w:rFonts w:ascii="Times New Roman" w:eastAsia="宋体" w:hAnsi="Times New Roman" w:cs="Times New Roman"/>
                <w:sz w:val="18"/>
                <w:szCs w:val="18"/>
              </w:rPr>
              <w:t>2016</w:t>
            </w:r>
            <w:r w:rsidRPr="004865EF">
              <w:rPr>
                <w:rFonts w:ascii="Times New Roman" w:eastAsia="宋体" w:hAnsi="Times New Roman" w:cs="Times New Roman" w:hint="eastAsia"/>
                <w:sz w:val="18"/>
                <w:szCs w:val="18"/>
              </w:rPr>
              <w:t>年重组现金对价</w:t>
            </w:r>
          </w:p>
        </w:tc>
        <w:tc>
          <w:tcPr>
            <w:tcW w:w="56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EE238CC"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不适用</w:t>
            </w:r>
          </w:p>
        </w:tc>
        <w:tc>
          <w:tcPr>
            <w:tcW w:w="66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7A9CD2B" w14:textId="77777777" w:rsidR="00626513" w:rsidRPr="004865EF" w:rsidRDefault="00626513" w:rsidP="00626513">
            <w:pPr>
              <w:jc w:val="right"/>
              <w:rPr>
                <w:rFonts w:ascii="Times New Roman" w:eastAsia="宋体" w:hAnsi="Times New Roman" w:cs="Times New Roman"/>
                <w:sz w:val="18"/>
                <w:szCs w:val="18"/>
              </w:rPr>
            </w:pPr>
            <w:r w:rsidRPr="004865EF">
              <w:rPr>
                <w:rFonts w:ascii="Times New Roman" w:eastAsia="宋体" w:hAnsi="Times New Roman" w:cs="Times New Roman"/>
                <w:sz w:val="18"/>
                <w:szCs w:val="18"/>
              </w:rPr>
              <w:t>-</w:t>
            </w:r>
          </w:p>
        </w:tc>
        <w:tc>
          <w:tcPr>
            <w:tcW w:w="56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30A30B" w14:textId="77777777" w:rsidR="00626513" w:rsidRPr="004865EF" w:rsidRDefault="00626513" w:rsidP="00626513">
            <w:pPr>
              <w:jc w:val="right"/>
              <w:rPr>
                <w:rFonts w:ascii="Times New Roman" w:eastAsia="宋体" w:hAnsi="Times New Roman" w:cs="Times New Roman"/>
                <w:sz w:val="18"/>
                <w:szCs w:val="18"/>
              </w:rPr>
            </w:pPr>
          </w:p>
        </w:tc>
        <w:tc>
          <w:tcPr>
            <w:tcW w:w="66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CEBAE39" w14:textId="77777777" w:rsidR="00626513" w:rsidRPr="004865EF" w:rsidRDefault="00626513" w:rsidP="00626513">
            <w:pPr>
              <w:jc w:val="right"/>
              <w:rPr>
                <w:rFonts w:ascii="Times New Roman" w:eastAsia="宋体" w:hAnsi="Times New Roman" w:cs="Times New Roman"/>
                <w:sz w:val="18"/>
                <w:szCs w:val="18"/>
              </w:rPr>
            </w:pPr>
          </w:p>
        </w:tc>
        <w:tc>
          <w:tcPr>
            <w:tcW w:w="664"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87704A" w14:textId="77777777" w:rsidR="00626513" w:rsidRPr="004865EF" w:rsidRDefault="00626513" w:rsidP="00626513">
            <w:pPr>
              <w:jc w:val="right"/>
              <w:rPr>
                <w:rFonts w:ascii="Times New Roman" w:eastAsia="宋体" w:hAnsi="Times New Roman" w:cs="Times New Roman"/>
                <w:sz w:val="18"/>
                <w:szCs w:val="18"/>
              </w:rPr>
            </w:pPr>
          </w:p>
        </w:tc>
        <w:tc>
          <w:tcPr>
            <w:tcW w:w="53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EB8779" w14:textId="77777777" w:rsidR="00626513" w:rsidRPr="004865EF" w:rsidRDefault="00626513" w:rsidP="00626513">
            <w:pPr>
              <w:jc w:val="right"/>
              <w:rPr>
                <w:rFonts w:ascii="Times New Roman" w:eastAsia="宋体" w:hAnsi="Times New Roman" w:cs="Times New Roman"/>
                <w:sz w:val="18"/>
                <w:szCs w:val="18"/>
              </w:rPr>
            </w:pPr>
          </w:p>
        </w:tc>
        <w:tc>
          <w:tcPr>
            <w:tcW w:w="53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CB8F676" w14:textId="77777777" w:rsidR="00626513" w:rsidRPr="004865EF" w:rsidRDefault="00626513" w:rsidP="00626513">
            <w:pPr>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是</w:t>
            </w:r>
          </w:p>
        </w:tc>
      </w:tr>
    </w:tbl>
    <w:p w14:paraId="535D52E1" w14:textId="77777777" w:rsidR="00626513" w:rsidRPr="004865EF" w:rsidRDefault="00626513" w:rsidP="00675378">
      <w:pPr>
        <w:rPr>
          <w:rFonts w:ascii="Times New Roman" w:eastAsia="宋体" w:hAnsi="Times New Roman" w:cs="Times New Roman"/>
        </w:rPr>
      </w:pPr>
      <w:r w:rsidRPr="004865EF">
        <w:rPr>
          <w:rFonts w:ascii="Times New Roman" w:eastAsia="宋体" w:hAnsi="Times New Roman" w:cs="Times New Roman" w:hint="eastAsia"/>
        </w:rPr>
        <w:t>注</w:t>
      </w:r>
      <w:r w:rsidRPr="004865EF">
        <w:rPr>
          <w:rFonts w:ascii="Times New Roman" w:eastAsia="宋体" w:hAnsi="Times New Roman" w:cs="Times New Roman"/>
        </w:rPr>
        <w:t>1</w:t>
      </w:r>
      <w:r w:rsidRPr="004865EF">
        <w:rPr>
          <w:rFonts w:ascii="Times New Roman" w:eastAsia="宋体" w:hAnsi="Times New Roman" w:cs="Times New Roman" w:hint="eastAsia"/>
        </w:rPr>
        <w:t>、项目达产后预计效益（净利润）是指项目满负荷运营后预计效益（净利润），分别取自《上海嘉定绿色云计算基地可行性研究报告》（公告日期：</w:t>
      </w:r>
      <w:r w:rsidRPr="004865EF">
        <w:rPr>
          <w:rFonts w:ascii="Times New Roman" w:eastAsia="宋体" w:hAnsi="Times New Roman" w:cs="Times New Roman"/>
        </w:rPr>
        <w:t>2014</w:t>
      </w:r>
      <w:r w:rsidRPr="004865EF">
        <w:rPr>
          <w:rFonts w:ascii="Times New Roman" w:eastAsia="宋体" w:hAnsi="Times New Roman" w:cs="Times New Roman" w:hint="eastAsia"/>
        </w:rPr>
        <w:t>年</w:t>
      </w:r>
      <w:r w:rsidRPr="004865EF">
        <w:rPr>
          <w:rFonts w:ascii="Times New Roman" w:eastAsia="宋体" w:hAnsi="Times New Roman" w:cs="Times New Roman"/>
        </w:rPr>
        <w:t>10</w:t>
      </w:r>
      <w:r w:rsidRPr="004865EF">
        <w:rPr>
          <w:rFonts w:ascii="Times New Roman" w:eastAsia="宋体" w:hAnsi="Times New Roman" w:cs="Times New Roman" w:hint="eastAsia"/>
        </w:rPr>
        <w:t>月</w:t>
      </w:r>
      <w:r w:rsidRPr="004865EF">
        <w:rPr>
          <w:rFonts w:ascii="Times New Roman" w:eastAsia="宋体" w:hAnsi="Times New Roman" w:cs="Times New Roman"/>
        </w:rPr>
        <w:t>11</w:t>
      </w:r>
      <w:r w:rsidRPr="004865EF">
        <w:rPr>
          <w:rFonts w:ascii="Times New Roman" w:eastAsia="宋体" w:hAnsi="Times New Roman" w:cs="Times New Roman" w:hint="eastAsia"/>
        </w:rPr>
        <w:t>日）、《光环云谷燕郊绿色云计算基地二期项目建设可行性研究报告》（公告日期：</w:t>
      </w:r>
      <w:r w:rsidRPr="004865EF">
        <w:rPr>
          <w:rFonts w:ascii="Times New Roman" w:eastAsia="宋体" w:hAnsi="Times New Roman" w:cs="Times New Roman"/>
        </w:rPr>
        <w:t>2015</w:t>
      </w:r>
      <w:r w:rsidRPr="004865EF">
        <w:rPr>
          <w:rFonts w:ascii="Times New Roman" w:eastAsia="宋体" w:hAnsi="Times New Roman" w:cs="Times New Roman" w:hint="eastAsia"/>
        </w:rPr>
        <w:t>年</w:t>
      </w:r>
      <w:r w:rsidRPr="004865EF">
        <w:rPr>
          <w:rFonts w:ascii="Times New Roman" w:eastAsia="宋体" w:hAnsi="Times New Roman" w:cs="Times New Roman"/>
        </w:rPr>
        <w:t>9</w:t>
      </w:r>
      <w:r w:rsidRPr="004865EF">
        <w:rPr>
          <w:rFonts w:ascii="Times New Roman" w:eastAsia="宋体" w:hAnsi="Times New Roman" w:cs="Times New Roman" w:hint="eastAsia"/>
        </w:rPr>
        <w:t>月</w:t>
      </w:r>
      <w:r w:rsidRPr="004865EF">
        <w:rPr>
          <w:rFonts w:ascii="Times New Roman" w:eastAsia="宋体" w:hAnsi="Times New Roman" w:cs="Times New Roman"/>
        </w:rPr>
        <w:t>16</w:t>
      </w:r>
      <w:r w:rsidRPr="004865EF">
        <w:rPr>
          <w:rFonts w:ascii="Times New Roman" w:eastAsia="宋体" w:hAnsi="Times New Roman" w:cs="Times New Roman" w:hint="eastAsia"/>
        </w:rPr>
        <w:t>日）、《光环新网房山绿色云计算基地项目建设可行性研究报告》（公告日期：</w:t>
      </w:r>
      <w:r w:rsidRPr="004865EF">
        <w:rPr>
          <w:rFonts w:ascii="Times New Roman" w:eastAsia="宋体" w:hAnsi="Times New Roman" w:cs="Times New Roman"/>
        </w:rPr>
        <w:t>2015</w:t>
      </w:r>
      <w:r w:rsidRPr="004865EF">
        <w:rPr>
          <w:rFonts w:ascii="Times New Roman" w:eastAsia="宋体" w:hAnsi="Times New Roman" w:cs="Times New Roman" w:hint="eastAsia"/>
        </w:rPr>
        <w:t>年</w:t>
      </w:r>
      <w:r w:rsidRPr="004865EF">
        <w:rPr>
          <w:rFonts w:ascii="Times New Roman" w:eastAsia="宋体" w:hAnsi="Times New Roman" w:cs="Times New Roman"/>
        </w:rPr>
        <w:t>10</w:t>
      </w:r>
      <w:r w:rsidRPr="004865EF">
        <w:rPr>
          <w:rFonts w:ascii="Times New Roman" w:eastAsia="宋体" w:hAnsi="Times New Roman" w:cs="Times New Roman" w:hint="eastAsia"/>
        </w:rPr>
        <w:t>月</w:t>
      </w:r>
      <w:r w:rsidRPr="004865EF">
        <w:rPr>
          <w:rFonts w:ascii="Times New Roman" w:eastAsia="宋体" w:hAnsi="Times New Roman" w:cs="Times New Roman"/>
        </w:rPr>
        <w:t>21</w:t>
      </w:r>
      <w:r w:rsidRPr="004865EF">
        <w:rPr>
          <w:rFonts w:ascii="Times New Roman" w:eastAsia="宋体" w:hAnsi="Times New Roman" w:cs="Times New Roman" w:hint="eastAsia"/>
        </w:rPr>
        <w:t>日）。</w:t>
      </w:r>
    </w:p>
    <w:p w14:paraId="3E417175" w14:textId="77777777" w:rsidR="00626513" w:rsidRPr="004865EF" w:rsidRDefault="00626513" w:rsidP="00675378">
      <w:pPr>
        <w:rPr>
          <w:rFonts w:ascii="Times New Roman" w:eastAsia="宋体" w:hAnsi="Times New Roman" w:cs="Times New Roman"/>
        </w:rPr>
      </w:pPr>
      <w:r w:rsidRPr="004865EF">
        <w:rPr>
          <w:rFonts w:ascii="Times New Roman" w:eastAsia="宋体" w:hAnsi="Times New Roman" w:cs="Times New Roman" w:hint="eastAsia"/>
        </w:rPr>
        <w:t>注</w:t>
      </w:r>
      <w:r w:rsidRPr="004865EF">
        <w:rPr>
          <w:rFonts w:ascii="Times New Roman" w:eastAsia="宋体" w:hAnsi="Times New Roman" w:cs="Times New Roman"/>
        </w:rPr>
        <w:t>2</w:t>
      </w:r>
      <w:r w:rsidRPr="004865EF">
        <w:rPr>
          <w:rFonts w:ascii="Times New Roman" w:eastAsia="宋体" w:hAnsi="Times New Roman" w:cs="Times New Roman" w:hint="eastAsia"/>
        </w:rPr>
        <w:t>、上海嘉定绿色</w:t>
      </w:r>
      <w:proofErr w:type="gramStart"/>
      <w:r w:rsidRPr="004865EF">
        <w:rPr>
          <w:rFonts w:ascii="Times New Roman" w:eastAsia="宋体" w:hAnsi="Times New Roman" w:cs="Times New Roman" w:hint="eastAsia"/>
        </w:rPr>
        <w:t>云计算</w:t>
      </w:r>
      <w:proofErr w:type="gramEnd"/>
      <w:r w:rsidRPr="004865EF">
        <w:rPr>
          <w:rFonts w:ascii="Times New Roman" w:eastAsia="宋体" w:hAnsi="Times New Roman" w:cs="Times New Roman" w:hint="eastAsia"/>
        </w:rPr>
        <w:t>基地一期项目截至</w:t>
      </w:r>
      <w:r w:rsidRPr="004865EF">
        <w:rPr>
          <w:rFonts w:ascii="Times New Roman" w:eastAsia="宋体" w:hAnsi="Times New Roman" w:cs="Times New Roman"/>
        </w:rPr>
        <w:t>2019</w:t>
      </w:r>
      <w:r w:rsidRPr="004865EF">
        <w:rPr>
          <w:rFonts w:ascii="Times New Roman" w:eastAsia="宋体" w:hAnsi="Times New Roman" w:cs="Times New Roman" w:hint="eastAsia"/>
        </w:rPr>
        <w:t>年</w:t>
      </w:r>
      <w:r w:rsidRPr="004865EF">
        <w:rPr>
          <w:rFonts w:ascii="Times New Roman" w:eastAsia="宋体" w:hAnsi="Times New Roman" w:cs="Times New Roman"/>
        </w:rPr>
        <w:t>12</w:t>
      </w:r>
      <w:r w:rsidRPr="004865EF">
        <w:rPr>
          <w:rFonts w:ascii="Times New Roman" w:eastAsia="宋体" w:hAnsi="Times New Roman" w:cs="Times New Roman" w:hint="eastAsia"/>
        </w:rPr>
        <w:t>月</w:t>
      </w:r>
      <w:r w:rsidRPr="004865EF">
        <w:rPr>
          <w:rFonts w:ascii="Times New Roman" w:eastAsia="宋体" w:hAnsi="Times New Roman" w:cs="Times New Roman"/>
        </w:rPr>
        <w:t>31</w:t>
      </w:r>
      <w:r w:rsidRPr="004865EF">
        <w:rPr>
          <w:rFonts w:ascii="Times New Roman" w:eastAsia="宋体" w:hAnsi="Times New Roman" w:cs="Times New Roman" w:hint="eastAsia"/>
        </w:rPr>
        <w:t>日累计产能利用率</w:t>
      </w:r>
      <w:r w:rsidRPr="004865EF">
        <w:rPr>
          <w:rFonts w:ascii="Times New Roman" w:eastAsia="宋体" w:hAnsi="Times New Roman" w:cs="Times New Roman"/>
        </w:rPr>
        <w:t>78.91%</w:t>
      </w:r>
      <w:r w:rsidRPr="004865EF">
        <w:rPr>
          <w:rFonts w:ascii="Times New Roman" w:eastAsia="宋体" w:hAnsi="Times New Roman" w:cs="Times New Roman" w:hint="eastAsia"/>
        </w:rPr>
        <w:t>，尚未达到预计产能，效益尚未完全体现，故尚不适用效益考核。</w:t>
      </w:r>
    </w:p>
    <w:p w14:paraId="6FAA68AC" w14:textId="77777777" w:rsidR="00626513" w:rsidRPr="004865EF" w:rsidRDefault="00626513" w:rsidP="00675378">
      <w:pPr>
        <w:rPr>
          <w:rFonts w:ascii="Times New Roman" w:eastAsia="宋体" w:hAnsi="Times New Roman" w:cs="Times New Roman"/>
        </w:rPr>
      </w:pPr>
      <w:r w:rsidRPr="004865EF">
        <w:rPr>
          <w:rFonts w:ascii="Times New Roman" w:eastAsia="宋体" w:hAnsi="Times New Roman" w:cs="Times New Roman" w:hint="eastAsia"/>
        </w:rPr>
        <w:t>注</w:t>
      </w:r>
      <w:r w:rsidRPr="004865EF">
        <w:rPr>
          <w:rFonts w:ascii="Times New Roman" w:eastAsia="宋体" w:hAnsi="Times New Roman" w:cs="Times New Roman"/>
        </w:rPr>
        <w:t>3</w:t>
      </w:r>
      <w:r w:rsidRPr="004865EF">
        <w:rPr>
          <w:rFonts w:ascii="Times New Roman" w:eastAsia="宋体" w:hAnsi="Times New Roman" w:cs="Times New Roman" w:hint="eastAsia"/>
        </w:rPr>
        <w:t>、房山绿色</w:t>
      </w:r>
      <w:proofErr w:type="gramStart"/>
      <w:r w:rsidRPr="004865EF">
        <w:rPr>
          <w:rFonts w:ascii="Times New Roman" w:eastAsia="宋体" w:hAnsi="Times New Roman" w:cs="Times New Roman" w:hint="eastAsia"/>
        </w:rPr>
        <w:t>云计算</w:t>
      </w:r>
      <w:proofErr w:type="gramEnd"/>
      <w:r w:rsidRPr="004865EF">
        <w:rPr>
          <w:rFonts w:ascii="Times New Roman" w:eastAsia="宋体" w:hAnsi="Times New Roman" w:cs="Times New Roman" w:hint="eastAsia"/>
        </w:rPr>
        <w:t>基地一期项目截至</w:t>
      </w:r>
      <w:r w:rsidRPr="004865EF">
        <w:rPr>
          <w:rFonts w:ascii="Times New Roman" w:eastAsia="宋体" w:hAnsi="Times New Roman" w:cs="Times New Roman"/>
        </w:rPr>
        <w:t>2019</w:t>
      </w:r>
      <w:r w:rsidRPr="004865EF">
        <w:rPr>
          <w:rFonts w:ascii="Times New Roman" w:eastAsia="宋体" w:hAnsi="Times New Roman" w:cs="Times New Roman" w:hint="eastAsia"/>
        </w:rPr>
        <w:t>年</w:t>
      </w:r>
      <w:r w:rsidRPr="004865EF">
        <w:rPr>
          <w:rFonts w:ascii="Times New Roman" w:eastAsia="宋体" w:hAnsi="Times New Roman" w:cs="Times New Roman"/>
        </w:rPr>
        <w:t>12</w:t>
      </w:r>
      <w:r w:rsidRPr="004865EF">
        <w:rPr>
          <w:rFonts w:ascii="Times New Roman" w:eastAsia="宋体" w:hAnsi="Times New Roman" w:cs="Times New Roman" w:hint="eastAsia"/>
        </w:rPr>
        <w:t>月</w:t>
      </w:r>
      <w:r w:rsidRPr="004865EF">
        <w:rPr>
          <w:rFonts w:ascii="Times New Roman" w:eastAsia="宋体" w:hAnsi="Times New Roman" w:cs="Times New Roman"/>
        </w:rPr>
        <w:t>31</w:t>
      </w:r>
      <w:r w:rsidRPr="004865EF">
        <w:rPr>
          <w:rFonts w:ascii="Times New Roman" w:eastAsia="宋体" w:hAnsi="Times New Roman" w:cs="Times New Roman" w:hint="eastAsia"/>
        </w:rPr>
        <w:t>日累计产能利用率</w:t>
      </w:r>
      <w:r w:rsidRPr="004865EF">
        <w:rPr>
          <w:rFonts w:ascii="Times New Roman" w:eastAsia="宋体" w:hAnsi="Times New Roman" w:cs="Times New Roman"/>
        </w:rPr>
        <w:t>21.67%</w:t>
      </w:r>
      <w:r w:rsidRPr="004865EF">
        <w:rPr>
          <w:rFonts w:ascii="Times New Roman" w:eastAsia="宋体" w:hAnsi="Times New Roman" w:cs="Times New Roman" w:hint="eastAsia"/>
        </w:rPr>
        <w:t>，尚未达到预计产能，效益尚未完全体现，故尚不适用效益考核。</w:t>
      </w:r>
    </w:p>
    <w:p w14:paraId="777E8026" w14:textId="77777777"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201</w:t>
      </w:r>
      <w:r w:rsidRPr="004865EF">
        <w:rPr>
          <w:rFonts w:ascii="Times New Roman" w:eastAsia="宋体" w:hAnsi="Times New Roman" w:cs="Times New Roman" w:hint="eastAsia"/>
          <w:sz w:val="24"/>
        </w:rPr>
        <w:t>6</w:t>
      </w:r>
      <w:r w:rsidRPr="004865EF">
        <w:rPr>
          <w:rFonts w:ascii="Times New Roman" w:eastAsia="宋体" w:hAnsi="Times New Roman" w:cs="Times New Roman" w:hint="eastAsia"/>
          <w:sz w:val="24"/>
        </w:rPr>
        <w:t>年</w:t>
      </w:r>
      <w:r w:rsidRPr="004865EF">
        <w:rPr>
          <w:rFonts w:ascii="Times New Roman" w:eastAsia="宋体" w:hAnsi="Times New Roman" w:cs="Times New Roman" w:hint="eastAsia"/>
          <w:sz w:val="24"/>
        </w:rPr>
        <w:t>6</w:t>
      </w:r>
      <w:r w:rsidRPr="004865EF">
        <w:rPr>
          <w:rFonts w:ascii="Times New Roman" w:eastAsia="宋体" w:hAnsi="Times New Roman" w:cs="Times New Roman" w:hint="eastAsia"/>
          <w:sz w:val="24"/>
        </w:rPr>
        <w:t>月</w:t>
      </w:r>
      <w:r w:rsidRPr="004865EF">
        <w:rPr>
          <w:rFonts w:ascii="Times New Roman" w:eastAsia="宋体" w:hAnsi="Times New Roman" w:cs="Times New Roman" w:hint="eastAsia"/>
          <w:sz w:val="24"/>
        </w:rPr>
        <w:t>17</w:t>
      </w:r>
      <w:r w:rsidRPr="004865EF">
        <w:rPr>
          <w:rFonts w:ascii="Times New Roman" w:eastAsia="宋体" w:hAnsi="Times New Roman" w:cs="Times New Roman" w:hint="eastAsia"/>
          <w:sz w:val="24"/>
        </w:rPr>
        <w:t>日公司前次发行完成后，随着募集资金投入，公司经营业绩也保持稳定增长。</w:t>
      </w:r>
      <w:r w:rsidRPr="004865EF">
        <w:rPr>
          <w:rFonts w:ascii="Times New Roman" w:eastAsia="宋体" w:hAnsi="Times New Roman" w:cs="Times New Roman" w:hint="eastAsia"/>
          <w:sz w:val="24"/>
        </w:rPr>
        <w:t>2017</w:t>
      </w:r>
      <w:r w:rsidRPr="004865EF">
        <w:rPr>
          <w:rFonts w:ascii="Times New Roman" w:eastAsia="宋体" w:hAnsi="Times New Roman" w:cs="Times New Roman" w:hint="eastAsia"/>
          <w:sz w:val="24"/>
        </w:rPr>
        <w:t>年度、</w:t>
      </w:r>
      <w:r w:rsidRPr="004865EF">
        <w:rPr>
          <w:rFonts w:ascii="Times New Roman" w:eastAsia="宋体" w:hAnsi="Times New Roman" w:cs="Times New Roman" w:hint="eastAsia"/>
          <w:sz w:val="24"/>
        </w:rPr>
        <w:t>2018</w:t>
      </w:r>
      <w:r w:rsidRPr="004865EF">
        <w:rPr>
          <w:rFonts w:ascii="Times New Roman" w:eastAsia="宋体" w:hAnsi="Times New Roman" w:cs="Times New Roman" w:hint="eastAsia"/>
          <w:sz w:val="24"/>
        </w:rPr>
        <w:t>年度和</w:t>
      </w:r>
      <w:r w:rsidRPr="004865EF">
        <w:rPr>
          <w:rFonts w:ascii="Times New Roman" w:eastAsia="宋体" w:hAnsi="Times New Roman" w:cs="Times New Roman" w:hint="eastAsia"/>
          <w:sz w:val="24"/>
        </w:rPr>
        <w:t>2019</w:t>
      </w:r>
      <w:r w:rsidRPr="004865EF">
        <w:rPr>
          <w:rFonts w:ascii="Times New Roman" w:eastAsia="宋体" w:hAnsi="Times New Roman" w:cs="Times New Roman" w:hint="eastAsia"/>
          <w:sz w:val="24"/>
        </w:rPr>
        <w:t>年度，公司</w:t>
      </w:r>
      <w:r w:rsidRPr="004865EF">
        <w:rPr>
          <w:rFonts w:ascii="Times New Roman" w:eastAsia="宋体" w:hAnsi="Times New Roman" w:cs="Times New Roman" w:hint="eastAsia"/>
          <w:sz w:val="24"/>
        </w:rPr>
        <w:t>IDC</w:t>
      </w:r>
      <w:r w:rsidRPr="004865EF">
        <w:rPr>
          <w:rFonts w:ascii="Times New Roman" w:eastAsia="宋体" w:hAnsi="Times New Roman" w:cs="Times New Roman" w:hint="eastAsia"/>
          <w:sz w:val="24"/>
        </w:rPr>
        <w:t>及其增值服务收入分别为</w:t>
      </w:r>
      <w:r w:rsidRPr="004865EF">
        <w:rPr>
          <w:rFonts w:ascii="Times New Roman" w:eastAsia="宋体" w:hAnsi="Times New Roman" w:cs="Times New Roman" w:hint="eastAsia"/>
          <w:sz w:val="24"/>
        </w:rPr>
        <w:t>87,448.70</w:t>
      </w:r>
      <w:r w:rsidRPr="004865EF">
        <w:rPr>
          <w:rFonts w:ascii="Times New Roman" w:eastAsia="宋体" w:hAnsi="Times New Roman" w:cs="Times New Roman" w:hint="eastAsia"/>
          <w:sz w:val="24"/>
        </w:rPr>
        <w:t>万元、</w:t>
      </w:r>
      <w:r w:rsidRPr="004865EF">
        <w:rPr>
          <w:rFonts w:ascii="Times New Roman" w:eastAsia="宋体" w:hAnsi="Times New Roman" w:cs="Times New Roman" w:hint="eastAsia"/>
          <w:sz w:val="24"/>
        </w:rPr>
        <w:t>129,238.60</w:t>
      </w:r>
      <w:r w:rsidRPr="004865EF">
        <w:rPr>
          <w:rFonts w:ascii="Times New Roman" w:eastAsia="宋体" w:hAnsi="Times New Roman" w:cs="Times New Roman" w:hint="eastAsia"/>
          <w:sz w:val="24"/>
        </w:rPr>
        <w:t>万元和</w:t>
      </w:r>
      <w:r w:rsidRPr="004865EF">
        <w:rPr>
          <w:rFonts w:ascii="Times New Roman" w:eastAsia="宋体" w:hAnsi="Times New Roman" w:cs="Times New Roman" w:hint="eastAsia"/>
          <w:sz w:val="24"/>
        </w:rPr>
        <w:t>156,076.75</w:t>
      </w:r>
      <w:r w:rsidRPr="004865EF">
        <w:rPr>
          <w:rFonts w:ascii="Times New Roman" w:eastAsia="宋体" w:hAnsi="Times New Roman" w:cs="Times New Roman" w:hint="eastAsia"/>
          <w:sz w:val="24"/>
        </w:rPr>
        <w:t>万元，保持了较高的增长率。发行人前次发行募集资金到位以及</w:t>
      </w:r>
      <w:proofErr w:type="gramStart"/>
      <w:r w:rsidRPr="004865EF">
        <w:rPr>
          <w:rFonts w:ascii="Times New Roman" w:eastAsia="宋体" w:hAnsi="Times New Roman" w:cs="Times New Roman" w:hint="eastAsia"/>
          <w:sz w:val="24"/>
        </w:rPr>
        <w:t>募投项目</w:t>
      </w:r>
      <w:proofErr w:type="gramEnd"/>
      <w:r w:rsidRPr="004865EF">
        <w:rPr>
          <w:rFonts w:ascii="Times New Roman" w:eastAsia="宋体" w:hAnsi="Times New Roman" w:cs="Times New Roman" w:hint="eastAsia"/>
          <w:sz w:val="24"/>
        </w:rPr>
        <w:t>的实施，有效促进了公司经营业务的发展和经营业绩的提升。</w:t>
      </w:r>
    </w:p>
    <w:p w14:paraId="6B812637" w14:textId="18912BD4" w:rsidR="00626513" w:rsidRPr="004865EF" w:rsidRDefault="00626513" w:rsidP="00626513">
      <w:pPr>
        <w:spacing w:beforeLines="50" w:before="120" w:line="360" w:lineRule="auto"/>
        <w:ind w:firstLineChars="200" w:firstLine="482"/>
        <w:rPr>
          <w:rFonts w:ascii="Times New Roman" w:eastAsia="宋体" w:hAnsi="Times New Roman" w:cs="Times New Roman"/>
          <w:b/>
          <w:sz w:val="24"/>
        </w:rPr>
      </w:pPr>
      <w:r w:rsidRPr="004865EF">
        <w:rPr>
          <w:rFonts w:ascii="Times New Roman" w:eastAsia="宋体" w:hAnsi="Times New Roman" w:cs="Times New Roman" w:hint="eastAsia"/>
          <w:b/>
          <w:sz w:val="24"/>
        </w:rPr>
        <w:t>（三）</w:t>
      </w:r>
      <w:r w:rsidR="00454E00" w:rsidRPr="004865EF">
        <w:rPr>
          <w:rFonts w:ascii="Times New Roman" w:eastAsia="宋体" w:hAnsi="Times New Roman" w:cs="Times New Roman" w:hint="eastAsia"/>
          <w:b/>
          <w:sz w:val="24"/>
        </w:rPr>
        <w:t>公司</w:t>
      </w:r>
      <w:r w:rsidR="00454E00" w:rsidRPr="004865EF">
        <w:rPr>
          <w:rFonts w:ascii="Times New Roman" w:eastAsia="宋体" w:hAnsi="Times New Roman" w:cs="Times New Roman" w:hint="eastAsia"/>
          <w:b/>
          <w:sz w:val="24"/>
        </w:rPr>
        <w:t>IDC</w:t>
      </w:r>
      <w:r w:rsidR="00454E00" w:rsidRPr="004865EF">
        <w:rPr>
          <w:rFonts w:ascii="Times New Roman" w:eastAsia="宋体" w:hAnsi="Times New Roman" w:cs="Times New Roman" w:hint="eastAsia"/>
          <w:b/>
          <w:sz w:val="24"/>
        </w:rPr>
        <w:t>业务特点及</w:t>
      </w:r>
      <w:r w:rsidRPr="004865EF">
        <w:rPr>
          <w:rFonts w:ascii="Times New Roman" w:eastAsia="宋体" w:hAnsi="Times New Roman" w:cs="Times New Roman"/>
          <w:b/>
          <w:sz w:val="24"/>
        </w:rPr>
        <w:t>未达到预计产能的原因</w:t>
      </w:r>
    </w:p>
    <w:p w14:paraId="465DC1AA" w14:textId="591819AA" w:rsidR="00626513" w:rsidRPr="004865EF" w:rsidRDefault="00626513" w:rsidP="00454E00">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公司主要从事零售型</w:t>
      </w:r>
      <w:r w:rsidRPr="004865EF">
        <w:rPr>
          <w:rFonts w:ascii="Times New Roman" w:eastAsia="宋体" w:hAnsi="Times New Roman" w:cs="Times New Roman"/>
          <w:sz w:val="24"/>
        </w:rPr>
        <w:t>IDC</w:t>
      </w:r>
      <w:r w:rsidRPr="004865EF">
        <w:rPr>
          <w:rFonts w:ascii="Times New Roman" w:eastAsia="宋体" w:hAnsi="Times New Roman" w:cs="Times New Roman" w:hint="eastAsia"/>
          <w:sz w:val="24"/>
        </w:rPr>
        <w:t>，零售型</w:t>
      </w:r>
      <w:r w:rsidRPr="004865EF">
        <w:rPr>
          <w:rFonts w:ascii="Times New Roman" w:eastAsia="宋体" w:hAnsi="Times New Roman" w:cs="Times New Roman"/>
          <w:sz w:val="24"/>
        </w:rPr>
        <w:t>IDC</w:t>
      </w:r>
      <w:r w:rsidRPr="004865EF">
        <w:rPr>
          <w:rFonts w:ascii="Times New Roman" w:eastAsia="宋体" w:hAnsi="Times New Roman" w:cs="Times New Roman" w:hint="eastAsia"/>
          <w:sz w:val="24"/>
        </w:rPr>
        <w:t>在数据中心建设前一般不存在确定客户。数据中心建设包括建筑物、电力保障、空调、消防、监控、网络安全等系统，其中厂房、高压外线、制冷站、发电机等属于全部机房共同使用；其余内部设施可由签约的零售客户（对某层、某区域机房）提出需求，公司提供数据中心内部的模块化装修改造，未与客户签约前，公司不对数据中心提前投入机电等设施建设。因此，公司数据中心建设会分阶段完工，产能会逐步转化，分阶段释放。通常情况下，客户会根据其实际业务需求按进度租赁机柜，从签订合同起租到最终交付全部租赁机柜需要一定时间。因此，数据中心机柜会在该段时间内分阶段上架，产能利用率逐步提升。</w:t>
      </w:r>
    </w:p>
    <w:p w14:paraId="52271603" w14:textId="4BAABD61" w:rsidR="00454E00" w:rsidRPr="004865EF" w:rsidRDefault="004523B0" w:rsidP="004523B0">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lastRenderedPageBreak/>
        <w:t>上海嘉定绿色</w:t>
      </w:r>
      <w:proofErr w:type="gramStart"/>
      <w:r w:rsidRPr="004865EF">
        <w:rPr>
          <w:rFonts w:ascii="Times New Roman" w:eastAsia="宋体" w:hAnsi="Times New Roman" w:cs="Times New Roman" w:hint="eastAsia"/>
          <w:sz w:val="24"/>
        </w:rPr>
        <w:t>云计算</w:t>
      </w:r>
      <w:proofErr w:type="gramEnd"/>
      <w:r w:rsidRPr="004865EF">
        <w:rPr>
          <w:rFonts w:ascii="Times New Roman" w:eastAsia="宋体" w:hAnsi="Times New Roman" w:cs="Times New Roman" w:hint="eastAsia"/>
          <w:sz w:val="24"/>
        </w:rPr>
        <w:t>基地一期项目仍处于</w:t>
      </w:r>
      <w:r w:rsidR="008F171B" w:rsidRPr="004865EF">
        <w:rPr>
          <w:rFonts w:ascii="Times New Roman" w:eastAsia="宋体" w:hAnsi="Times New Roman" w:cs="Times New Roman" w:hint="eastAsia"/>
          <w:sz w:val="24"/>
        </w:rPr>
        <w:t>产能提升</w:t>
      </w:r>
      <w:r w:rsidRPr="004865EF">
        <w:rPr>
          <w:rFonts w:ascii="Times New Roman" w:eastAsia="宋体" w:hAnsi="Times New Roman" w:cs="Times New Roman" w:hint="eastAsia"/>
          <w:sz w:val="24"/>
        </w:rPr>
        <w:t>周期，客户的</w:t>
      </w:r>
      <w:r w:rsidR="008F171B" w:rsidRPr="004865EF">
        <w:rPr>
          <w:rFonts w:ascii="Times New Roman" w:eastAsia="宋体" w:hAnsi="Times New Roman" w:cs="Times New Roman" w:hint="eastAsia"/>
          <w:sz w:val="24"/>
        </w:rPr>
        <w:t>机柜</w:t>
      </w:r>
      <w:r w:rsidRPr="004865EF">
        <w:rPr>
          <w:rFonts w:ascii="Times New Roman" w:eastAsia="宋体" w:hAnsi="Times New Roman" w:cs="Times New Roman" w:hint="eastAsia"/>
          <w:sz w:val="24"/>
        </w:rPr>
        <w:t>上架率逐月递增</w:t>
      </w:r>
      <w:r w:rsidR="008F171B" w:rsidRPr="004865EF">
        <w:rPr>
          <w:rFonts w:ascii="Times New Roman" w:eastAsia="宋体" w:hAnsi="Times New Roman" w:cs="Times New Roman" w:hint="eastAsia"/>
          <w:sz w:val="24"/>
        </w:rPr>
        <w:t>，因此</w:t>
      </w:r>
      <w:r w:rsidR="008F171B" w:rsidRPr="004865EF">
        <w:rPr>
          <w:rFonts w:ascii="Times New Roman" w:eastAsia="宋体" w:hAnsi="Times New Roman" w:cs="Times New Roman" w:hint="eastAsia"/>
          <w:sz w:val="24"/>
        </w:rPr>
        <w:t>2019</w:t>
      </w:r>
      <w:r w:rsidR="008F171B" w:rsidRPr="004865EF">
        <w:rPr>
          <w:rFonts w:ascii="Times New Roman" w:eastAsia="宋体" w:hAnsi="Times New Roman" w:cs="Times New Roman" w:hint="eastAsia"/>
          <w:sz w:val="24"/>
        </w:rPr>
        <w:t>年平均产能利用率为</w:t>
      </w:r>
      <w:r w:rsidR="008F171B" w:rsidRPr="004865EF">
        <w:rPr>
          <w:rFonts w:ascii="Times New Roman" w:eastAsia="宋体" w:hAnsi="Times New Roman" w:cs="Times New Roman"/>
          <w:sz w:val="24"/>
        </w:rPr>
        <w:t>78.91%</w:t>
      </w:r>
      <w:r w:rsidRPr="004865EF">
        <w:rPr>
          <w:rFonts w:ascii="Times New Roman" w:eastAsia="宋体" w:hAnsi="Times New Roman" w:cs="Times New Roman" w:hint="eastAsia"/>
          <w:sz w:val="24"/>
        </w:rPr>
        <w:t>；</w:t>
      </w:r>
      <w:r w:rsidR="00454E00" w:rsidRPr="004865EF">
        <w:rPr>
          <w:rFonts w:ascii="Times New Roman" w:eastAsia="宋体" w:hAnsi="Times New Roman" w:cs="Times New Roman" w:hint="eastAsia"/>
          <w:sz w:val="24"/>
        </w:rPr>
        <w:t>截至</w:t>
      </w:r>
      <w:r w:rsidRPr="004865EF">
        <w:rPr>
          <w:rFonts w:ascii="Times New Roman" w:eastAsia="宋体" w:hAnsi="Times New Roman" w:cs="Times New Roman" w:hint="eastAsia"/>
          <w:sz w:val="24"/>
        </w:rPr>
        <w:t>2019</w:t>
      </w:r>
      <w:r w:rsidRPr="004865EF">
        <w:rPr>
          <w:rFonts w:ascii="Times New Roman" w:eastAsia="宋体" w:hAnsi="Times New Roman" w:cs="Times New Roman" w:hint="eastAsia"/>
          <w:sz w:val="24"/>
        </w:rPr>
        <w:t>年末</w:t>
      </w:r>
      <w:r w:rsidR="00454E00" w:rsidRPr="004865EF">
        <w:rPr>
          <w:rFonts w:ascii="Times New Roman" w:eastAsia="宋体" w:hAnsi="Times New Roman" w:cs="Times New Roman" w:hint="eastAsia"/>
          <w:sz w:val="24"/>
        </w:rPr>
        <w:t>，上海嘉定绿色</w:t>
      </w:r>
      <w:proofErr w:type="gramStart"/>
      <w:r w:rsidR="00454E00" w:rsidRPr="004865EF">
        <w:rPr>
          <w:rFonts w:ascii="Times New Roman" w:eastAsia="宋体" w:hAnsi="Times New Roman" w:cs="Times New Roman" w:hint="eastAsia"/>
          <w:sz w:val="24"/>
        </w:rPr>
        <w:t>云计算</w:t>
      </w:r>
      <w:proofErr w:type="gramEnd"/>
      <w:r w:rsidR="00454E00" w:rsidRPr="004865EF">
        <w:rPr>
          <w:rFonts w:ascii="Times New Roman" w:eastAsia="宋体" w:hAnsi="Times New Roman" w:cs="Times New Roman" w:hint="eastAsia"/>
          <w:sz w:val="24"/>
        </w:rPr>
        <w:t>基地一期项目</w:t>
      </w:r>
      <w:r w:rsidR="008F171B" w:rsidRPr="004865EF">
        <w:rPr>
          <w:rFonts w:ascii="Times New Roman" w:eastAsia="宋体" w:hAnsi="Times New Roman" w:cs="Times New Roman" w:hint="eastAsia"/>
          <w:sz w:val="24"/>
        </w:rPr>
        <w:t>已全部完工，具体包括</w:t>
      </w:r>
      <w:r w:rsidR="000B2BD6" w:rsidRPr="004865EF">
        <w:rPr>
          <w:rFonts w:ascii="Times New Roman" w:eastAsia="宋体" w:hAnsi="Times New Roman" w:cs="Times New Roman" w:hint="eastAsia"/>
          <w:sz w:val="24"/>
        </w:rPr>
        <w:t>全部</w:t>
      </w:r>
      <w:r w:rsidR="007A2C63" w:rsidRPr="004865EF">
        <w:rPr>
          <w:rFonts w:ascii="Times New Roman" w:eastAsia="宋体" w:hAnsi="Times New Roman" w:cs="Times New Roman" w:hint="eastAsia"/>
          <w:sz w:val="24"/>
        </w:rPr>
        <w:t>数据中心楼宇</w:t>
      </w:r>
      <w:r w:rsidR="008F171B" w:rsidRPr="004865EF">
        <w:rPr>
          <w:rFonts w:ascii="Times New Roman" w:eastAsia="宋体" w:hAnsi="Times New Roman" w:cs="Times New Roman" w:hint="eastAsia"/>
          <w:sz w:val="24"/>
        </w:rPr>
        <w:t>的</w:t>
      </w:r>
      <w:r w:rsidR="000B2BD6" w:rsidRPr="004865EF">
        <w:rPr>
          <w:rFonts w:ascii="Times New Roman" w:eastAsia="宋体" w:hAnsi="Times New Roman" w:cs="Times New Roman" w:hint="eastAsia"/>
          <w:sz w:val="24"/>
        </w:rPr>
        <w:t>改造以及</w:t>
      </w:r>
      <w:r w:rsidR="000B2BD6" w:rsidRPr="004865EF">
        <w:rPr>
          <w:rFonts w:ascii="Times New Roman" w:eastAsia="宋体" w:hAnsi="Times New Roman" w:cs="Times New Roman"/>
          <w:sz w:val="24"/>
        </w:rPr>
        <w:t>110KV</w:t>
      </w:r>
      <w:r w:rsidR="000B2BD6" w:rsidRPr="004865EF">
        <w:rPr>
          <w:rFonts w:ascii="Times New Roman" w:eastAsia="宋体" w:hAnsi="Times New Roman" w:cs="Times New Roman" w:hint="eastAsia"/>
          <w:sz w:val="24"/>
        </w:rPr>
        <w:t>变电站、柴油发电机、三联供发电机房等配套建设</w:t>
      </w:r>
      <w:r w:rsidRPr="004865EF">
        <w:rPr>
          <w:rFonts w:ascii="Times New Roman" w:eastAsia="宋体" w:hAnsi="Times New Roman" w:cs="Times New Roman" w:hint="eastAsia"/>
          <w:sz w:val="24"/>
        </w:rPr>
        <w:t>，</w:t>
      </w:r>
      <w:r w:rsidR="008E1F7B" w:rsidRPr="004865EF">
        <w:rPr>
          <w:rFonts w:ascii="Times New Roman" w:eastAsia="宋体" w:hAnsi="Times New Roman" w:cs="Times New Roman" w:hint="eastAsia"/>
          <w:sz w:val="24"/>
        </w:rPr>
        <w:t>规划建设的</w:t>
      </w:r>
      <w:r w:rsidR="002137BE" w:rsidRPr="004865EF">
        <w:rPr>
          <w:rFonts w:ascii="Times New Roman" w:eastAsia="宋体" w:hAnsi="Times New Roman" w:cs="Times New Roman"/>
          <w:sz w:val="24"/>
        </w:rPr>
        <w:t>4,500</w:t>
      </w:r>
      <w:r w:rsidR="002137BE" w:rsidRPr="004865EF">
        <w:rPr>
          <w:rFonts w:ascii="Times New Roman" w:eastAsia="宋体" w:hAnsi="Times New Roman" w:cs="Times New Roman" w:hint="eastAsia"/>
          <w:sz w:val="24"/>
        </w:rPr>
        <w:t>个</w:t>
      </w:r>
      <w:r w:rsidR="000B2BD6" w:rsidRPr="004865EF">
        <w:rPr>
          <w:rFonts w:ascii="Times New Roman" w:eastAsia="宋体" w:hAnsi="Times New Roman" w:cs="Times New Roman" w:hint="eastAsia"/>
          <w:sz w:val="24"/>
        </w:rPr>
        <w:t>机柜均达到</w:t>
      </w:r>
      <w:r w:rsidR="008E1F7B" w:rsidRPr="004865EF">
        <w:rPr>
          <w:rFonts w:ascii="Times New Roman" w:eastAsia="宋体" w:hAnsi="Times New Roman" w:cs="Times New Roman" w:hint="eastAsia"/>
          <w:sz w:val="24"/>
        </w:rPr>
        <w:t>可运营状态</w:t>
      </w:r>
      <w:r w:rsidR="008F171B" w:rsidRPr="004865EF">
        <w:rPr>
          <w:rFonts w:ascii="Times New Roman" w:eastAsia="宋体" w:hAnsi="Times New Roman" w:cs="Times New Roman" w:hint="eastAsia"/>
          <w:sz w:val="24"/>
        </w:rPr>
        <w:t>且已全部签约销售，预计</w:t>
      </w:r>
      <w:r w:rsidR="008F171B" w:rsidRPr="004865EF">
        <w:rPr>
          <w:rFonts w:ascii="Times New Roman" w:eastAsia="宋体" w:hAnsi="Times New Roman" w:cs="Times New Roman" w:hint="eastAsia"/>
          <w:sz w:val="24"/>
        </w:rPr>
        <w:t>2020</w:t>
      </w:r>
      <w:r w:rsidR="008F171B" w:rsidRPr="004865EF">
        <w:rPr>
          <w:rFonts w:ascii="Times New Roman" w:eastAsia="宋体" w:hAnsi="Times New Roman" w:cs="Times New Roman" w:hint="eastAsia"/>
          <w:sz w:val="24"/>
        </w:rPr>
        <w:t>年内将逐步达到满负荷运营状态</w:t>
      </w:r>
      <w:r w:rsidR="00216C17" w:rsidRPr="004865EF">
        <w:rPr>
          <w:rFonts w:ascii="Times New Roman" w:eastAsia="宋体" w:hAnsi="Times New Roman" w:cs="Times New Roman" w:hint="eastAsia"/>
          <w:sz w:val="24"/>
        </w:rPr>
        <w:t>。</w:t>
      </w:r>
    </w:p>
    <w:p w14:paraId="15DB73BF" w14:textId="56E80BA6" w:rsidR="00626513" w:rsidRPr="004865EF" w:rsidRDefault="00454E00"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房山绿色</w:t>
      </w:r>
      <w:proofErr w:type="gramStart"/>
      <w:r w:rsidRPr="004865EF">
        <w:rPr>
          <w:rFonts w:ascii="Times New Roman" w:eastAsia="宋体" w:hAnsi="Times New Roman" w:cs="Times New Roman"/>
          <w:sz w:val="24"/>
        </w:rPr>
        <w:t>云计算</w:t>
      </w:r>
      <w:proofErr w:type="gramEnd"/>
      <w:r w:rsidRPr="004865EF">
        <w:rPr>
          <w:rFonts w:ascii="Times New Roman" w:eastAsia="宋体" w:hAnsi="Times New Roman" w:cs="Times New Roman"/>
          <w:sz w:val="24"/>
        </w:rPr>
        <w:t>基地一期项目累计产能利用率为</w:t>
      </w:r>
      <w:r w:rsidRPr="004865EF">
        <w:rPr>
          <w:rFonts w:ascii="Times New Roman" w:eastAsia="宋体" w:hAnsi="Times New Roman" w:cs="Times New Roman" w:hint="eastAsia"/>
          <w:sz w:val="24"/>
        </w:rPr>
        <w:t>21.67%</w:t>
      </w:r>
      <w:r w:rsidR="00216C17" w:rsidRPr="004865EF">
        <w:rPr>
          <w:rFonts w:ascii="Times New Roman" w:eastAsia="宋体" w:hAnsi="Times New Roman" w:cs="Times New Roman" w:hint="eastAsia"/>
          <w:sz w:val="24"/>
        </w:rPr>
        <w:t>，主要由于</w:t>
      </w:r>
      <w:r w:rsidR="006C0073" w:rsidRPr="004865EF">
        <w:rPr>
          <w:rFonts w:ascii="Times New Roman" w:eastAsia="宋体" w:hAnsi="Times New Roman" w:cs="Times New Roman" w:hint="eastAsia"/>
          <w:kern w:val="0"/>
          <w:sz w:val="24"/>
          <w:lang w:val="zh-CN"/>
        </w:rPr>
        <w:t>房山一期</w:t>
      </w:r>
      <w:r w:rsidRPr="004865EF">
        <w:rPr>
          <w:rFonts w:ascii="Times New Roman" w:eastAsia="宋体" w:hAnsi="Times New Roman" w:cs="Times New Roman" w:hint="eastAsia"/>
          <w:kern w:val="0"/>
          <w:sz w:val="24"/>
          <w:lang w:val="zh-CN"/>
        </w:rPr>
        <w:t>项目</w:t>
      </w:r>
      <w:r w:rsidR="00216C17" w:rsidRPr="004865EF">
        <w:rPr>
          <w:rFonts w:ascii="Times New Roman" w:eastAsia="宋体" w:hAnsi="Times New Roman" w:cs="Times New Roman" w:hint="eastAsia"/>
          <w:kern w:val="0"/>
          <w:sz w:val="24"/>
          <w:lang w:val="zh-CN"/>
        </w:rPr>
        <w:t>在</w:t>
      </w:r>
      <w:r w:rsidR="006C0073" w:rsidRPr="004865EF">
        <w:rPr>
          <w:rFonts w:ascii="Times New Roman" w:eastAsia="宋体" w:hAnsi="Times New Roman" w:cs="Times New Roman" w:hint="eastAsia"/>
          <w:kern w:val="0"/>
          <w:sz w:val="24"/>
          <w:lang w:val="zh-CN"/>
        </w:rPr>
        <w:t>2019</w:t>
      </w:r>
      <w:r w:rsidR="006C0073" w:rsidRPr="004865EF">
        <w:rPr>
          <w:rFonts w:ascii="Times New Roman" w:eastAsia="宋体" w:hAnsi="Times New Roman" w:cs="Times New Roman" w:hint="eastAsia"/>
          <w:kern w:val="0"/>
          <w:sz w:val="24"/>
          <w:lang w:val="zh-CN"/>
        </w:rPr>
        <w:t>年下半年开始</w:t>
      </w:r>
      <w:r w:rsidRPr="004865EF">
        <w:rPr>
          <w:rFonts w:ascii="Times New Roman" w:eastAsia="宋体" w:hAnsi="Times New Roman" w:cs="Times New Roman" w:hint="eastAsia"/>
          <w:kern w:val="0"/>
          <w:sz w:val="24"/>
          <w:lang w:val="zh-CN"/>
        </w:rPr>
        <w:t>交付部分已达到可使用状态的机房，项目整体正处于正常的产能提升阶段。</w:t>
      </w:r>
      <w:r w:rsidR="002137BE" w:rsidRPr="004865EF">
        <w:rPr>
          <w:rFonts w:ascii="Times New Roman" w:eastAsia="宋体" w:hAnsi="Times New Roman" w:cs="Times New Roman" w:hint="eastAsia"/>
          <w:kern w:val="0"/>
          <w:sz w:val="24"/>
          <w:lang w:val="zh-CN"/>
        </w:rPr>
        <w:t>房山一期</w:t>
      </w:r>
      <w:r w:rsidR="002137BE" w:rsidRPr="004865EF">
        <w:rPr>
          <w:rFonts w:ascii="Times New Roman" w:eastAsia="宋体" w:hAnsi="Times New Roman" w:cs="Times New Roman"/>
          <w:kern w:val="0"/>
          <w:sz w:val="24"/>
          <w:lang w:val="zh-CN"/>
        </w:rPr>
        <w:t>4</w:t>
      </w:r>
      <w:r w:rsidR="002137BE" w:rsidRPr="004865EF">
        <w:rPr>
          <w:rFonts w:ascii="Times New Roman" w:eastAsia="宋体" w:hAnsi="Times New Roman" w:cs="Times New Roman" w:hint="eastAsia"/>
          <w:kern w:val="0"/>
          <w:sz w:val="24"/>
          <w:lang w:val="zh-CN"/>
        </w:rPr>
        <w:t>栋</w:t>
      </w:r>
      <w:proofErr w:type="gramStart"/>
      <w:r w:rsidR="002137BE" w:rsidRPr="004865EF">
        <w:rPr>
          <w:rFonts w:ascii="Times New Roman" w:eastAsia="宋体" w:hAnsi="Times New Roman" w:cs="Times New Roman" w:hint="eastAsia"/>
          <w:kern w:val="0"/>
          <w:sz w:val="24"/>
          <w:lang w:val="zh-CN"/>
        </w:rPr>
        <w:t>云计算</w:t>
      </w:r>
      <w:proofErr w:type="gramEnd"/>
      <w:r w:rsidR="002137BE" w:rsidRPr="004865EF">
        <w:rPr>
          <w:rFonts w:ascii="Times New Roman" w:eastAsia="宋体" w:hAnsi="Times New Roman" w:cs="Times New Roman" w:hint="eastAsia"/>
          <w:kern w:val="0"/>
          <w:sz w:val="24"/>
          <w:lang w:val="zh-CN"/>
        </w:rPr>
        <w:t>数据中心建筑工程于</w:t>
      </w:r>
      <w:r w:rsidR="002137BE" w:rsidRPr="004865EF">
        <w:rPr>
          <w:rFonts w:ascii="Times New Roman" w:eastAsia="宋体" w:hAnsi="Times New Roman" w:cs="Times New Roman"/>
          <w:kern w:val="0"/>
          <w:sz w:val="24"/>
          <w:lang w:val="zh-CN"/>
        </w:rPr>
        <w:t>2019</w:t>
      </w:r>
      <w:r w:rsidR="002137BE" w:rsidRPr="004865EF">
        <w:rPr>
          <w:rFonts w:ascii="Times New Roman" w:eastAsia="宋体" w:hAnsi="Times New Roman" w:cs="Times New Roman" w:hint="eastAsia"/>
          <w:kern w:val="0"/>
          <w:sz w:val="24"/>
          <w:lang w:val="zh-CN"/>
        </w:rPr>
        <w:t>年</w:t>
      </w:r>
      <w:r w:rsidR="002137BE" w:rsidRPr="004865EF">
        <w:rPr>
          <w:rFonts w:ascii="Times New Roman" w:eastAsia="宋体" w:hAnsi="Times New Roman" w:cs="Times New Roman"/>
          <w:kern w:val="0"/>
          <w:sz w:val="24"/>
          <w:lang w:val="zh-CN"/>
        </w:rPr>
        <w:t>6</w:t>
      </w:r>
      <w:r w:rsidR="002137BE" w:rsidRPr="004865EF">
        <w:rPr>
          <w:rFonts w:ascii="Times New Roman" w:eastAsia="宋体" w:hAnsi="Times New Roman" w:cs="Times New Roman" w:hint="eastAsia"/>
          <w:kern w:val="0"/>
          <w:sz w:val="24"/>
          <w:lang w:val="zh-CN"/>
        </w:rPr>
        <w:t>月全部完工，</w:t>
      </w:r>
      <w:r w:rsidR="000B2BD6" w:rsidRPr="004865EF">
        <w:rPr>
          <w:rFonts w:ascii="Times New Roman" w:eastAsia="宋体" w:hAnsi="Times New Roman" w:cs="Times New Roman"/>
          <w:kern w:val="0"/>
          <w:sz w:val="24"/>
          <w:lang w:val="zh-CN"/>
        </w:rPr>
        <w:t>2#</w:t>
      </w:r>
      <w:r w:rsidR="000B2BD6" w:rsidRPr="004865EF">
        <w:rPr>
          <w:rFonts w:ascii="Times New Roman" w:eastAsia="宋体" w:hAnsi="Times New Roman" w:cs="Times New Roman" w:hint="eastAsia"/>
          <w:kern w:val="0"/>
          <w:sz w:val="24"/>
          <w:lang w:val="zh-CN"/>
        </w:rPr>
        <w:t>楼于</w:t>
      </w:r>
      <w:r w:rsidR="000B2BD6" w:rsidRPr="004865EF">
        <w:rPr>
          <w:rFonts w:ascii="Times New Roman" w:eastAsia="宋体" w:hAnsi="Times New Roman" w:cs="Times New Roman"/>
          <w:kern w:val="0"/>
          <w:sz w:val="24"/>
          <w:lang w:val="zh-CN"/>
        </w:rPr>
        <w:t>2019</w:t>
      </w:r>
      <w:r w:rsidR="000B2BD6" w:rsidRPr="004865EF">
        <w:rPr>
          <w:rFonts w:ascii="Times New Roman" w:eastAsia="宋体" w:hAnsi="Times New Roman" w:cs="Times New Roman" w:hint="eastAsia"/>
          <w:kern w:val="0"/>
          <w:sz w:val="24"/>
          <w:lang w:val="zh-CN"/>
        </w:rPr>
        <w:t>年交付运营</w:t>
      </w:r>
      <w:r w:rsidR="002137BE" w:rsidRPr="004865EF">
        <w:rPr>
          <w:rFonts w:ascii="Times New Roman" w:eastAsia="宋体" w:hAnsi="Times New Roman" w:cs="Times New Roman" w:hint="eastAsia"/>
          <w:kern w:val="0"/>
          <w:sz w:val="24"/>
          <w:lang w:val="zh-CN"/>
        </w:rPr>
        <w:t>，</w:t>
      </w:r>
      <w:r w:rsidR="000B2BD6" w:rsidRPr="004865EF">
        <w:rPr>
          <w:rFonts w:ascii="Times New Roman" w:eastAsia="宋体" w:hAnsi="Times New Roman" w:cs="Times New Roman"/>
          <w:kern w:val="0"/>
          <w:sz w:val="24"/>
          <w:lang w:val="zh-CN"/>
        </w:rPr>
        <w:t>1#</w:t>
      </w:r>
      <w:r w:rsidR="002137BE" w:rsidRPr="004865EF">
        <w:rPr>
          <w:rFonts w:ascii="Times New Roman" w:eastAsia="宋体" w:hAnsi="Times New Roman" w:cs="Times New Roman" w:hint="eastAsia"/>
          <w:kern w:val="0"/>
          <w:sz w:val="24"/>
          <w:lang w:val="zh-CN"/>
        </w:rPr>
        <w:t>楼</w:t>
      </w:r>
      <w:r w:rsidR="000B2BD6" w:rsidRPr="004865EF">
        <w:rPr>
          <w:rFonts w:ascii="Times New Roman" w:eastAsia="宋体" w:hAnsi="Times New Roman" w:cs="Times New Roman" w:hint="eastAsia"/>
          <w:kern w:val="0"/>
          <w:sz w:val="24"/>
          <w:lang w:val="zh-CN"/>
        </w:rPr>
        <w:t>于</w:t>
      </w:r>
      <w:r w:rsidR="000B2BD6" w:rsidRPr="004865EF">
        <w:rPr>
          <w:rFonts w:ascii="Times New Roman" w:eastAsia="宋体" w:hAnsi="Times New Roman" w:cs="Times New Roman"/>
          <w:kern w:val="0"/>
          <w:sz w:val="24"/>
          <w:lang w:val="zh-CN"/>
        </w:rPr>
        <w:t>2020</w:t>
      </w:r>
      <w:r w:rsidR="000B2BD6" w:rsidRPr="004865EF">
        <w:rPr>
          <w:rFonts w:ascii="Times New Roman" w:eastAsia="宋体" w:hAnsi="Times New Roman" w:cs="Times New Roman" w:hint="eastAsia"/>
          <w:kern w:val="0"/>
          <w:sz w:val="24"/>
          <w:lang w:val="zh-CN"/>
        </w:rPr>
        <w:t>年上半年交付运营</w:t>
      </w:r>
      <w:r w:rsidR="002137BE" w:rsidRPr="004865EF">
        <w:rPr>
          <w:rFonts w:ascii="Times New Roman" w:eastAsia="宋体" w:hAnsi="Times New Roman" w:cs="Times New Roman" w:hint="eastAsia"/>
          <w:kern w:val="0"/>
          <w:sz w:val="24"/>
          <w:lang w:val="zh-CN"/>
        </w:rPr>
        <w:t>，</w:t>
      </w:r>
      <w:r w:rsidR="002137BE" w:rsidRPr="004865EF">
        <w:rPr>
          <w:rFonts w:ascii="Times New Roman" w:eastAsia="宋体" w:hAnsi="Times New Roman" w:cs="Times New Roman"/>
          <w:kern w:val="0"/>
          <w:sz w:val="24"/>
          <w:lang w:val="zh-CN"/>
        </w:rPr>
        <w:t>3#</w:t>
      </w:r>
      <w:r w:rsidR="002137BE" w:rsidRPr="004865EF">
        <w:rPr>
          <w:rFonts w:ascii="Times New Roman" w:eastAsia="宋体" w:hAnsi="Times New Roman" w:cs="Times New Roman" w:hint="eastAsia"/>
          <w:kern w:val="0"/>
          <w:sz w:val="24"/>
          <w:lang w:val="zh-CN"/>
        </w:rPr>
        <w:t>、</w:t>
      </w:r>
      <w:r w:rsidR="002137BE" w:rsidRPr="004865EF">
        <w:rPr>
          <w:rFonts w:ascii="Times New Roman" w:eastAsia="宋体" w:hAnsi="Times New Roman" w:cs="Times New Roman"/>
          <w:kern w:val="0"/>
          <w:sz w:val="24"/>
          <w:lang w:val="zh-CN"/>
        </w:rPr>
        <w:t>4#</w:t>
      </w:r>
      <w:r w:rsidR="002137BE" w:rsidRPr="004865EF">
        <w:rPr>
          <w:rFonts w:ascii="Times New Roman" w:eastAsia="宋体" w:hAnsi="Times New Roman" w:cs="Times New Roman" w:hint="eastAsia"/>
          <w:kern w:val="0"/>
          <w:sz w:val="24"/>
          <w:lang w:val="zh-CN"/>
        </w:rPr>
        <w:t>楼仍处于</w:t>
      </w:r>
      <w:r w:rsidR="007A2C63" w:rsidRPr="004865EF">
        <w:rPr>
          <w:rFonts w:ascii="Times New Roman" w:eastAsia="宋体" w:hAnsi="Times New Roman" w:cs="Times New Roman" w:hint="eastAsia"/>
          <w:kern w:val="0"/>
          <w:sz w:val="24"/>
          <w:lang w:val="zh-CN"/>
        </w:rPr>
        <w:t>机电、网络设施安装过程中，</w:t>
      </w:r>
      <w:r w:rsidR="000B2BD6" w:rsidRPr="004865EF">
        <w:rPr>
          <w:rFonts w:ascii="Times New Roman" w:eastAsia="宋体" w:hAnsi="Times New Roman" w:cs="Times New Roman"/>
          <w:kern w:val="0"/>
          <w:sz w:val="24"/>
          <w:lang w:val="zh-CN"/>
        </w:rPr>
        <w:t>3#</w:t>
      </w:r>
      <w:r w:rsidR="000B2BD6" w:rsidRPr="004865EF">
        <w:rPr>
          <w:rFonts w:ascii="Times New Roman" w:eastAsia="宋体" w:hAnsi="Times New Roman" w:cs="Times New Roman" w:hint="eastAsia"/>
          <w:kern w:val="0"/>
          <w:sz w:val="24"/>
          <w:lang w:val="zh-CN"/>
        </w:rPr>
        <w:t>楼</w:t>
      </w:r>
      <w:r w:rsidR="007A2C63" w:rsidRPr="004865EF">
        <w:rPr>
          <w:rFonts w:ascii="Times New Roman" w:eastAsia="宋体" w:hAnsi="Times New Roman" w:cs="Times New Roman" w:hint="eastAsia"/>
          <w:kern w:val="0"/>
          <w:sz w:val="24"/>
          <w:lang w:val="zh-CN"/>
        </w:rPr>
        <w:t>预计</w:t>
      </w:r>
      <w:r w:rsidR="000B2BD6" w:rsidRPr="004865EF">
        <w:rPr>
          <w:rFonts w:ascii="Times New Roman" w:eastAsia="宋体" w:hAnsi="Times New Roman" w:cs="Times New Roman" w:hint="eastAsia"/>
          <w:kern w:val="0"/>
          <w:sz w:val="24"/>
          <w:lang w:val="zh-CN"/>
        </w:rPr>
        <w:t>于</w:t>
      </w:r>
      <w:r w:rsidR="000B2BD6" w:rsidRPr="004865EF">
        <w:rPr>
          <w:rFonts w:ascii="Times New Roman" w:eastAsia="宋体" w:hAnsi="Times New Roman" w:cs="Times New Roman"/>
          <w:kern w:val="0"/>
          <w:sz w:val="24"/>
          <w:lang w:val="zh-CN"/>
        </w:rPr>
        <w:t>2020</w:t>
      </w:r>
      <w:r w:rsidR="000B2BD6" w:rsidRPr="004865EF">
        <w:rPr>
          <w:rFonts w:ascii="Times New Roman" w:eastAsia="宋体" w:hAnsi="Times New Roman" w:cs="Times New Roman" w:hint="eastAsia"/>
          <w:kern w:val="0"/>
          <w:sz w:val="24"/>
          <w:lang w:val="zh-CN"/>
        </w:rPr>
        <w:t>年下半年交付，</w:t>
      </w:r>
      <w:r w:rsidR="000B2BD6" w:rsidRPr="004865EF">
        <w:rPr>
          <w:rFonts w:ascii="Times New Roman" w:eastAsia="宋体" w:hAnsi="Times New Roman" w:cs="Times New Roman"/>
          <w:kern w:val="0"/>
          <w:sz w:val="24"/>
          <w:lang w:val="zh-CN"/>
        </w:rPr>
        <w:t>4#</w:t>
      </w:r>
      <w:r w:rsidR="000B2BD6" w:rsidRPr="004865EF">
        <w:rPr>
          <w:rFonts w:ascii="Times New Roman" w:eastAsia="宋体" w:hAnsi="Times New Roman" w:cs="Times New Roman" w:hint="eastAsia"/>
          <w:kern w:val="0"/>
          <w:sz w:val="24"/>
          <w:lang w:val="zh-CN"/>
        </w:rPr>
        <w:t>楼预计</w:t>
      </w:r>
      <w:r w:rsidR="007A2C63" w:rsidRPr="004865EF">
        <w:rPr>
          <w:rFonts w:ascii="Times New Roman" w:eastAsia="宋体" w:hAnsi="Times New Roman" w:cs="Times New Roman" w:hint="eastAsia"/>
          <w:kern w:val="0"/>
          <w:sz w:val="24"/>
          <w:lang w:val="zh-CN"/>
        </w:rPr>
        <w:t>于</w:t>
      </w:r>
      <w:r w:rsidR="007A2C63" w:rsidRPr="004865EF">
        <w:rPr>
          <w:rFonts w:ascii="Times New Roman" w:eastAsia="宋体" w:hAnsi="Times New Roman" w:cs="Times New Roman"/>
          <w:kern w:val="0"/>
          <w:sz w:val="24"/>
          <w:lang w:val="zh-CN"/>
        </w:rPr>
        <w:t>2021</w:t>
      </w:r>
      <w:r w:rsidR="000B2BD6" w:rsidRPr="004865EF">
        <w:rPr>
          <w:rFonts w:ascii="Times New Roman" w:eastAsia="宋体" w:hAnsi="Times New Roman" w:cs="Times New Roman" w:hint="eastAsia"/>
          <w:kern w:val="0"/>
          <w:sz w:val="24"/>
          <w:lang w:val="zh-CN"/>
        </w:rPr>
        <w:t>年内交付</w:t>
      </w:r>
      <w:r w:rsidR="007A2C63" w:rsidRPr="004865EF">
        <w:rPr>
          <w:rFonts w:ascii="Times New Roman" w:eastAsia="宋体" w:hAnsi="Times New Roman" w:cs="Times New Roman" w:hint="eastAsia"/>
          <w:kern w:val="0"/>
          <w:sz w:val="24"/>
          <w:lang w:val="zh-CN"/>
        </w:rPr>
        <w:t>。</w:t>
      </w:r>
      <w:r w:rsidRPr="004865EF">
        <w:rPr>
          <w:rFonts w:ascii="Times New Roman" w:eastAsia="宋体" w:hAnsi="Times New Roman" w:cs="Times New Roman" w:hint="eastAsia"/>
          <w:kern w:val="0"/>
          <w:sz w:val="24"/>
          <w:lang w:val="zh-CN"/>
        </w:rPr>
        <w:t>房山一期项目</w:t>
      </w:r>
      <w:r w:rsidR="00626513" w:rsidRPr="004865EF">
        <w:rPr>
          <w:rFonts w:ascii="Times New Roman" w:eastAsia="宋体" w:hAnsi="Times New Roman" w:cs="Times New Roman" w:hint="eastAsia"/>
          <w:kern w:val="0"/>
          <w:sz w:val="24"/>
          <w:lang w:val="zh-CN"/>
        </w:rPr>
        <w:t>已经</w:t>
      </w:r>
      <w:r w:rsidR="000B5247" w:rsidRPr="004865EF">
        <w:rPr>
          <w:rFonts w:ascii="Times New Roman" w:eastAsia="宋体" w:hAnsi="Times New Roman" w:cs="Times New Roman" w:hint="eastAsia"/>
          <w:kern w:val="0"/>
          <w:sz w:val="24"/>
          <w:lang w:val="zh-CN"/>
        </w:rPr>
        <w:t>签约</w:t>
      </w:r>
      <w:r w:rsidR="00626513" w:rsidRPr="004865EF">
        <w:rPr>
          <w:rFonts w:ascii="Times New Roman" w:eastAsia="宋体" w:hAnsi="Times New Roman" w:cs="Times New Roman" w:hint="eastAsia"/>
          <w:kern w:val="0"/>
          <w:sz w:val="24"/>
          <w:lang w:val="zh-CN"/>
        </w:rPr>
        <w:t>的机柜数量</w:t>
      </w:r>
      <w:r w:rsidR="000B5247" w:rsidRPr="004865EF">
        <w:rPr>
          <w:rFonts w:ascii="Times New Roman" w:eastAsia="宋体" w:hAnsi="Times New Roman" w:cs="Times New Roman" w:hint="eastAsia"/>
          <w:kern w:val="0"/>
          <w:sz w:val="24"/>
          <w:lang w:val="zh-CN"/>
        </w:rPr>
        <w:t>占比</w:t>
      </w:r>
      <w:r w:rsidR="000B5247" w:rsidRPr="004865EF">
        <w:rPr>
          <w:rFonts w:ascii="Times New Roman" w:eastAsia="宋体" w:hAnsi="Times New Roman" w:cs="Times New Roman" w:hint="eastAsia"/>
          <w:kern w:val="0"/>
          <w:sz w:val="24"/>
          <w:lang w:val="zh-CN"/>
        </w:rPr>
        <w:t>50%</w:t>
      </w:r>
      <w:r w:rsidR="00626513" w:rsidRPr="004865EF">
        <w:rPr>
          <w:rFonts w:ascii="Times New Roman" w:eastAsia="宋体" w:hAnsi="Times New Roman" w:cs="Times New Roman" w:hint="eastAsia"/>
          <w:kern w:val="0"/>
          <w:sz w:val="24"/>
          <w:lang w:val="zh-CN"/>
        </w:rPr>
        <w:t>，</w:t>
      </w:r>
      <w:r w:rsidR="000B5247" w:rsidRPr="004865EF">
        <w:rPr>
          <w:rFonts w:ascii="Times New Roman" w:eastAsia="宋体" w:hAnsi="Times New Roman" w:cs="Times New Roman" w:hint="eastAsia"/>
          <w:kern w:val="0"/>
          <w:sz w:val="24"/>
          <w:lang w:val="zh-CN"/>
        </w:rPr>
        <w:t>有购买意向的机柜数量占比</w:t>
      </w:r>
      <w:r w:rsidR="000B5247" w:rsidRPr="004865EF">
        <w:rPr>
          <w:rFonts w:ascii="Times New Roman" w:eastAsia="宋体" w:hAnsi="Times New Roman" w:cs="Times New Roman" w:hint="eastAsia"/>
          <w:kern w:val="0"/>
          <w:sz w:val="24"/>
          <w:lang w:val="zh-CN"/>
        </w:rPr>
        <w:t>50%</w:t>
      </w:r>
      <w:r w:rsidR="000B5247" w:rsidRPr="004865EF">
        <w:rPr>
          <w:rFonts w:ascii="Times New Roman" w:eastAsia="宋体" w:hAnsi="Times New Roman" w:cs="Times New Roman" w:hint="eastAsia"/>
          <w:kern w:val="0"/>
          <w:sz w:val="24"/>
          <w:lang w:val="zh-CN"/>
        </w:rPr>
        <w:t>，</w:t>
      </w:r>
      <w:r w:rsidRPr="004865EF">
        <w:rPr>
          <w:rFonts w:ascii="Times New Roman" w:eastAsia="宋体" w:hAnsi="Times New Roman" w:cs="Times New Roman" w:hint="eastAsia"/>
          <w:kern w:val="0"/>
          <w:sz w:val="24"/>
          <w:lang w:val="zh-CN"/>
        </w:rPr>
        <w:t>已</w:t>
      </w:r>
      <w:r w:rsidR="00626513" w:rsidRPr="004865EF">
        <w:rPr>
          <w:rFonts w:ascii="Times New Roman" w:eastAsia="宋体" w:hAnsi="Times New Roman" w:cs="Times New Roman" w:hint="eastAsia"/>
          <w:kern w:val="0"/>
          <w:sz w:val="24"/>
          <w:lang w:val="zh-CN"/>
        </w:rPr>
        <w:t>覆盖</w:t>
      </w:r>
      <w:r w:rsidR="00626513" w:rsidRPr="004865EF">
        <w:rPr>
          <w:rFonts w:ascii="Times New Roman" w:eastAsia="宋体" w:hAnsi="Times New Roman" w:cs="Times New Roman"/>
          <w:sz w:val="24"/>
        </w:rPr>
        <w:t>房山一期</w:t>
      </w:r>
      <w:r w:rsidR="00626513" w:rsidRPr="004865EF">
        <w:rPr>
          <w:rFonts w:ascii="Times New Roman" w:eastAsia="宋体" w:hAnsi="Times New Roman" w:cs="Times New Roman" w:hint="eastAsia"/>
          <w:kern w:val="0"/>
          <w:sz w:val="24"/>
          <w:lang w:val="zh-CN"/>
        </w:rPr>
        <w:t>数据中心</w:t>
      </w:r>
      <w:r w:rsidRPr="004865EF">
        <w:rPr>
          <w:rFonts w:ascii="Times New Roman" w:eastAsia="宋体" w:hAnsi="Times New Roman" w:cs="Times New Roman" w:hint="eastAsia"/>
          <w:sz w:val="24"/>
        </w:rPr>
        <w:t>全部产能</w:t>
      </w:r>
      <w:r w:rsidR="00626513" w:rsidRPr="004865EF">
        <w:rPr>
          <w:rFonts w:ascii="Times New Roman" w:eastAsia="宋体" w:hAnsi="Times New Roman" w:cs="Times New Roman" w:hint="eastAsia"/>
          <w:sz w:val="24"/>
        </w:rPr>
        <w:t>。</w:t>
      </w:r>
    </w:p>
    <w:p w14:paraId="1EF429D3" w14:textId="77777777" w:rsidR="00626513" w:rsidRPr="004865EF" w:rsidRDefault="00626513" w:rsidP="00A66425">
      <w:pPr>
        <w:pStyle w:val="2"/>
      </w:pPr>
      <w:r w:rsidRPr="004865EF">
        <w:t>二、前次</w:t>
      </w:r>
      <w:proofErr w:type="gramStart"/>
      <w:r w:rsidRPr="004865EF">
        <w:t>募投项目</w:t>
      </w:r>
      <w:proofErr w:type="gramEnd"/>
      <w:r w:rsidRPr="004865EF">
        <w:t>和本次</w:t>
      </w:r>
      <w:proofErr w:type="gramStart"/>
      <w:r w:rsidRPr="004865EF">
        <w:t>募投项目</w:t>
      </w:r>
      <w:proofErr w:type="gramEnd"/>
      <w:r w:rsidRPr="004865EF">
        <w:t>的关系，是否存在重复融资的情形</w:t>
      </w:r>
    </w:p>
    <w:p w14:paraId="17F5496A" w14:textId="77777777" w:rsidR="00626513" w:rsidRPr="004865EF" w:rsidRDefault="00626513" w:rsidP="00626513">
      <w:pPr>
        <w:spacing w:beforeLines="50" w:before="120" w:line="360" w:lineRule="auto"/>
        <w:ind w:firstLineChars="200" w:firstLine="482"/>
        <w:rPr>
          <w:rFonts w:ascii="Times New Roman" w:eastAsia="宋体" w:hAnsi="Times New Roman" w:cs="Times New Roman"/>
          <w:b/>
          <w:sz w:val="24"/>
        </w:rPr>
      </w:pPr>
      <w:r w:rsidRPr="004865EF">
        <w:rPr>
          <w:rFonts w:ascii="Times New Roman" w:eastAsia="宋体" w:hAnsi="Times New Roman" w:cs="Times New Roman" w:hint="eastAsia"/>
          <w:b/>
          <w:sz w:val="24"/>
        </w:rPr>
        <w:t>（一）前次</w:t>
      </w:r>
      <w:proofErr w:type="gramStart"/>
      <w:r w:rsidRPr="004865EF">
        <w:rPr>
          <w:rFonts w:ascii="Times New Roman" w:eastAsia="宋体" w:hAnsi="Times New Roman" w:cs="Times New Roman" w:hint="eastAsia"/>
          <w:b/>
          <w:sz w:val="24"/>
        </w:rPr>
        <w:t>募投项目</w:t>
      </w:r>
      <w:proofErr w:type="gramEnd"/>
      <w:r w:rsidRPr="004865EF">
        <w:rPr>
          <w:rFonts w:ascii="Times New Roman" w:eastAsia="宋体" w:hAnsi="Times New Roman" w:cs="Times New Roman" w:hint="eastAsia"/>
          <w:b/>
          <w:sz w:val="24"/>
        </w:rPr>
        <w:t>和本次</w:t>
      </w:r>
      <w:proofErr w:type="gramStart"/>
      <w:r w:rsidRPr="004865EF">
        <w:rPr>
          <w:rFonts w:ascii="Times New Roman" w:eastAsia="宋体" w:hAnsi="Times New Roman" w:cs="Times New Roman" w:hint="eastAsia"/>
          <w:b/>
          <w:sz w:val="24"/>
        </w:rPr>
        <w:t>募投项目</w:t>
      </w:r>
      <w:proofErr w:type="gramEnd"/>
      <w:r w:rsidRPr="004865EF">
        <w:rPr>
          <w:rFonts w:ascii="Times New Roman" w:eastAsia="宋体" w:hAnsi="Times New Roman" w:cs="Times New Roman" w:hint="eastAsia"/>
          <w:b/>
          <w:sz w:val="24"/>
        </w:rPr>
        <w:t>的关系</w:t>
      </w:r>
    </w:p>
    <w:p w14:paraId="380E1F1B" w14:textId="77777777" w:rsidR="00626513" w:rsidRPr="004865EF" w:rsidRDefault="00626513" w:rsidP="00626513">
      <w:pPr>
        <w:spacing w:beforeLines="50" w:before="120" w:line="360" w:lineRule="auto"/>
        <w:ind w:firstLineChars="200" w:firstLine="480"/>
        <w:rPr>
          <w:rFonts w:ascii="Calibri" w:eastAsia="宋体" w:hAnsi="Calibri" w:cs="Times New Roman"/>
          <w:sz w:val="24"/>
        </w:rPr>
      </w:pPr>
      <w:r w:rsidRPr="004865EF">
        <w:rPr>
          <w:rFonts w:ascii="Calibri" w:eastAsia="宋体" w:hAnsi="Calibri" w:cs="Times New Roman" w:hint="eastAsia"/>
          <w:sz w:val="24"/>
        </w:rPr>
        <w:t>受地域性、管理运营成本等因素的影响，</w:t>
      </w:r>
      <w:r w:rsidRPr="004865EF">
        <w:rPr>
          <w:rFonts w:ascii="Times New Roman" w:eastAsia="宋体" w:hAnsi="Times New Roman" w:cs="Times New Roman"/>
          <w:sz w:val="24"/>
        </w:rPr>
        <w:t>数据中心</w:t>
      </w:r>
      <w:r w:rsidRPr="004865EF">
        <w:rPr>
          <w:rFonts w:ascii="Calibri" w:eastAsia="宋体" w:hAnsi="Calibri" w:cs="Times New Roman" w:hint="eastAsia"/>
          <w:sz w:val="24"/>
        </w:rPr>
        <w:t>具有明显的服务半径，公司需要在全国主要地区建设数据中心以满足不同区域客户的服务需求。根据公司的发展战略，并考虑到公司业务规模、管理成本以及行业发展状况等多方面因素，公司数据中心建设采用总体规划、分步实施的方式进行。</w:t>
      </w:r>
    </w:p>
    <w:p w14:paraId="10CC201C" w14:textId="77777777"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Calibri" w:eastAsia="宋体" w:hAnsi="Calibri" w:cs="Times New Roman" w:hint="eastAsia"/>
          <w:sz w:val="24"/>
        </w:rPr>
        <w:t>前次</w:t>
      </w:r>
      <w:proofErr w:type="gramStart"/>
      <w:r w:rsidRPr="004865EF">
        <w:rPr>
          <w:rFonts w:ascii="Calibri" w:eastAsia="宋体" w:hAnsi="Calibri" w:cs="Times New Roman" w:hint="eastAsia"/>
          <w:sz w:val="24"/>
        </w:rPr>
        <w:t>募投项目</w:t>
      </w:r>
      <w:proofErr w:type="gramEnd"/>
      <w:r w:rsidRPr="004865EF">
        <w:rPr>
          <w:rFonts w:ascii="Calibri" w:eastAsia="宋体" w:hAnsi="Calibri" w:cs="Times New Roman" w:hint="eastAsia"/>
          <w:sz w:val="24"/>
        </w:rPr>
        <w:t>之燕郊绿色</w:t>
      </w:r>
      <w:proofErr w:type="gramStart"/>
      <w:r w:rsidRPr="004865EF">
        <w:rPr>
          <w:rFonts w:ascii="Calibri" w:eastAsia="宋体" w:hAnsi="Calibri" w:cs="Times New Roman" w:hint="eastAsia"/>
          <w:sz w:val="24"/>
        </w:rPr>
        <w:t>云计算</w:t>
      </w:r>
      <w:proofErr w:type="gramEnd"/>
      <w:r w:rsidRPr="004865EF">
        <w:rPr>
          <w:rFonts w:ascii="Calibri" w:eastAsia="宋体" w:hAnsi="Calibri" w:cs="Times New Roman" w:hint="eastAsia"/>
          <w:sz w:val="24"/>
        </w:rPr>
        <w:t>基地二期项目、上海嘉定绿色</w:t>
      </w:r>
      <w:proofErr w:type="gramStart"/>
      <w:r w:rsidRPr="004865EF">
        <w:rPr>
          <w:rFonts w:ascii="Calibri" w:eastAsia="宋体" w:hAnsi="Calibri" w:cs="Times New Roman" w:hint="eastAsia"/>
          <w:sz w:val="24"/>
        </w:rPr>
        <w:t>云计算</w:t>
      </w:r>
      <w:proofErr w:type="gramEnd"/>
      <w:r w:rsidRPr="004865EF">
        <w:rPr>
          <w:rFonts w:ascii="Calibri" w:eastAsia="宋体" w:hAnsi="Calibri" w:cs="Times New Roman" w:hint="eastAsia"/>
          <w:sz w:val="24"/>
        </w:rPr>
        <w:t>基地一期项目和房山绿色</w:t>
      </w:r>
      <w:proofErr w:type="gramStart"/>
      <w:r w:rsidRPr="004865EF">
        <w:rPr>
          <w:rFonts w:ascii="Calibri" w:eastAsia="宋体" w:hAnsi="Calibri" w:cs="Times New Roman" w:hint="eastAsia"/>
          <w:sz w:val="24"/>
        </w:rPr>
        <w:t>云计算</w:t>
      </w:r>
      <w:proofErr w:type="gramEnd"/>
      <w:r w:rsidRPr="004865EF">
        <w:rPr>
          <w:rFonts w:ascii="Calibri" w:eastAsia="宋体" w:hAnsi="Calibri" w:cs="Times New Roman" w:hint="eastAsia"/>
          <w:sz w:val="24"/>
        </w:rPr>
        <w:t>基地一期项目与本次</w:t>
      </w:r>
      <w:proofErr w:type="gramStart"/>
      <w:r w:rsidRPr="004865EF">
        <w:rPr>
          <w:rFonts w:ascii="Calibri" w:eastAsia="宋体" w:hAnsi="Calibri" w:cs="Times New Roman" w:hint="eastAsia"/>
          <w:sz w:val="24"/>
        </w:rPr>
        <w:t>募投项目</w:t>
      </w:r>
      <w:proofErr w:type="gramEnd"/>
      <w:r w:rsidRPr="004865EF">
        <w:rPr>
          <w:rFonts w:ascii="Calibri" w:eastAsia="宋体" w:hAnsi="Calibri" w:cs="Times New Roman" w:hint="eastAsia"/>
          <w:sz w:val="24"/>
        </w:rPr>
        <w:t>之北京房山绿色</w:t>
      </w:r>
      <w:proofErr w:type="gramStart"/>
      <w:r w:rsidRPr="004865EF">
        <w:rPr>
          <w:rFonts w:ascii="Calibri" w:eastAsia="宋体" w:hAnsi="Calibri" w:cs="Times New Roman" w:hint="eastAsia"/>
          <w:sz w:val="24"/>
        </w:rPr>
        <w:t>云计算</w:t>
      </w:r>
      <w:proofErr w:type="gramEnd"/>
      <w:r w:rsidRPr="004865EF">
        <w:rPr>
          <w:rFonts w:ascii="Calibri" w:eastAsia="宋体" w:hAnsi="Calibri" w:cs="Times New Roman" w:hint="eastAsia"/>
          <w:sz w:val="24"/>
        </w:rPr>
        <w:t>数据中心二期、上海嘉定绿色</w:t>
      </w:r>
      <w:proofErr w:type="gramStart"/>
      <w:r w:rsidRPr="004865EF">
        <w:rPr>
          <w:rFonts w:ascii="Calibri" w:eastAsia="宋体" w:hAnsi="Calibri" w:cs="Times New Roman" w:hint="eastAsia"/>
          <w:sz w:val="24"/>
        </w:rPr>
        <w:t>云计算</w:t>
      </w:r>
      <w:proofErr w:type="gramEnd"/>
      <w:r w:rsidRPr="004865EF">
        <w:rPr>
          <w:rFonts w:ascii="Calibri" w:eastAsia="宋体" w:hAnsi="Calibri" w:cs="Times New Roman" w:hint="eastAsia"/>
          <w:sz w:val="24"/>
        </w:rPr>
        <w:t>基地二期、燕郊绿色</w:t>
      </w:r>
      <w:proofErr w:type="gramStart"/>
      <w:r w:rsidRPr="004865EF">
        <w:rPr>
          <w:rFonts w:ascii="Calibri" w:eastAsia="宋体" w:hAnsi="Calibri" w:cs="Times New Roman" w:hint="eastAsia"/>
          <w:sz w:val="24"/>
        </w:rPr>
        <w:t>云计算</w:t>
      </w:r>
      <w:proofErr w:type="gramEnd"/>
      <w:r w:rsidRPr="004865EF">
        <w:rPr>
          <w:rFonts w:ascii="Calibri" w:eastAsia="宋体" w:hAnsi="Calibri" w:cs="Times New Roman" w:hint="eastAsia"/>
          <w:sz w:val="24"/>
        </w:rPr>
        <w:t>基地三四期和长沙绿色</w:t>
      </w:r>
      <w:proofErr w:type="gramStart"/>
      <w:r w:rsidRPr="004865EF">
        <w:rPr>
          <w:rFonts w:ascii="Calibri" w:eastAsia="宋体" w:hAnsi="Calibri" w:cs="Times New Roman" w:hint="eastAsia"/>
          <w:sz w:val="24"/>
        </w:rPr>
        <w:t>云计算</w:t>
      </w:r>
      <w:proofErr w:type="gramEnd"/>
      <w:r w:rsidRPr="004865EF">
        <w:rPr>
          <w:rFonts w:ascii="Calibri" w:eastAsia="宋体" w:hAnsi="Calibri" w:cs="Times New Roman" w:hint="eastAsia"/>
          <w:sz w:val="24"/>
        </w:rPr>
        <w:t>基地一期均属于公司数据中心扩张战略的一部分</w:t>
      </w:r>
      <w:r w:rsidRPr="004865EF">
        <w:rPr>
          <w:rFonts w:ascii="Times New Roman" w:eastAsia="宋体" w:hAnsi="Times New Roman" w:cs="Times New Roman"/>
          <w:sz w:val="24"/>
        </w:rPr>
        <w:t>，旨在加快公司在核心城市及周边布局数据中心的步伐，增加公司拥有的自建机柜数量，在提升公司的整体收入规模和增强公司整体盈利能力的同时，进一步提高公司的综合竞争力，提升公司在</w:t>
      </w:r>
      <w:r w:rsidRPr="004865EF">
        <w:rPr>
          <w:rFonts w:ascii="Times New Roman" w:eastAsia="宋体" w:hAnsi="Times New Roman" w:cs="Times New Roman"/>
          <w:sz w:val="24"/>
        </w:rPr>
        <w:t>IDC</w:t>
      </w:r>
      <w:r w:rsidRPr="004865EF">
        <w:rPr>
          <w:rFonts w:ascii="Times New Roman" w:eastAsia="宋体" w:hAnsi="Times New Roman" w:cs="Times New Roman"/>
          <w:sz w:val="24"/>
        </w:rPr>
        <w:t>行业的行业地位。</w:t>
      </w:r>
    </w:p>
    <w:p w14:paraId="01F888B9" w14:textId="77777777" w:rsidR="00626513" w:rsidRPr="004865EF" w:rsidRDefault="00626513" w:rsidP="00626513">
      <w:pPr>
        <w:spacing w:beforeLines="50" w:before="120" w:line="360" w:lineRule="auto"/>
        <w:ind w:firstLineChars="200" w:firstLine="482"/>
        <w:rPr>
          <w:rFonts w:ascii="Times New Roman" w:eastAsia="宋体" w:hAnsi="Times New Roman" w:cs="Times New Roman"/>
          <w:b/>
          <w:sz w:val="24"/>
        </w:rPr>
      </w:pPr>
      <w:r w:rsidRPr="004865EF">
        <w:rPr>
          <w:rFonts w:ascii="Times New Roman" w:eastAsia="宋体" w:hAnsi="Times New Roman" w:cs="Times New Roman" w:hint="eastAsia"/>
          <w:b/>
          <w:sz w:val="24"/>
        </w:rPr>
        <w:t>（二）本次</w:t>
      </w:r>
      <w:proofErr w:type="gramStart"/>
      <w:r w:rsidRPr="004865EF">
        <w:rPr>
          <w:rFonts w:ascii="Times New Roman" w:eastAsia="宋体" w:hAnsi="Times New Roman" w:cs="Times New Roman" w:hint="eastAsia"/>
          <w:b/>
          <w:sz w:val="24"/>
        </w:rPr>
        <w:t>募投项目</w:t>
      </w:r>
      <w:proofErr w:type="gramEnd"/>
      <w:r w:rsidRPr="004865EF">
        <w:rPr>
          <w:rFonts w:ascii="Times New Roman" w:eastAsia="宋体" w:hAnsi="Times New Roman" w:cs="Times New Roman" w:hint="eastAsia"/>
          <w:b/>
          <w:sz w:val="24"/>
        </w:rPr>
        <w:t>不存在重复建设</w:t>
      </w:r>
    </w:p>
    <w:p w14:paraId="36A1DDAD" w14:textId="77777777"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除</w:t>
      </w:r>
      <w:r w:rsidRPr="004865EF">
        <w:rPr>
          <w:rFonts w:ascii="Times New Roman" w:eastAsia="宋体" w:hAnsi="Times New Roman" w:cs="Times New Roman" w:hint="eastAsia"/>
          <w:sz w:val="24"/>
        </w:rPr>
        <w:t>2016</w:t>
      </w:r>
      <w:r w:rsidRPr="004865EF">
        <w:rPr>
          <w:rFonts w:ascii="Times New Roman" w:eastAsia="宋体" w:hAnsi="Times New Roman" w:cs="Times New Roman" w:hint="eastAsia"/>
          <w:sz w:val="24"/>
        </w:rPr>
        <w:t>年重组现金对价和补充流动资金外，发行人前次</w:t>
      </w:r>
      <w:proofErr w:type="gramStart"/>
      <w:r w:rsidRPr="004865EF">
        <w:rPr>
          <w:rFonts w:ascii="Times New Roman" w:eastAsia="宋体" w:hAnsi="Times New Roman" w:cs="Times New Roman" w:hint="eastAsia"/>
          <w:sz w:val="24"/>
        </w:rPr>
        <w:t>募投项目</w:t>
      </w:r>
      <w:proofErr w:type="gramEnd"/>
      <w:r w:rsidRPr="004865EF">
        <w:rPr>
          <w:rFonts w:ascii="Times New Roman" w:eastAsia="宋体" w:hAnsi="Times New Roman" w:cs="Times New Roman"/>
          <w:sz w:val="24"/>
        </w:rPr>
        <w:t>与本次</w:t>
      </w:r>
      <w:proofErr w:type="gramStart"/>
      <w:r w:rsidRPr="004865EF">
        <w:rPr>
          <w:rFonts w:ascii="Times New Roman" w:eastAsia="宋体" w:hAnsi="Times New Roman" w:cs="Times New Roman"/>
          <w:sz w:val="24"/>
        </w:rPr>
        <w:t>募</w:t>
      </w:r>
      <w:r w:rsidRPr="004865EF">
        <w:rPr>
          <w:rFonts w:ascii="Times New Roman" w:eastAsia="宋体" w:hAnsi="Times New Roman" w:cs="Times New Roman"/>
          <w:sz w:val="24"/>
        </w:rPr>
        <w:lastRenderedPageBreak/>
        <w:t>投项目</w:t>
      </w:r>
      <w:proofErr w:type="gramEnd"/>
      <w:r w:rsidRPr="004865EF">
        <w:rPr>
          <w:rFonts w:ascii="Times New Roman" w:eastAsia="宋体" w:hAnsi="Times New Roman" w:cs="Times New Roman"/>
          <w:sz w:val="24"/>
        </w:rPr>
        <w:t>对比如下</w:t>
      </w:r>
      <w:r w:rsidRPr="004865EF">
        <w:rPr>
          <w:rFonts w:ascii="Times New Roman" w:eastAsia="宋体" w:hAnsi="Times New Roman" w:cs="Times New Roman" w:hint="eastAsia"/>
          <w:sz w:val="24"/>
        </w:rPr>
        <w:t>：</w:t>
      </w:r>
    </w:p>
    <w:tbl>
      <w:tblPr>
        <w:tblW w:w="5672" w:type="pct"/>
        <w:tblInd w:w="-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
        <w:gridCol w:w="1987"/>
        <w:gridCol w:w="2596"/>
        <w:gridCol w:w="521"/>
        <w:gridCol w:w="567"/>
        <w:gridCol w:w="1823"/>
        <w:gridCol w:w="1170"/>
      </w:tblGrid>
      <w:tr w:rsidR="004865EF" w:rsidRPr="004865EF" w14:paraId="29A03C04" w14:textId="77777777" w:rsidTr="00216C17">
        <w:trPr>
          <w:trHeight w:val="20"/>
        </w:trPr>
        <w:tc>
          <w:tcPr>
            <w:tcW w:w="4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AC1FFBA" w14:textId="77777777" w:rsidR="00E677FC" w:rsidRPr="004865EF" w:rsidRDefault="00E677FC" w:rsidP="00A66425">
            <w:pPr>
              <w:snapToGrid w:val="0"/>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类别</w:t>
            </w:r>
          </w:p>
        </w:tc>
        <w:tc>
          <w:tcPr>
            <w:tcW w:w="104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F7C7728" w14:textId="77777777" w:rsidR="00E677FC" w:rsidRPr="004865EF" w:rsidRDefault="00E677FC" w:rsidP="00A66425">
            <w:pPr>
              <w:snapToGrid w:val="0"/>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项目名称</w:t>
            </w:r>
          </w:p>
        </w:tc>
        <w:tc>
          <w:tcPr>
            <w:tcW w:w="1364" w:type="pct"/>
            <w:tcBorders>
              <w:top w:val="outset" w:sz="6" w:space="0" w:color="auto"/>
              <w:left w:val="outset" w:sz="6" w:space="0" w:color="auto"/>
              <w:bottom w:val="outset" w:sz="6" w:space="0" w:color="auto"/>
              <w:right w:val="outset" w:sz="6" w:space="0" w:color="auto"/>
            </w:tcBorders>
            <w:vAlign w:val="center"/>
          </w:tcPr>
          <w:p w14:paraId="7CABDCC0" w14:textId="77777777" w:rsidR="00E677FC" w:rsidRPr="004865EF" w:rsidRDefault="00E677FC" w:rsidP="00A66425">
            <w:pPr>
              <w:snapToGrid w:val="0"/>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项目备案</w:t>
            </w:r>
          </w:p>
          <w:p w14:paraId="781A1444" w14:textId="6840BBD7" w:rsidR="00E677FC" w:rsidRPr="004865EF" w:rsidRDefault="00E677FC" w:rsidP="00A66425">
            <w:pPr>
              <w:snapToGrid w:val="0"/>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情况</w:t>
            </w:r>
          </w:p>
        </w:tc>
        <w:tc>
          <w:tcPr>
            <w:tcW w:w="27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4F42BA5" w14:textId="0FF2FE7F" w:rsidR="00E677FC" w:rsidRPr="004865EF" w:rsidRDefault="00E677FC" w:rsidP="00A66425">
            <w:pPr>
              <w:snapToGrid w:val="0"/>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实施主体</w:t>
            </w:r>
          </w:p>
        </w:tc>
        <w:tc>
          <w:tcPr>
            <w:tcW w:w="298"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063B4B5C" w14:textId="77777777" w:rsidR="00E677FC" w:rsidRPr="004865EF" w:rsidRDefault="00E677FC" w:rsidP="00A66425">
            <w:pPr>
              <w:snapToGrid w:val="0"/>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实施地点</w:t>
            </w:r>
          </w:p>
        </w:tc>
        <w:tc>
          <w:tcPr>
            <w:tcW w:w="958" w:type="pct"/>
            <w:tcBorders>
              <w:top w:val="outset" w:sz="6" w:space="0" w:color="auto"/>
              <w:left w:val="outset" w:sz="6" w:space="0" w:color="auto"/>
              <w:bottom w:val="outset" w:sz="6" w:space="0" w:color="auto"/>
              <w:right w:val="outset" w:sz="6" w:space="0" w:color="auto"/>
            </w:tcBorders>
            <w:vAlign w:val="center"/>
          </w:tcPr>
          <w:p w14:paraId="2BC6C9E9" w14:textId="77777777" w:rsidR="00E677FC" w:rsidRPr="004865EF" w:rsidRDefault="00E677FC" w:rsidP="00A66425">
            <w:pPr>
              <w:snapToGrid w:val="0"/>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坐落地址</w:t>
            </w:r>
          </w:p>
        </w:tc>
        <w:tc>
          <w:tcPr>
            <w:tcW w:w="616" w:type="pct"/>
            <w:tcBorders>
              <w:top w:val="outset" w:sz="6" w:space="0" w:color="auto"/>
              <w:left w:val="outset" w:sz="6" w:space="0" w:color="auto"/>
              <w:bottom w:val="outset" w:sz="6" w:space="0" w:color="auto"/>
              <w:right w:val="outset" w:sz="6" w:space="0" w:color="auto"/>
            </w:tcBorders>
          </w:tcPr>
          <w:p w14:paraId="043CC00C" w14:textId="4C115CD5" w:rsidR="00E677FC" w:rsidRPr="004865EF" w:rsidRDefault="00E677FC" w:rsidP="00A66425">
            <w:pPr>
              <w:snapToGrid w:val="0"/>
              <w:jc w:val="center"/>
              <w:rPr>
                <w:rFonts w:ascii="Times New Roman" w:eastAsia="宋体" w:hAnsi="Times New Roman" w:cs="Times New Roman"/>
                <w:b/>
                <w:sz w:val="18"/>
                <w:szCs w:val="18"/>
              </w:rPr>
            </w:pPr>
            <w:r w:rsidRPr="004865EF">
              <w:rPr>
                <w:rFonts w:ascii="Times New Roman" w:eastAsia="宋体" w:hAnsi="Times New Roman" w:cs="Times New Roman" w:hint="eastAsia"/>
                <w:b/>
                <w:sz w:val="18"/>
                <w:szCs w:val="18"/>
              </w:rPr>
              <w:t>已建</w:t>
            </w:r>
            <w:r w:rsidRPr="004865EF">
              <w:rPr>
                <w:rFonts w:ascii="Times New Roman" w:eastAsia="宋体" w:hAnsi="Times New Roman" w:cs="Times New Roman"/>
                <w:b/>
                <w:sz w:val="18"/>
                <w:szCs w:val="18"/>
              </w:rPr>
              <w:t>/</w:t>
            </w:r>
            <w:r w:rsidRPr="004865EF">
              <w:rPr>
                <w:rFonts w:ascii="Times New Roman" w:eastAsia="宋体" w:hAnsi="Times New Roman" w:cs="Times New Roman" w:hint="eastAsia"/>
                <w:b/>
                <w:sz w:val="18"/>
                <w:szCs w:val="18"/>
              </w:rPr>
              <w:t>拟建</w:t>
            </w:r>
            <w:r w:rsidR="000B5247" w:rsidRPr="004865EF">
              <w:rPr>
                <w:rFonts w:ascii="Times New Roman" w:eastAsia="宋体" w:hAnsi="Times New Roman" w:cs="Times New Roman" w:hint="eastAsia"/>
                <w:b/>
                <w:sz w:val="18"/>
                <w:szCs w:val="18"/>
              </w:rPr>
              <w:t>（规划）</w:t>
            </w:r>
            <w:r w:rsidRPr="004865EF">
              <w:rPr>
                <w:rFonts w:ascii="Times New Roman" w:eastAsia="宋体" w:hAnsi="Times New Roman" w:cs="Times New Roman" w:hint="eastAsia"/>
                <w:b/>
                <w:sz w:val="18"/>
                <w:szCs w:val="18"/>
              </w:rPr>
              <w:t>机柜数量（</w:t>
            </w:r>
            <w:proofErr w:type="gramStart"/>
            <w:r w:rsidRPr="004865EF">
              <w:rPr>
                <w:rFonts w:ascii="Times New Roman" w:eastAsia="宋体" w:hAnsi="Times New Roman" w:cs="Times New Roman" w:hint="eastAsia"/>
                <w:b/>
                <w:sz w:val="18"/>
                <w:szCs w:val="18"/>
              </w:rPr>
              <w:t>个</w:t>
            </w:r>
            <w:proofErr w:type="gramEnd"/>
            <w:r w:rsidRPr="004865EF">
              <w:rPr>
                <w:rFonts w:ascii="Times New Roman" w:eastAsia="宋体" w:hAnsi="Times New Roman" w:cs="Times New Roman" w:hint="eastAsia"/>
                <w:b/>
                <w:sz w:val="18"/>
                <w:szCs w:val="18"/>
              </w:rPr>
              <w:t>）</w:t>
            </w:r>
          </w:p>
        </w:tc>
      </w:tr>
      <w:tr w:rsidR="004865EF" w:rsidRPr="004865EF" w14:paraId="692D2F21" w14:textId="77777777" w:rsidTr="00216C17">
        <w:trPr>
          <w:trHeight w:val="20"/>
        </w:trPr>
        <w:tc>
          <w:tcPr>
            <w:tcW w:w="447" w:type="pct"/>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vAlign w:val="center"/>
            <w:hideMark/>
          </w:tcPr>
          <w:p w14:paraId="032B2D04" w14:textId="2CBD8148" w:rsidR="00E677FC" w:rsidRPr="004865EF" w:rsidRDefault="00E677FC" w:rsidP="00A66425">
            <w:pPr>
              <w:snapToGrid w:val="0"/>
              <w:rPr>
                <w:rFonts w:ascii="Times New Roman" w:eastAsia="宋体" w:hAnsi="Times New Roman" w:cs="Times New Roman"/>
                <w:sz w:val="18"/>
                <w:szCs w:val="18"/>
              </w:rPr>
            </w:pPr>
            <w:proofErr w:type="gramStart"/>
            <w:r w:rsidRPr="004865EF">
              <w:rPr>
                <w:rFonts w:ascii="Times New Roman" w:eastAsia="宋体" w:hAnsi="Times New Roman" w:cs="Times New Roman" w:hint="eastAsia"/>
                <w:sz w:val="18"/>
                <w:szCs w:val="18"/>
              </w:rPr>
              <w:t>前次募投</w:t>
            </w:r>
            <w:proofErr w:type="gramEnd"/>
            <w:r w:rsidRPr="004865EF">
              <w:rPr>
                <w:rFonts w:ascii="Times New Roman" w:eastAsia="宋体" w:hAnsi="Times New Roman" w:cs="Times New Roman"/>
                <w:sz w:val="18"/>
                <w:szCs w:val="18"/>
              </w:rPr>
              <w:t>-</w:t>
            </w:r>
            <w:r w:rsidR="00762E30" w:rsidRPr="004865EF">
              <w:rPr>
                <w:rFonts w:ascii="Times New Roman" w:eastAsia="宋体" w:hAnsi="Times New Roman" w:cs="Times New Roman"/>
                <w:sz w:val="18"/>
                <w:szCs w:val="18"/>
              </w:rPr>
              <w:t>2016</w:t>
            </w:r>
            <w:r w:rsidR="00762E30" w:rsidRPr="004865EF">
              <w:rPr>
                <w:rFonts w:ascii="Times New Roman" w:eastAsia="宋体" w:hAnsi="Times New Roman" w:cs="Times New Roman"/>
                <w:sz w:val="18"/>
                <w:szCs w:val="18"/>
              </w:rPr>
              <w:t>年发行股份及支付现金购买资产并募集配套资金</w:t>
            </w:r>
          </w:p>
        </w:tc>
        <w:tc>
          <w:tcPr>
            <w:tcW w:w="1044" w:type="pct"/>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2A6A917A"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燕郊绿色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基地二期项目</w:t>
            </w:r>
          </w:p>
        </w:tc>
        <w:tc>
          <w:tcPr>
            <w:tcW w:w="1364" w:type="pct"/>
            <w:tcBorders>
              <w:top w:val="outset" w:sz="6" w:space="0" w:color="auto"/>
              <w:left w:val="outset" w:sz="6" w:space="0" w:color="auto"/>
              <w:bottom w:val="single" w:sz="4" w:space="0" w:color="auto"/>
              <w:right w:val="outset" w:sz="6" w:space="0" w:color="auto"/>
            </w:tcBorders>
            <w:vAlign w:val="center"/>
          </w:tcPr>
          <w:p w14:paraId="5D10B8FE" w14:textId="11D186CC" w:rsidR="00E677FC" w:rsidRPr="004865EF" w:rsidRDefault="00B342B6" w:rsidP="00A66425">
            <w:pPr>
              <w:snapToGrid w:val="0"/>
              <w:rPr>
                <w:rFonts w:ascii="Times New Roman" w:eastAsia="宋体" w:hAnsi="Times New Roman" w:cs="Times New Roman"/>
                <w:sz w:val="18"/>
                <w:szCs w:val="18"/>
              </w:rPr>
            </w:pPr>
            <w:r w:rsidRPr="004865EF">
              <w:rPr>
                <w:rFonts w:ascii="Times New Roman" w:eastAsia="宋体" w:hAnsi="Times New Roman" w:cs="Times New Roman"/>
                <w:sz w:val="18"/>
                <w:szCs w:val="18"/>
              </w:rPr>
              <w:t>河北省固定资产投资项目备案证（</w:t>
            </w:r>
            <w:proofErr w:type="gramStart"/>
            <w:r w:rsidRPr="004865EF">
              <w:rPr>
                <w:rFonts w:ascii="Times New Roman" w:eastAsia="宋体" w:hAnsi="Times New Roman" w:cs="Times New Roman"/>
                <w:sz w:val="18"/>
                <w:szCs w:val="18"/>
              </w:rPr>
              <w:t>燕区经备</w:t>
            </w:r>
            <w:proofErr w:type="gramEnd"/>
            <w:r w:rsidRPr="004865EF">
              <w:rPr>
                <w:rFonts w:ascii="Times New Roman" w:eastAsia="宋体" w:hAnsi="Times New Roman" w:cs="Times New Roman"/>
                <w:sz w:val="18"/>
                <w:szCs w:val="18"/>
              </w:rPr>
              <w:t>字</w:t>
            </w:r>
            <w:r w:rsidRPr="004865EF">
              <w:rPr>
                <w:rFonts w:ascii="Times New Roman" w:eastAsia="宋体" w:hAnsi="Times New Roman" w:cs="Times New Roman"/>
                <w:sz w:val="18"/>
                <w:szCs w:val="18"/>
              </w:rPr>
              <w:t>(2015)42</w:t>
            </w:r>
            <w:r w:rsidRPr="004865EF">
              <w:rPr>
                <w:rFonts w:ascii="Times New Roman" w:eastAsia="宋体" w:hAnsi="Times New Roman" w:cs="Times New Roman"/>
                <w:sz w:val="18"/>
                <w:szCs w:val="18"/>
              </w:rPr>
              <w:t>号），</w:t>
            </w:r>
          </w:p>
        </w:tc>
        <w:tc>
          <w:tcPr>
            <w:tcW w:w="274" w:type="pct"/>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555BB071" w14:textId="1B887582"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光环云谷</w:t>
            </w:r>
          </w:p>
        </w:tc>
        <w:tc>
          <w:tcPr>
            <w:tcW w:w="298" w:type="pct"/>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398CB598" w14:textId="77777777"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河北燕郊</w:t>
            </w:r>
          </w:p>
        </w:tc>
        <w:tc>
          <w:tcPr>
            <w:tcW w:w="958" w:type="pct"/>
            <w:tcBorders>
              <w:top w:val="outset" w:sz="6" w:space="0" w:color="auto"/>
              <w:left w:val="outset" w:sz="6" w:space="0" w:color="auto"/>
              <w:bottom w:val="single" w:sz="4" w:space="0" w:color="auto"/>
              <w:right w:val="outset" w:sz="6" w:space="0" w:color="auto"/>
            </w:tcBorders>
            <w:vAlign w:val="center"/>
          </w:tcPr>
          <w:p w14:paraId="661F5A30"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河北省三河市</w:t>
            </w:r>
            <w:proofErr w:type="gramStart"/>
            <w:r w:rsidRPr="004865EF">
              <w:rPr>
                <w:rFonts w:ascii="Times New Roman" w:eastAsia="宋体" w:hAnsi="Times New Roman" w:cs="Times New Roman" w:hint="eastAsia"/>
                <w:sz w:val="18"/>
                <w:szCs w:val="18"/>
              </w:rPr>
              <w:t>燕郊高新区创意谷街</w:t>
            </w:r>
            <w:proofErr w:type="gramEnd"/>
            <w:r w:rsidRPr="004865EF">
              <w:rPr>
                <w:rFonts w:ascii="Times New Roman" w:eastAsia="宋体" w:hAnsi="Times New Roman" w:cs="Times New Roman"/>
                <w:sz w:val="18"/>
                <w:szCs w:val="18"/>
              </w:rPr>
              <w:t>454</w:t>
            </w:r>
            <w:r w:rsidRPr="004865EF">
              <w:rPr>
                <w:rFonts w:ascii="Times New Roman" w:eastAsia="宋体" w:hAnsi="Times New Roman" w:cs="Times New Roman" w:hint="eastAsia"/>
                <w:sz w:val="18"/>
                <w:szCs w:val="18"/>
              </w:rPr>
              <w:t>岩峰高新产业园</w:t>
            </w:r>
          </w:p>
        </w:tc>
        <w:tc>
          <w:tcPr>
            <w:tcW w:w="616" w:type="pct"/>
            <w:tcBorders>
              <w:top w:val="outset" w:sz="6" w:space="0" w:color="auto"/>
              <w:left w:val="outset" w:sz="6" w:space="0" w:color="auto"/>
              <w:bottom w:val="single" w:sz="4" w:space="0" w:color="auto"/>
              <w:right w:val="outset" w:sz="6" w:space="0" w:color="auto"/>
            </w:tcBorders>
            <w:vAlign w:val="center"/>
          </w:tcPr>
          <w:p w14:paraId="5BD3D8B3" w14:textId="7888CA81" w:rsidR="00E677FC" w:rsidRPr="004865EF" w:rsidRDefault="00535725"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kern w:val="0"/>
                <w:sz w:val="18"/>
                <w:szCs w:val="18"/>
              </w:rPr>
              <w:t>1,320</w:t>
            </w:r>
          </w:p>
        </w:tc>
      </w:tr>
      <w:tr w:rsidR="004865EF" w:rsidRPr="004865EF" w14:paraId="11684016" w14:textId="77777777" w:rsidTr="00216C17">
        <w:trPr>
          <w:trHeight w:val="20"/>
        </w:trPr>
        <w:tc>
          <w:tcPr>
            <w:tcW w:w="447" w:type="pct"/>
            <w:vMerge/>
            <w:tcBorders>
              <w:left w:val="outset" w:sz="6" w:space="0" w:color="auto"/>
              <w:right w:val="outset" w:sz="6" w:space="0" w:color="auto"/>
            </w:tcBorders>
            <w:shd w:val="clear" w:color="auto" w:fill="auto"/>
            <w:tcMar>
              <w:top w:w="75" w:type="dxa"/>
              <w:left w:w="75" w:type="dxa"/>
              <w:bottom w:w="75" w:type="dxa"/>
              <w:right w:w="75" w:type="dxa"/>
            </w:tcMar>
            <w:vAlign w:val="center"/>
          </w:tcPr>
          <w:p w14:paraId="0575F89B" w14:textId="77777777" w:rsidR="00E677FC" w:rsidRPr="004865EF" w:rsidRDefault="00E677FC" w:rsidP="00A66425">
            <w:pPr>
              <w:snapToGrid w:val="0"/>
              <w:rPr>
                <w:rFonts w:ascii="Times New Roman" w:eastAsia="宋体" w:hAnsi="Times New Roman" w:cs="Times New Roman"/>
                <w:sz w:val="18"/>
                <w:szCs w:val="18"/>
              </w:rPr>
            </w:pPr>
          </w:p>
        </w:tc>
        <w:tc>
          <w:tcPr>
            <w:tcW w:w="1044" w:type="pct"/>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19CF1034"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上海嘉定绿色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基地一期项目</w:t>
            </w:r>
          </w:p>
        </w:tc>
        <w:tc>
          <w:tcPr>
            <w:tcW w:w="1364" w:type="pct"/>
            <w:tcBorders>
              <w:top w:val="single" w:sz="4" w:space="0" w:color="auto"/>
              <w:left w:val="outset" w:sz="6" w:space="0" w:color="auto"/>
              <w:bottom w:val="single" w:sz="4" w:space="0" w:color="auto"/>
              <w:right w:val="outset" w:sz="6" w:space="0" w:color="auto"/>
            </w:tcBorders>
            <w:vAlign w:val="center"/>
          </w:tcPr>
          <w:p w14:paraId="3F0DAFA5" w14:textId="59CEFD99" w:rsidR="00E677FC" w:rsidRPr="004865EF" w:rsidRDefault="00B342B6"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上海市企业投资项目备案意见（</w:t>
            </w:r>
            <w:proofErr w:type="gramStart"/>
            <w:r w:rsidRPr="004865EF">
              <w:rPr>
                <w:rFonts w:ascii="Times New Roman" w:eastAsia="宋体" w:hAnsi="Times New Roman" w:cs="Times New Roman" w:hint="eastAsia"/>
                <w:sz w:val="18"/>
                <w:szCs w:val="18"/>
              </w:rPr>
              <w:t>嘉经备</w:t>
            </w:r>
            <w:proofErr w:type="gramEnd"/>
            <w:r w:rsidRPr="004865EF">
              <w:rPr>
                <w:rFonts w:ascii="Times New Roman" w:eastAsia="宋体" w:hAnsi="Times New Roman" w:cs="Times New Roman"/>
                <w:sz w:val="18"/>
                <w:szCs w:val="18"/>
              </w:rPr>
              <w:t>(2015)084</w:t>
            </w:r>
            <w:r w:rsidRPr="004865EF">
              <w:rPr>
                <w:rFonts w:ascii="Times New Roman" w:eastAsia="宋体" w:hAnsi="Times New Roman" w:cs="Times New Roman" w:hint="eastAsia"/>
                <w:sz w:val="18"/>
                <w:szCs w:val="18"/>
              </w:rPr>
              <w:t>号）</w:t>
            </w:r>
          </w:p>
        </w:tc>
        <w:tc>
          <w:tcPr>
            <w:tcW w:w="274" w:type="pct"/>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37AD4FB7" w14:textId="6595CE06"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光环上海</w:t>
            </w:r>
          </w:p>
        </w:tc>
        <w:tc>
          <w:tcPr>
            <w:tcW w:w="298" w:type="pct"/>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0ED7FB7F" w14:textId="77777777"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上海嘉定</w:t>
            </w:r>
          </w:p>
        </w:tc>
        <w:tc>
          <w:tcPr>
            <w:tcW w:w="958" w:type="pct"/>
            <w:tcBorders>
              <w:top w:val="single" w:sz="4" w:space="0" w:color="auto"/>
              <w:left w:val="outset" w:sz="6" w:space="0" w:color="auto"/>
              <w:bottom w:val="single" w:sz="4" w:space="0" w:color="auto"/>
              <w:right w:val="outset" w:sz="6" w:space="0" w:color="auto"/>
            </w:tcBorders>
            <w:vAlign w:val="center"/>
          </w:tcPr>
          <w:p w14:paraId="0ED7ECB7" w14:textId="77777777" w:rsidR="00E677FC" w:rsidRPr="004865EF" w:rsidRDefault="00E677FC" w:rsidP="00A66425">
            <w:pPr>
              <w:snapToGrid w:val="0"/>
              <w:rPr>
                <w:rFonts w:ascii="Times New Roman" w:eastAsia="宋体" w:hAnsi="Times New Roman" w:cs="Times New Roman"/>
                <w:sz w:val="18"/>
                <w:szCs w:val="18"/>
              </w:rPr>
            </w:pPr>
            <w:proofErr w:type="gramStart"/>
            <w:r w:rsidRPr="004865EF">
              <w:rPr>
                <w:rFonts w:ascii="Times New Roman" w:eastAsia="宋体" w:hAnsi="Times New Roman" w:cs="Times New Roman" w:hint="eastAsia"/>
                <w:sz w:val="18"/>
                <w:szCs w:val="18"/>
              </w:rPr>
              <w:t>嘉定区兴顺路</w:t>
            </w:r>
            <w:proofErr w:type="gramEnd"/>
            <w:r w:rsidRPr="004865EF">
              <w:rPr>
                <w:rFonts w:ascii="Times New Roman" w:eastAsia="宋体" w:hAnsi="Times New Roman" w:cs="Times New Roman"/>
                <w:sz w:val="18"/>
                <w:szCs w:val="18"/>
              </w:rPr>
              <w:t>1000</w:t>
            </w:r>
            <w:r w:rsidRPr="004865EF">
              <w:rPr>
                <w:rFonts w:ascii="Times New Roman" w:eastAsia="宋体" w:hAnsi="Times New Roman" w:cs="Times New Roman" w:hint="eastAsia"/>
                <w:sz w:val="18"/>
                <w:szCs w:val="18"/>
              </w:rPr>
              <w:t>号</w:t>
            </w:r>
          </w:p>
        </w:tc>
        <w:tc>
          <w:tcPr>
            <w:tcW w:w="616" w:type="pct"/>
            <w:tcBorders>
              <w:top w:val="single" w:sz="4" w:space="0" w:color="auto"/>
              <w:left w:val="outset" w:sz="6" w:space="0" w:color="auto"/>
              <w:bottom w:val="single" w:sz="4" w:space="0" w:color="auto"/>
              <w:right w:val="outset" w:sz="6" w:space="0" w:color="auto"/>
            </w:tcBorders>
            <w:shd w:val="clear" w:color="auto" w:fill="auto"/>
            <w:vAlign w:val="center"/>
          </w:tcPr>
          <w:p w14:paraId="0CA0D717" w14:textId="77777777"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kern w:val="0"/>
                <w:sz w:val="18"/>
                <w:szCs w:val="18"/>
              </w:rPr>
              <w:t>4,500</w:t>
            </w:r>
          </w:p>
        </w:tc>
      </w:tr>
      <w:tr w:rsidR="004865EF" w:rsidRPr="004865EF" w14:paraId="0C6278A7" w14:textId="77777777" w:rsidTr="00216C17">
        <w:trPr>
          <w:trHeight w:val="20"/>
        </w:trPr>
        <w:tc>
          <w:tcPr>
            <w:tcW w:w="447" w:type="pct"/>
            <w:vMerge/>
            <w:tcBorders>
              <w:left w:val="outset" w:sz="6" w:space="0" w:color="auto"/>
              <w:right w:val="outset" w:sz="6" w:space="0" w:color="auto"/>
            </w:tcBorders>
            <w:shd w:val="clear" w:color="auto" w:fill="auto"/>
            <w:tcMar>
              <w:top w:w="75" w:type="dxa"/>
              <w:left w:w="75" w:type="dxa"/>
              <w:bottom w:w="75" w:type="dxa"/>
              <w:right w:w="75" w:type="dxa"/>
            </w:tcMar>
            <w:vAlign w:val="center"/>
          </w:tcPr>
          <w:p w14:paraId="676F3E58" w14:textId="77777777" w:rsidR="00E677FC" w:rsidRPr="004865EF" w:rsidRDefault="00E677FC" w:rsidP="00A66425">
            <w:pPr>
              <w:snapToGrid w:val="0"/>
              <w:rPr>
                <w:rFonts w:ascii="Times New Roman" w:eastAsia="宋体" w:hAnsi="Times New Roman" w:cs="Times New Roman"/>
                <w:sz w:val="18"/>
                <w:szCs w:val="18"/>
              </w:rPr>
            </w:pPr>
          </w:p>
        </w:tc>
        <w:tc>
          <w:tcPr>
            <w:tcW w:w="1044" w:type="pct"/>
            <w:tcBorders>
              <w:top w:val="single" w:sz="4" w:space="0" w:color="auto"/>
              <w:left w:val="outset" w:sz="6" w:space="0" w:color="auto"/>
              <w:right w:val="outset" w:sz="6" w:space="0" w:color="auto"/>
            </w:tcBorders>
            <w:shd w:val="clear" w:color="auto" w:fill="auto"/>
            <w:tcMar>
              <w:top w:w="75" w:type="dxa"/>
              <w:left w:w="75" w:type="dxa"/>
              <w:bottom w:w="75" w:type="dxa"/>
              <w:right w:w="75" w:type="dxa"/>
            </w:tcMar>
            <w:vAlign w:val="center"/>
          </w:tcPr>
          <w:p w14:paraId="31B79235"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房山绿色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基地一期项目</w:t>
            </w:r>
          </w:p>
        </w:tc>
        <w:tc>
          <w:tcPr>
            <w:tcW w:w="1364" w:type="pct"/>
            <w:tcBorders>
              <w:top w:val="single" w:sz="4" w:space="0" w:color="auto"/>
              <w:left w:val="outset" w:sz="6" w:space="0" w:color="auto"/>
              <w:right w:val="outset" w:sz="6" w:space="0" w:color="auto"/>
            </w:tcBorders>
            <w:vAlign w:val="center"/>
          </w:tcPr>
          <w:p w14:paraId="380D7E68" w14:textId="4020E3E8" w:rsidR="00E677FC" w:rsidRPr="004865EF" w:rsidRDefault="00B342B6"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北京市非政府投资工业固定资产投资项目备案通知书（京房山</w:t>
            </w:r>
            <w:proofErr w:type="gramStart"/>
            <w:r w:rsidRPr="004865EF">
              <w:rPr>
                <w:rFonts w:ascii="Times New Roman" w:eastAsia="宋体" w:hAnsi="Times New Roman" w:cs="Times New Roman" w:hint="eastAsia"/>
                <w:sz w:val="18"/>
                <w:szCs w:val="18"/>
              </w:rPr>
              <w:t>经信委备案</w:t>
            </w:r>
            <w:proofErr w:type="gramEnd"/>
            <w:r w:rsidRPr="004865EF">
              <w:rPr>
                <w:rFonts w:ascii="Times New Roman" w:eastAsia="宋体" w:hAnsi="Times New Roman" w:cs="Times New Roman"/>
                <w:sz w:val="18"/>
                <w:szCs w:val="18"/>
              </w:rPr>
              <w:t>[2015]021</w:t>
            </w:r>
            <w:r w:rsidRPr="004865EF">
              <w:rPr>
                <w:rFonts w:ascii="Times New Roman" w:eastAsia="宋体" w:hAnsi="Times New Roman" w:cs="Times New Roman" w:hint="eastAsia"/>
                <w:sz w:val="18"/>
                <w:szCs w:val="18"/>
              </w:rPr>
              <w:t>号）</w:t>
            </w:r>
          </w:p>
        </w:tc>
        <w:tc>
          <w:tcPr>
            <w:tcW w:w="274" w:type="pct"/>
            <w:tcBorders>
              <w:top w:val="single" w:sz="4" w:space="0" w:color="auto"/>
              <w:left w:val="outset" w:sz="6" w:space="0" w:color="auto"/>
              <w:right w:val="outset" w:sz="6" w:space="0" w:color="auto"/>
            </w:tcBorders>
            <w:shd w:val="clear" w:color="auto" w:fill="auto"/>
            <w:tcMar>
              <w:top w:w="75" w:type="dxa"/>
              <w:left w:w="75" w:type="dxa"/>
              <w:bottom w:w="75" w:type="dxa"/>
              <w:right w:w="75" w:type="dxa"/>
            </w:tcMar>
            <w:vAlign w:val="center"/>
          </w:tcPr>
          <w:p w14:paraId="6A70C5BB" w14:textId="0B182343" w:rsidR="00E677FC" w:rsidRPr="004865EF" w:rsidRDefault="00E677FC" w:rsidP="00A66425">
            <w:pPr>
              <w:snapToGrid w:val="0"/>
              <w:jc w:val="center"/>
              <w:rPr>
                <w:rFonts w:ascii="Times New Roman" w:eastAsia="宋体" w:hAnsi="Times New Roman" w:cs="Times New Roman"/>
                <w:sz w:val="18"/>
                <w:szCs w:val="18"/>
              </w:rPr>
            </w:pPr>
            <w:proofErr w:type="gramStart"/>
            <w:r w:rsidRPr="004865EF">
              <w:rPr>
                <w:rFonts w:ascii="Times New Roman" w:eastAsia="宋体" w:hAnsi="Times New Roman" w:cs="Times New Roman" w:hint="eastAsia"/>
                <w:sz w:val="18"/>
                <w:szCs w:val="18"/>
              </w:rPr>
              <w:t>德信致远</w:t>
            </w:r>
            <w:proofErr w:type="gramEnd"/>
          </w:p>
        </w:tc>
        <w:tc>
          <w:tcPr>
            <w:tcW w:w="298" w:type="pct"/>
            <w:tcBorders>
              <w:top w:val="single" w:sz="4" w:space="0" w:color="auto"/>
              <w:left w:val="outset" w:sz="6" w:space="0" w:color="auto"/>
              <w:right w:val="outset" w:sz="6" w:space="0" w:color="auto"/>
            </w:tcBorders>
            <w:shd w:val="clear" w:color="auto" w:fill="auto"/>
            <w:tcMar>
              <w:top w:w="75" w:type="dxa"/>
              <w:left w:w="75" w:type="dxa"/>
              <w:bottom w:w="75" w:type="dxa"/>
              <w:right w:w="75" w:type="dxa"/>
            </w:tcMar>
            <w:vAlign w:val="center"/>
          </w:tcPr>
          <w:p w14:paraId="035E85E8" w14:textId="77777777"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北京房山</w:t>
            </w:r>
          </w:p>
        </w:tc>
        <w:tc>
          <w:tcPr>
            <w:tcW w:w="958" w:type="pct"/>
            <w:tcBorders>
              <w:top w:val="single" w:sz="4" w:space="0" w:color="auto"/>
              <w:left w:val="outset" w:sz="6" w:space="0" w:color="auto"/>
              <w:right w:val="outset" w:sz="6" w:space="0" w:color="auto"/>
            </w:tcBorders>
            <w:vAlign w:val="center"/>
          </w:tcPr>
          <w:p w14:paraId="5C43C921"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房山区窦店镇高端制造业基地</w:t>
            </w:r>
            <w:r w:rsidRPr="004865EF">
              <w:rPr>
                <w:rFonts w:ascii="Times New Roman" w:eastAsia="宋体" w:hAnsi="Times New Roman" w:cs="Times New Roman"/>
                <w:sz w:val="18"/>
                <w:szCs w:val="18"/>
              </w:rPr>
              <w:t>03</w:t>
            </w:r>
            <w:r w:rsidRPr="004865EF">
              <w:rPr>
                <w:rFonts w:ascii="Times New Roman" w:eastAsia="宋体" w:hAnsi="Times New Roman" w:cs="Times New Roman" w:hint="eastAsia"/>
                <w:sz w:val="18"/>
                <w:szCs w:val="18"/>
              </w:rPr>
              <w:t>街区</w:t>
            </w:r>
            <w:r w:rsidRPr="004865EF">
              <w:rPr>
                <w:rFonts w:ascii="Times New Roman" w:eastAsia="宋体" w:hAnsi="Times New Roman" w:cs="Times New Roman"/>
                <w:sz w:val="18"/>
                <w:szCs w:val="18"/>
              </w:rPr>
              <w:t>O</w:t>
            </w:r>
            <w:r w:rsidRPr="004865EF">
              <w:rPr>
                <w:rFonts w:ascii="Times New Roman" w:eastAsia="宋体" w:hAnsi="Times New Roman" w:cs="Times New Roman" w:hint="eastAsia"/>
                <w:sz w:val="18"/>
                <w:szCs w:val="18"/>
              </w:rPr>
              <w:t>区</w:t>
            </w:r>
          </w:p>
        </w:tc>
        <w:tc>
          <w:tcPr>
            <w:tcW w:w="616" w:type="pct"/>
            <w:tcBorders>
              <w:top w:val="single" w:sz="4" w:space="0" w:color="auto"/>
              <w:left w:val="outset" w:sz="6" w:space="0" w:color="auto"/>
              <w:right w:val="outset" w:sz="6" w:space="0" w:color="auto"/>
            </w:tcBorders>
            <w:vAlign w:val="center"/>
          </w:tcPr>
          <w:p w14:paraId="2F87EB81" w14:textId="32CDA921" w:rsidR="00E677FC" w:rsidRPr="004865EF" w:rsidRDefault="00E25536"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sz w:val="18"/>
                <w:szCs w:val="18"/>
              </w:rPr>
              <w:t>5,760</w:t>
            </w:r>
          </w:p>
        </w:tc>
      </w:tr>
      <w:tr w:rsidR="004865EF" w:rsidRPr="004865EF" w14:paraId="118B89C8" w14:textId="77777777" w:rsidTr="00216C17">
        <w:trPr>
          <w:trHeight w:val="20"/>
        </w:trPr>
        <w:tc>
          <w:tcPr>
            <w:tcW w:w="447" w:type="pct"/>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vAlign w:val="center"/>
            <w:hideMark/>
          </w:tcPr>
          <w:p w14:paraId="38BB4867"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本次</w:t>
            </w:r>
            <w:proofErr w:type="gramStart"/>
            <w:r w:rsidRPr="004865EF">
              <w:rPr>
                <w:rFonts w:ascii="Times New Roman" w:eastAsia="宋体" w:hAnsi="Times New Roman" w:cs="Times New Roman" w:hint="eastAsia"/>
                <w:sz w:val="18"/>
                <w:szCs w:val="18"/>
              </w:rPr>
              <w:t>募投项目</w:t>
            </w:r>
            <w:proofErr w:type="gramEnd"/>
          </w:p>
        </w:tc>
        <w:tc>
          <w:tcPr>
            <w:tcW w:w="1044" w:type="pct"/>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03D577EE"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北京房山绿色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数据中心二期</w:t>
            </w:r>
          </w:p>
        </w:tc>
        <w:tc>
          <w:tcPr>
            <w:tcW w:w="1364" w:type="pct"/>
            <w:tcBorders>
              <w:top w:val="outset" w:sz="6" w:space="0" w:color="auto"/>
              <w:left w:val="outset" w:sz="6" w:space="0" w:color="auto"/>
              <w:bottom w:val="single" w:sz="4" w:space="0" w:color="auto"/>
              <w:right w:val="outset" w:sz="6" w:space="0" w:color="auto"/>
            </w:tcBorders>
            <w:vAlign w:val="center"/>
          </w:tcPr>
          <w:p w14:paraId="27C783FA" w14:textId="3FF570E4" w:rsidR="00E677FC" w:rsidRPr="004865EF" w:rsidRDefault="00B226D9"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北京市非政府投资工业固定资产投资项目备案通知书（京房山</w:t>
            </w:r>
            <w:proofErr w:type="gramStart"/>
            <w:r w:rsidRPr="004865EF">
              <w:rPr>
                <w:rFonts w:ascii="Times New Roman" w:eastAsia="宋体" w:hAnsi="Times New Roman" w:cs="Times New Roman" w:hint="eastAsia"/>
                <w:sz w:val="18"/>
                <w:szCs w:val="18"/>
              </w:rPr>
              <w:t>经信委备案</w:t>
            </w:r>
            <w:proofErr w:type="gramEnd"/>
            <w:r w:rsidRPr="004865EF">
              <w:rPr>
                <w:rFonts w:ascii="Times New Roman" w:eastAsia="宋体" w:hAnsi="Times New Roman" w:cs="Times New Roman"/>
                <w:sz w:val="18"/>
                <w:szCs w:val="18"/>
              </w:rPr>
              <w:t>[2016]033</w:t>
            </w:r>
            <w:r w:rsidRPr="004865EF">
              <w:rPr>
                <w:rFonts w:ascii="Times New Roman" w:eastAsia="宋体" w:hAnsi="Times New Roman" w:cs="Times New Roman" w:hint="eastAsia"/>
                <w:sz w:val="18"/>
                <w:szCs w:val="18"/>
              </w:rPr>
              <w:t>号）</w:t>
            </w:r>
          </w:p>
        </w:tc>
        <w:tc>
          <w:tcPr>
            <w:tcW w:w="274" w:type="pct"/>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2F669724" w14:textId="78B7370A" w:rsidR="00E677FC" w:rsidRPr="004865EF" w:rsidRDefault="00E677FC" w:rsidP="00A66425">
            <w:pPr>
              <w:snapToGrid w:val="0"/>
              <w:jc w:val="center"/>
              <w:rPr>
                <w:rFonts w:ascii="Times New Roman" w:eastAsia="宋体" w:hAnsi="Times New Roman" w:cs="Times New Roman"/>
                <w:sz w:val="18"/>
                <w:szCs w:val="18"/>
              </w:rPr>
            </w:pPr>
            <w:proofErr w:type="gramStart"/>
            <w:r w:rsidRPr="004865EF">
              <w:rPr>
                <w:rFonts w:ascii="Times New Roman" w:eastAsia="宋体" w:hAnsi="Times New Roman" w:cs="Times New Roman" w:hint="eastAsia"/>
                <w:sz w:val="18"/>
                <w:szCs w:val="18"/>
              </w:rPr>
              <w:t>德信致远</w:t>
            </w:r>
            <w:proofErr w:type="gramEnd"/>
          </w:p>
        </w:tc>
        <w:tc>
          <w:tcPr>
            <w:tcW w:w="298" w:type="pct"/>
            <w:tcBorders>
              <w:top w:val="outset" w:sz="6"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0DC103F7" w14:textId="77777777"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北京房山</w:t>
            </w:r>
          </w:p>
        </w:tc>
        <w:tc>
          <w:tcPr>
            <w:tcW w:w="958" w:type="pct"/>
            <w:tcBorders>
              <w:top w:val="outset" w:sz="6" w:space="0" w:color="auto"/>
              <w:left w:val="outset" w:sz="6" w:space="0" w:color="auto"/>
              <w:bottom w:val="single" w:sz="4" w:space="0" w:color="auto"/>
              <w:right w:val="outset" w:sz="6" w:space="0" w:color="auto"/>
            </w:tcBorders>
            <w:vAlign w:val="center"/>
          </w:tcPr>
          <w:p w14:paraId="40C1E3F0"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房山区窦店镇高端制造业基地</w:t>
            </w:r>
            <w:r w:rsidRPr="004865EF">
              <w:rPr>
                <w:rFonts w:ascii="Times New Roman" w:eastAsia="宋体" w:hAnsi="Times New Roman" w:cs="Times New Roman"/>
                <w:sz w:val="18"/>
                <w:szCs w:val="18"/>
              </w:rPr>
              <w:t>03</w:t>
            </w:r>
            <w:r w:rsidRPr="004865EF">
              <w:rPr>
                <w:rFonts w:ascii="Times New Roman" w:eastAsia="宋体" w:hAnsi="Times New Roman" w:cs="Times New Roman" w:hint="eastAsia"/>
                <w:sz w:val="18"/>
                <w:szCs w:val="18"/>
              </w:rPr>
              <w:t>街区</w:t>
            </w:r>
            <w:r w:rsidRPr="004865EF">
              <w:rPr>
                <w:rFonts w:ascii="Times New Roman" w:eastAsia="宋体" w:hAnsi="Times New Roman" w:cs="Times New Roman"/>
                <w:sz w:val="18"/>
                <w:szCs w:val="18"/>
              </w:rPr>
              <w:t>R</w:t>
            </w:r>
            <w:r w:rsidRPr="004865EF">
              <w:rPr>
                <w:rFonts w:ascii="Times New Roman" w:eastAsia="宋体" w:hAnsi="Times New Roman" w:cs="Times New Roman" w:hint="eastAsia"/>
                <w:sz w:val="18"/>
                <w:szCs w:val="18"/>
              </w:rPr>
              <w:t>区一期</w:t>
            </w:r>
          </w:p>
        </w:tc>
        <w:tc>
          <w:tcPr>
            <w:tcW w:w="616" w:type="pct"/>
            <w:tcBorders>
              <w:top w:val="outset" w:sz="6" w:space="0" w:color="auto"/>
              <w:left w:val="outset" w:sz="6" w:space="0" w:color="auto"/>
              <w:bottom w:val="single" w:sz="4" w:space="0" w:color="auto"/>
              <w:right w:val="outset" w:sz="6" w:space="0" w:color="auto"/>
            </w:tcBorders>
            <w:vAlign w:val="center"/>
          </w:tcPr>
          <w:p w14:paraId="6952336B" w14:textId="77777777" w:rsidR="00E677FC" w:rsidRPr="004865EF" w:rsidRDefault="00E677FC" w:rsidP="00A66425">
            <w:pPr>
              <w:snapToGrid w:val="0"/>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5,000</w:t>
            </w:r>
          </w:p>
        </w:tc>
      </w:tr>
      <w:tr w:rsidR="004865EF" w:rsidRPr="004865EF" w14:paraId="4F341E6C" w14:textId="77777777" w:rsidTr="00216C17">
        <w:trPr>
          <w:trHeight w:val="20"/>
        </w:trPr>
        <w:tc>
          <w:tcPr>
            <w:tcW w:w="447" w:type="pct"/>
            <w:vMerge/>
            <w:tcBorders>
              <w:left w:val="outset" w:sz="6" w:space="0" w:color="auto"/>
              <w:right w:val="outset" w:sz="6" w:space="0" w:color="auto"/>
            </w:tcBorders>
            <w:shd w:val="clear" w:color="auto" w:fill="auto"/>
            <w:tcMar>
              <w:top w:w="75" w:type="dxa"/>
              <w:left w:w="75" w:type="dxa"/>
              <w:bottom w:w="75" w:type="dxa"/>
              <w:right w:w="75" w:type="dxa"/>
            </w:tcMar>
            <w:vAlign w:val="center"/>
          </w:tcPr>
          <w:p w14:paraId="31318570" w14:textId="77777777" w:rsidR="00E677FC" w:rsidRPr="004865EF" w:rsidRDefault="00E677FC" w:rsidP="00A66425">
            <w:pPr>
              <w:snapToGrid w:val="0"/>
              <w:rPr>
                <w:rFonts w:ascii="Times New Roman" w:eastAsia="宋体" w:hAnsi="Times New Roman" w:cs="Times New Roman"/>
                <w:sz w:val="18"/>
                <w:szCs w:val="18"/>
              </w:rPr>
            </w:pPr>
          </w:p>
        </w:tc>
        <w:tc>
          <w:tcPr>
            <w:tcW w:w="1044" w:type="pct"/>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53D8F3FA"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上海嘉定绿色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基地二期</w:t>
            </w:r>
          </w:p>
        </w:tc>
        <w:tc>
          <w:tcPr>
            <w:tcW w:w="1364" w:type="pct"/>
            <w:tcBorders>
              <w:top w:val="single" w:sz="4" w:space="0" w:color="auto"/>
              <w:left w:val="outset" w:sz="6" w:space="0" w:color="auto"/>
              <w:bottom w:val="single" w:sz="4" w:space="0" w:color="auto"/>
              <w:right w:val="outset" w:sz="6" w:space="0" w:color="auto"/>
            </w:tcBorders>
            <w:vAlign w:val="center"/>
          </w:tcPr>
          <w:p w14:paraId="385F536E" w14:textId="41C012F8" w:rsidR="00E677FC" w:rsidRPr="004865EF" w:rsidRDefault="00B226D9"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上海市企业投资备案证明（项目代码：</w:t>
            </w:r>
            <w:r w:rsidRPr="004865EF">
              <w:rPr>
                <w:rFonts w:ascii="Times New Roman" w:eastAsia="宋体" w:hAnsi="Times New Roman" w:cs="Times New Roman"/>
                <w:sz w:val="18"/>
                <w:szCs w:val="18"/>
              </w:rPr>
              <w:t>2019-310114-64-03-007338</w:t>
            </w:r>
            <w:r w:rsidRPr="004865EF">
              <w:rPr>
                <w:rFonts w:ascii="Times New Roman" w:eastAsia="宋体" w:hAnsi="Times New Roman" w:cs="Times New Roman" w:hint="eastAsia"/>
                <w:sz w:val="18"/>
                <w:szCs w:val="18"/>
              </w:rPr>
              <w:t>）</w:t>
            </w:r>
          </w:p>
        </w:tc>
        <w:tc>
          <w:tcPr>
            <w:tcW w:w="274" w:type="pct"/>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451492F0" w14:textId="2C1EE5B6"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上海中可</w:t>
            </w:r>
          </w:p>
        </w:tc>
        <w:tc>
          <w:tcPr>
            <w:tcW w:w="298" w:type="pct"/>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4155E837" w14:textId="77777777"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上海嘉定</w:t>
            </w:r>
          </w:p>
        </w:tc>
        <w:tc>
          <w:tcPr>
            <w:tcW w:w="958" w:type="pct"/>
            <w:tcBorders>
              <w:top w:val="single" w:sz="4" w:space="0" w:color="auto"/>
              <w:left w:val="outset" w:sz="6" w:space="0" w:color="auto"/>
              <w:bottom w:val="single" w:sz="4" w:space="0" w:color="auto"/>
              <w:right w:val="outset" w:sz="6" w:space="0" w:color="auto"/>
            </w:tcBorders>
            <w:vAlign w:val="center"/>
          </w:tcPr>
          <w:p w14:paraId="17BA5675"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嘉定</w:t>
            </w:r>
            <w:proofErr w:type="gramStart"/>
            <w:r w:rsidRPr="004865EF">
              <w:rPr>
                <w:rFonts w:ascii="Times New Roman" w:eastAsia="宋体" w:hAnsi="Times New Roman" w:cs="Times New Roman" w:hint="eastAsia"/>
                <w:sz w:val="18"/>
                <w:szCs w:val="18"/>
              </w:rPr>
              <w:t>区胜辛</w:t>
            </w:r>
            <w:proofErr w:type="gramEnd"/>
            <w:r w:rsidRPr="004865EF">
              <w:rPr>
                <w:rFonts w:ascii="Times New Roman" w:eastAsia="宋体" w:hAnsi="Times New Roman" w:cs="Times New Roman" w:hint="eastAsia"/>
                <w:sz w:val="18"/>
                <w:szCs w:val="18"/>
              </w:rPr>
              <w:t>北路</w:t>
            </w:r>
            <w:r w:rsidRPr="004865EF">
              <w:rPr>
                <w:rFonts w:ascii="Times New Roman" w:eastAsia="宋体" w:hAnsi="Times New Roman" w:cs="Times New Roman"/>
                <w:sz w:val="18"/>
                <w:szCs w:val="18"/>
              </w:rPr>
              <w:t>3388</w:t>
            </w:r>
            <w:r w:rsidRPr="004865EF">
              <w:rPr>
                <w:rFonts w:ascii="Times New Roman" w:eastAsia="宋体" w:hAnsi="Times New Roman" w:cs="Times New Roman" w:hint="eastAsia"/>
                <w:sz w:val="18"/>
                <w:szCs w:val="18"/>
              </w:rPr>
              <w:t>号</w:t>
            </w:r>
          </w:p>
        </w:tc>
        <w:tc>
          <w:tcPr>
            <w:tcW w:w="616" w:type="pct"/>
            <w:tcBorders>
              <w:top w:val="single" w:sz="4" w:space="0" w:color="auto"/>
              <w:left w:val="outset" w:sz="6" w:space="0" w:color="auto"/>
              <w:bottom w:val="single" w:sz="4" w:space="0" w:color="auto"/>
              <w:right w:val="outset" w:sz="6" w:space="0" w:color="auto"/>
            </w:tcBorders>
            <w:vAlign w:val="center"/>
          </w:tcPr>
          <w:p w14:paraId="62937D20" w14:textId="77777777" w:rsidR="00E677FC" w:rsidRPr="004865EF" w:rsidRDefault="00E677FC" w:rsidP="00A66425">
            <w:pPr>
              <w:snapToGrid w:val="0"/>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5,000</w:t>
            </w:r>
          </w:p>
        </w:tc>
      </w:tr>
      <w:tr w:rsidR="004865EF" w:rsidRPr="004865EF" w14:paraId="2839D6A9" w14:textId="77777777" w:rsidTr="00216C17">
        <w:trPr>
          <w:trHeight w:val="20"/>
        </w:trPr>
        <w:tc>
          <w:tcPr>
            <w:tcW w:w="447" w:type="pct"/>
            <w:vMerge/>
            <w:tcBorders>
              <w:left w:val="outset" w:sz="6" w:space="0" w:color="auto"/>
              <w:right w:val="outset" w:sz="6" w:space="0" w:color="auto"/>
            </w:tcBorders>
            <w:shd w:val="clear" w:color="auto" w:fill="auto"/>
            <w:tcMar>
              <w:top w:w="75" w:type="dxa"/>
              <w:left w:w="75" w:type="dxa"/>
              <w:bottom w:w="75" w:type="dxa"/>
              <w:right w:w="75" w:type="dxa"/>
            </w:tcMar>
            <w:vAlign w:val="center"/>
          </w:tcPr>
          <w:p w14:paraId="1D80015C" w14:textId="77777777" w:rsidR="00E677FC" w:rsidRPr="004865EF" w:rsidRDefault="00E677FC" w:rsidP="00A66425">
            <w:pPr>
              <w:snapToGrid w:val="0"/>
              <w:rPr>
                <w:rFonts w:ascii="Times New Roman" w:eastAsia="宋体" w:hAnsi="Times New Roman" w:cs="Times New Roman"/>
                <w:sz w:val="18"/>
                <w:szCs w:val="18"/>
              </w:rPr>
            </w:pPr>
          </w:p>
        </w:tc>
        <w:tc>
          <w:tcPr>
            <w:tcW w:w="1044" w:type="pct"/>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52C0DE05" w14:textId="77777777" w:rsidR="00E677FC" w:rsidRPr="004865EF" w:rsidRDefault="00E677FC" w:rsidP="00A66425">
            <w:pPr>
              <w:snapToGrid w:val="0"/>
              <w:rPr>
                <w:rFonts w:ascii="Times New Roman" w:eastAsia="宋体" w:hAnsi="Times New Roman" w:cs="Times New Roman"/>
                <w:sz w:val="18"/>
                <w:szCs w:val="18"/>
              </w:rPr>
            </w:pPr>
            <w:proofErr w:type="gramStart"/>
            <w:r w:rsidRPr="004865EF">
              <w:rPr>
                <w:rFonts w:ascii="Times New Roman" w:eastAsia="宋体" w:hAnsi="Times New Roman" w:cs="Times New Roman" w:hint="eastAsia"/>
                <w:sz w:val="18"/>
                <w:szCs w:val="18"/>
              </w:rPr>
              <w:t>向智达云创增资</w:t>
            </w:r>
            <w:proofErr w:type="gramEnd"/>
            <w:r w:rsidRPr="004865EF">
              <w:rPr>
                <w:rFonts w:ascii="Times New Roman" w:eastAsia="宋体" w:hAnsi="Times New Roman" w:cs="Times New Roman" w:hint="eastAsia"/>
                <w:sz w:val="18"/>
                <w:szCs w:val="18"/>
              </w:rPr>
              <w:t>取得</w:t>
            </w:r>
            <w:r w:rsidRPr="004865EF">
              <w:rPr>
                <w:rFonts w:ascii="Times New Roman" w:eastAsia="宋体" w:hAnsi="Times New Roman" w:cs="Times New Roman"/>
                <w:sz w:val="18"/>
                <w:szCs w:val="18"/>
              </w:rPr>
              <w:t>65%</w:t>
            </w:r>
            <w:r w:rsidRPr="004865EF">
              <w:rPr>
                <w:rFonts w:ascii="Times New Roman" w:eastAsia="宋体" w:hAnsi="Times New Roman" w:cs="Times New Roman" w:hint="eastAsia"/>
                <w:sz w:val="18"/>
                <w:szCs w:val="18"/>
              </w:rPr>
              <w:t>股权并投资建设燕郊绿色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基地三四期</w:t>
            </w:r>
          </w:p>
        </w:tc>
        <w:tc>
          <w:tcPr>
            <w:tcW w:w="1364" w:type="pct"/>
            <w:tcBorders>
              <w:top w:val="single" w:sz="4" w:space="0" w:color="auto"/>
              <w:left w:val="outset" w:sz="6" w:space="0" w:color="auto"/>
              <w:bottom w:val="single" w:sz="4" w:space="0" w:color="auto"/>
              <w:right w:val="outset" w:sz="6" w:space="0" w:color="auto"/>
            </w:tcBorders>
            <w:vAlign w:val="center"/>
          </w:tcPr>
          <w:p w14:paraId="5E4EA4A1" w14:textId="65C654A8" w:rsidR="00E677FC" w:rsidRPr="004865EF" w:rsidRDefault="00B226D9"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kern w:val="0"/>
                <w:sz w:val="18"/>
                <w:szCs w:val="18"/>
                <w:lang w:bidi="en-US"/>
              </w:rPr>
              <w:t>企业投资项目备案信息（</w:t>
            </w:r>
            <w:proofErr w:type="gramStart"/>
            <w:r w:rsidRPr="004865EF">
              <w:rPr>
                <w:rFonts w:ascii="Times New Roman" w:eastAsia="宋体" w:hAnsi="Times New Roman" w:cs="Times New Roman" w:hint="eastAsia"/>
                <w:kern w:val="0"/>
                <w:sz w:val="18"/>
                <w:szCs w:val="18"/>
                <w:lang w:bidi="en-US"/>
              </w:rPr>
              <w:t>燕区经备</w:t>
            </w:r>
            <w:proofErr w:type="gramEnd"/>
            <w:r w:rsidRPr="004865EF">
              <w:rPr>
                <w:rFonts w:ascii="Times New Roman" w:eastAsia="宋体" w:hAnsi="Times New Roman" w:cs="Times New Roman" w:hint="eastAsia"/>
                <w:kern w:val="0"/>
                <w:sz w:val="18"/>
                <w:szCs w:val="18"/>
                <w:lang w:bidi="en-US"/>
              </w:rPr>
              <w:t>字</w:t>
            </w:r>
            <w:r w:rsidRPr="004865EF">
              <w:rPr>
                <w:rFonts w:ascii="Times New Roman" w:eastAsia="宋体" w:hAnsi="Times New Roman" w:cs="Times New Roman"/>
                <w:kern w:val="0"/>
                <w:sz w:val="18"/>
                <w:szCs w:val="18"/>
                <w:lang w:bidi="en-US"/>
              </w:rPr>
              <w:t>[2019]28</w:t>
            </w:r>
            <w:r w:rsidRPr="004865EF">
              <w:rPr>
                <w:rFonts w:ascii="Times New Roman" w:eastAsia="宋体" w:hAnsi="Times New Roman" w:cs="Times New Roman" w:hint="eastAsia"/>
                <w:kern w:val="0"/>
                <w:sz w:val="18"/>
                <w:szCs w:val="18"/>
                <w:lang w:bidi="en-US"/>
              </w:rPr>
              <w:t>号）</w:t>
            </w:r>
          </w:p>
        </w:tc>
        <w:tc>
          <w:tcPr>
            <w:tcW w:w="274" w:type="pct"/>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4C12371D" w14:textId="3C107469"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智达云创</w:t>
            </w:r>
          </w:p>
        </w:tc>
        <w:tc>
          <w:tcPr>
            <w:tcW w:w="298" w:type="pct"/>
            <w:tcBorders>
              <w:top w:val="single" w:sz="4" w:space="0" w:color="auto"/>
              <w:left w:val="outset" w:sz="6" w:space="0" w:color="auto"/>
              <w:bottom w:val="single" w:sz="4" w:space="0" w:color="auto"/>
              <w:right w:val="outset" w:sz="6" w:space="0" w:color="auto"/>
            </w:tcBorders>
            <w:shd w:val="clear" w:color="auto" w:fill="auto"/>
            <w:tcMar>
              <w:top w:w="75" w:type="dxa"/>
              <w:left w:w="75" w:type="dxa"/>
              <w:bottom w:w="75" w:type="dxa"/>
              <w:right w:w="75" w:type="dxa"/>
            </w:tcMar>
            <w:vAlign w:val="center"/>
          </w:tcPr>
          <w:p w14:paraId="71D93072" w14:textId="77777777"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河北燕郊</w:t>
            </w:r>
          </w:p>
        </w:tc>
        <w:tc>
          <w:tcPr>
            <w:tcW w:w="958" w:type="pct"/>
            <w:tcBorders>
              <w:top w:val="single" w:sz="4" w:space="0" w:color="auto"/>
              <w:left w:val="outset" w:sz="6" w:space="0" w:color="auto"/>
              <w:bottom w:val="single" w:sz="4" w:space="0" w:color="auto"/>
              <w:right w:val="outset" w:sz="6" w:space="0" w:color="auto"/>
            </w:tcBorders>
            <w:vAlign w:val="center"/>
          </w:tcPr>
          <w:p w14:paraId="3424683F"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河北省三河市</w:t>
            </w:r>
            <w:proofErr w:type="gramStart"/>
            <w:r w:rsidRPr="004865EF">
              <w:rPr>
                <w:rFonts w:ascii="Times New Roman" w:eastAsia="宋体" w:hAnsi="Times New Roman" w:cs="Times New Roman" w:hint="eastAsia"/>
                <w:sz w:val="18"/>
                <w:szCs w:val="18"/>
              </w:rPr>
              <w:t>燕郊高新区创意谷街</w:t>
            </w:r>
            <w:proofErr w:type="gramEnd"/>
            <w:r w:rsidRPr="004865EF">
              <w:rPr>
                <w:rFonts w:ascii="Times New Roman" w:eastAsia="宋体" w:hAnsi="Times New Roman" w:cs="Times New Roman"/>
                <w:sz w:val="18"/>
                <w:szCs w:val="18"/>
              </w:rPr>
              <w:t>454</w:t>
            </w:r>
            <w:r w:rsidRPr="004865EF">
              <w:rPr>
                <w:rFonts w:ascii="Times New Roman" w:eastAsia="宋体" w:hAnsi="Times New Roman" w:cs="Times New Roman" w:hint="eastAsia"/>
                <w:sz w:val="18"/>
                <w:szCs w:val="18"/>
              </w:rPr>
              <w:t>岩峰高新产业园</w:t>
            </w:r>
          </w:p>
        </w:tc>
        <w:tc>
          <w:tcPr>
            <w:tcW w:w="616" w:type="pct"/>
            <w:tcBorders>
              <w:top w:val="single" w:sz="4" w:space="0" w:color="auto"/>
              <w:left w:val="outset" w:sz="6" w:space="0" w:color="auto"/>
              <w:bottom w:val="single" w:sz="4" w:space="0" w:color="auto"/>
              <w:right w:val="outset" w:sz="6" w:space="0" w:color="auto"/>
            </w:tcBorders>
            <w:vAlign w:val="center"/>
          </w:tcPr>
          <w:p w14:paraId="73C002D7" w14:textId="77777777" w:rsidR="00E677FC" w:rsidRPr="004865EF" w:rsidRDefault="00E677FC" w:rsidP="00A66425">
            <w:pPr>
              <w:snapToGrid w:val="0"/>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15,000</w:t>
            </w:r>
          </w:p>
        </w:tc>
      </w:tr>
      <w:tr w:rsidR="004865EF" w:rsidRPr="004865EF" w14:paraId="1B88AE93" w14:textId="77777777" w:rsidTr="00216C17">
        <w:trPr>
          <w:trHeight w:val="20"/>
        </w:trPr>
        <w:tc>
          <w:tcPr>
            <w:tcW w:w="447" w:type="pct"/>
            <w:vMerge/>
            <w:tcBorders>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DECE23E" w14:textId="77777777" w:rsidR="00E677FC" w:rsidRPr="004865EF" w:rsidRDefault="00E677FC" w:rsidP="00A66425">
            <w:pPr>
              <w:snapToGrid w:val="0"/>
              <w:rPr>
                <w:rFonts w:ascii="Times New Roman" w:eastAsia="宋体" w:hAnsi="Times New Roman" w:cs="Times New Roman"/>
                <w:sz w:val="18"/>
                <w:szCs w:val="18"/>
              </w:rPr>
            </w:pPr>
          </w:p>
        </w:tc>
        <w:tc>
          <w:tcPr>
            <w:tcW w:w="1044" w:type="pct"/>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3B03DFE"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长沙绿色</w:t>
            </w:r>
            <w:proofErr w:type="gramStart"/>
            <w:r w:rsidRPr="004865EF">
              <w:rPr>
                <w:rFonts w:ascii="Times New Roman" w:eastAsia="宋体" w:hAnsi="Times New Roman" w:cs="Times New Roman" w:hint="eastAsia"/>
                <w:sz w:val="18"/>
                <w:szCs w:val="18"/>
              </w:rPr>
              <w:t>云计算</w:t>
            </w:r>
            <w:proofErr w:type="gramEnd"/>
            <w:r w:rsidRPr="004865EF">
              <w:rPr>
                <w:rFonts w:ascii="Times New Roman" w:eastAsia="宋体" w:hAnsi="Times New Roman" w:cs="Times New Roman" w:hint="eastAsia"/>
                <w:sz w:val="18"/>
                <w:szCs w:val="18"/>
              </w:rPr>
              <w:t>基地一期</w:t>
            </w:r>
          </w:p>
        </w:tc>
        <w:tc>
          <w:tcPr>
            <w:tcW w:w="1364" w:type="pct"/>
            <w:tcBorders>
              <w:top w:val="single" w:sz="4" w:space="0" w:color="auto"/>
              <w:left w:val="outset" w:sz="6" w:space="0" w:color="auto"/>
              <w:bottom w:val="outset" w:sz="6" w:space="0" w:color="auto"/>
              <w:right w:val="outset" w:sz="6" w:space="0" w:color="auto"/>
            </w:tcBorders>
            <w:vAlign w:val="center"/>
          </w:tcPr>
          <w:p w14:paraId="6B93BCE4" w14:textId="113686B4" w:rsidR="00E677FC" w:rsidRPr="004865EF" w:rsidRDefault="00B226D9"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kern w:val="0"/>
                <w:sz w:val="18"/>
                <w:szCs w:val="18"/>
                <w:lang w:bidi="en-US"/>
              </w:rPr>
              <w:t>企业投资项目备案告知承诺信息表（长高新管发计</w:t>
            </w:r>
            <w:r w:rsidRPr="004865EF">
              <w:rPr>
                <w:rFonts w:ascii="Times New Roman" w:eastAsia="宋体" w:hAnsi="Times New Roman" w:cs="Times New Roman"/>
                <w:kern w:val="0"/>
                <w:sz w:val="18"/>
                <w:szCs w:val="18"/>
                <w:lang w:bidi="en-US"/>
              </w:rPr>
              <w:t>[2020]136</w:t>
            </w:r>
            <w:r w:rsidRPr="004865EF">
              <w:rPr>
                <w:rFonts w:ascii="Times New Roman" w:eastAsia="宋体" w:hAnsi="Times New Roman" w:cs="Times New Roman" w:hint="eastAsia"/>
                <w:kern w:val="0"/>
                <w:sz w:val="18"/>
                <w:szCs w:val="18"/>
                <w:lang w:bidi="en-US"/>
              </w:rPr>
              <w:t>号）</w:t>
            </w:r>
          </w:p>
        </w:tc>
        <w:tc>
          <w:tcPr>
            <w:tcW w:w="274" w:type="pct"/>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B46E81A" w14:textId="0A0E8F15"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光环长沙</w:t>
            </w:r>
          </w:p>
        </w:tc>
        <w:tc>
          <w:tcPr>
            <w:tcW w:w="298" w:type="pct"/>
            <w:tcBorders>
              <w:top w:val="single" w:sz="4"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A431B71" w14:textId="77777777" w:rsidR="00E677FC" w:rsidRPr="004865EF" w:rsidRDefault="00E677FC" w:rsidP="00A66425">
            <w:pPr>
              <w:snapToGrid w:val="0"/>
              <w:jc w:val="center"/>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湖南长沙</w:t>
            </w:r>
          </w:p>
        </w:tc>
        <w:tc>
          <w:tcPr>
            <w:tcW w:w="958" w:type="pct"/>
            <w:tcBorders>
              <w:top w:val="single" w:sz="4" w:space="0" w:color="auto"/>
              <w:left w:val="outset" w:sz="6" w:space="0" w:color="auto"/>
              <w:bottom w:val="outset" w:sz="6" w:space="0" w:color="auto"/>
              <w:right w:val="outset" w:sz="6" w:space="0" w:color="auto"/>
            </w:tcBorders>
            <w:vAlign w:val="center"/>
          </w:tcPr>
          <w:p w14:paraId="1B808A68" w14:textId="77777777" w:rsidR="00E677FC" w:rsidRPr="004865EF" w:rsidRDefault="00E677FC" w:rsidP="00A66425">
            <w:pPr>
              <w:snapToGrid w:val="0"/>
              <w:rPr>
                <w:rFonts w:ascii="Times New Roman" w:eastAsia="宋体" w:hAnsi="Times New Roman" w:cs="Times New Roman"/>
                <w:sz w:val="18"/>
                <w:szCs w:val="18"/>
              </w:rPr>
            </w:pPr>
            <w:r w:rsidRPr="004865EF">
              <w:rPr>
                <w:rFonts w:ascii="Times New Roman" w:eastAsia="宋体" w:hAnsi="Times New Roman" w:cs="Times New Roman" w:hint="eastAsia"/>
                <w:sz w:val="18"/>
                <w:szCs w:val="18"/>
              </w:rPr>
              <w:t>长沙市高新区</w:t>
            </w:r>
            <w:proofErr w:type="gramStart"/>
            <w:r w:rsidRPr="004865EF">
              <w:rPr>
                <w:rFonts w:ascii="Times New Roman" w:eastAsia="宋体" w:hAnsi="Times New Roman" w:cs="Times New Roman" w:hint="eastAsia"/>
                <w:sz w:val="18"/>
                <w:szCs w:val="18"/>
              </w:rPr>
              <w:t>麓尖路</w:t>
            </w:r>
            <w:proofErr w:type="gramEnd"/>
            <w:r w:rsidRPr="004865EF">
              <w:rPr>
                <w:rFonts w:ascii="Times New Roman" w:eastAsia="宋体" w:hAnsi="Times New Roman" w:cs="Times New Roman" w:hint="eastAsia"/>
                <w:sz w:val="18"/>
                <w:szCs w:val="18"/>
              </w:rPr>
              <w:t>以南、湖高路以西</w:t>
            </w:r>
          </w:p>
        </w:tc>
        <w:tc>
          <w:tcPr>
            <w:tcW w:w="616" w:type="pct"/>
            <w:tcBorders>
              <w:top w:val="single" w:sz="4" w:space="0" w:color="auto"/>
              <w:left w:val="outset" w:sz="6" w:space="0" w:color="auto"/>
              <w:bottom w:val="outset" w:sz="6" w:space="0" w:color="auto"/>
              <w:right w:val="outset" w:sz="6" w:space="0" w:color="auto"/>
            </w:tcBorders>
            <w:vAlign w:val="center"/>
          </w:tcPr>
          <w:p w14:paraId="2D4A6EC8" w14:textId="77777777" w:rsidR="00E677FC" w:rsidRPr="004865EF" w:rsidRDefault="00E677FC" w:rsidP="00A66425">
            <w:pPr>
              <w:snapToGrid w:val="0"/>
              <w:jc w:val="center"/>
              <w:rPr>
                <w:rFonts w:ascii="Times New Roman" w:eastAsia="宋体" w:hAnsi="Times New Roman" w:cs="Times New Roman"/>
                <w:kern w:val="0"/>
                <w:sz w:val="18"/>
                <w:szCs w:val="18"/>
              </w:rPr>
            </w:pPr>
            <w:r w:rsidRPr="004865EF">
              <w:rPr>
                <w:rFonts w:ascii="Times New Roman" w:eastAsia="宋体" w:hAnsi="Times New Roman" w:cs="Times New Roman"/>
                <w:kern w:val="0"/>
                <w:sz w:val="18"/>
                <w:szCs w:val="18"/>
              </w:rPr>
              <w:t>16,000</w:t>
            </w:r>
          </w:p>
        </w:tc>
      </w:tr>
    </w:tbl>
    <w:p w14:paraId="659DEE8E" w14:textId="77777777"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发行人</w:t>
      </w:r>
      <w:r w:rsidRPr="004865EF">
        <w:rPr>
          <w:rFonts w:ascii="Times New Roman" w:eastAsia="宋体" w:hAnsi="Times New Roman" w:cs="Times New Roman"/>
          <w:sz w:val="24"/>
        </w:rPr>
        <w:t>本次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主要集中于北京、上海及周边</w:t>
      </w: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长沙等地，在前次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的基础上，有效</w:t>
      </w:r>
      <w:r w:rsidRPr="004865EF">
        <w:rPr>
          <w:rFonts w:ascii="Times New Roman" w:eastAsia="宋体" w:hAnsi="Times New Roman" w:cs="Times New Roman" w:hint="eastAsia"/>
          <w:sz w:val="24"/>
        </w:rPr>
        <w:t>地</w:t>
      </w:r>
      <w:r w:rsidRPr="004865EF">
        <w:rPr>
          <w:rFonts w:ascii="Times New Roman" w:eastAsia="宋体" w:hAnsi="Times New Roman" w:cs="Times New Roman"/>
          <w:sz w:val="24"/>
        </w:rPr>
        <w:t>补充</w:t>
      </w:r>
      <w:r w:rsidRPr="004865EF">
        <w:rPr>
          <w:rFonts w:ascii="Times New Roman" w:eastAsia="宋体" w:hAnsi="Times New Roman" w:cs="Times New Roman" w:hint="eastAsia"/>
          <w:sz w:val="24"/>
        </w:rPr>
        <w:t>发行人</w:t>
      </w:r>
      <w:r w:rsidRPr="004865EF">
        <w:rPr>
          <w:rFonts w:ascii="Times New Roman" w:eastAsia="宋体" w:hAnsi="Times New Roman" w:cs="Times New Roman"/>
          <w:sz w:val="24"/>
        </w:rPr>
        <w:t>在</w:t>
      </w:r>
      <w:proofErr w:type="gramStart"/>
      <w:r w:rsidRPr="004865EF">
        <w:rPr>
          <w:rFonts w:ascii="Times New Roman" w:eastAsia="宋体" w:hAnsi="Times New Roman" w:cs="Times New Roman"/>
          <w:sz w:val="24"/>
        </w:rPr>
        <w:t>一</w:t>
      </w:r>
      <w:proofErr w:type="gramEnd"/>
      <w:r w:rsidRPr="004865EF">
        <w:rPr>
          <w:rFonts w:ascii="Times New Roman" w:eastAsia="宋体" w:hAnsi="Times New Roman" w:cs="Times New Roman"/>
          <w:sz w:val="24"/>
        </w:rPr>
        <w:t>二线城市的数据中心产能</w:t>
      </w: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提升服务能力。</w:t>
      </w:r>
    </w:p>
    <w:p w14:paraId="76D59D6B" w14:textId="77777777"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本次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与前次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均包含</w:t>
      </w:r>
      <w:r w:rsidRPr="004865EF">
        <w:rPr>
          <w:rFonts w:ascii="Times New Roman" w:eastAsia="宋体" w:hAnsi="Times New Roman" w:cs="Times New Roman" w:hint="eastAsia"/>
          <w:sz w:val="24"/>
        </w:rPr>
        <w:t>数据</w:t>
      </w:r>
      <w:r w:rsidRPr="004865EF">
        <w:rPr>
          <w:rFonts w:ascii="Times New Roman" w:eastAsia="宋体" w:hAnsi="Times New Roman" w:cs="Times New Roman"/>
          <w:sz w:val="24"/>
        </w:rPr>
        <w:t>中心建设项目，且均围绕主营业务展开</w:t>
      </w: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但</w:t>
      </w:r>
      <w:r w:rsidRPr="004865EF">
        <w:rPr>
          <w:rFonts w:ascii="Times New Roman" w:eastAsia="宋体" w:hAnsi="Times New Roman" w:cs="Times New Roman" w:hint="eastAsia"/>
          <w:sz w:val="24"/>
        </w:rPr>
        <w:t>两次</w:t>
      </w:r>
      <w:proofErr w:type="gramStart"/>
      <w:r w:rsidRPr="004865EF">
        <w:rPr>
          <w:rFonts w:ascii="Times New Roman" w:eastAsia="宋体" w:hAnsi="Times New Roman" w:cs="Times New Roman" w:hint="eastAsia"/>
          <w:sz w:val="24"/>
        </w:rPr>
        <w:t>募投项目</w:t>
      </w:r>
      <w:proofErr w:type="gramEnd"/>
      <w:r w:rsidRPr="004865EF">
        <w:rPr>
          <w:rFonts w:ascii="Times New Roman" w:eastAsia="宋体" w:hAnsi="Times New Roman" w:cs="Times New Roman"/>
          <w:sz w:val="24"/>
        </w:rPr>
        <w:t>在</w:t>
      </w:r>
      <w:r w:rsidRPr="004865EF">
        <w:rPr>
          <w:rFonts w:ascii="Times New Roman" w:eastAsia="宋体" w:hAnsi="Times New Roman" w:cs="Times New Roman" w:hint="eastAsia"/>
          <w:sz w:val="24"/>
        </w:rPr>
        <w:t>实施主体、实施地点、新增产能</w:t>
      </w:r>
      <w:r w:rsidRPr="004865EF">
        <w:rPr>
          <w:rFonts w:ascii="Times New Roman" w:eastAsia="宋体" w:hAnsi="Times New Roman" w:cs="Times New Roman"/>
          <w:sz w:val="24"/>
        </w:rPr>
        <w:t>等方面存在差异，属于不同的项目，故不存在项目重复融资的情况。</w:t>
      </w:r>
    </w:p>
    <w:p w14:paraId="7C04F7EC" w14:textId="77777777" w:rsidR="00626513" w:rsidRPr="004865EF" w:rsidRDefault="00626513" w:rsidP="00A66425">
      <w:pPr>
        <w:pStyle w:val="2"/>
      </w:pPr>
      <w:r w:rsidRPr="004865EF">
        <w:t>三、中介机构核查意见</w:t>
      </w:r>
    </w:p>
    <w:p w14:paraId="64ADBA2C" w14:textId="77777777" w:rsidR="00B2262D" w:rsidRPr="004865EF" w:rsidRDefault="00B2262D" w:rsidP="00494620">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b/>
          <w:bCs/>
          <w:sz w:val="24"/>
          <w:szCs w:val="22"/>
        </w:rPr>
        <w:t>（一）</w:t>
      </w:r>
      <w:r w:rsidRPr="004865EF">
        <w:rPr>
          <w:rFonts w:ascii="Times New Roman" w:eastAsia="宋体" w:hAnsi="Times New Roman" w:cs="Times New Roman" w:hint="eastAsia"/>
          <w:b/>
          <w:bCs/>
          <w:sz w:val="24"/>
          <w:szCs w:val="22"/>
        </w:rPr>
        <w:t>核查程序</w:t>
      </w:r>
    </w:p>
    <w:p w14:paraId="1812B0ED" w14:textId="275019DC" w:rsidR="00211306" w:rsidRPr="004865EF" w:rsidRDefault="00211306" w:rsidP="009810A0">
      <w:pPr>
        <w:pStyle w:val="zhengwen"/>
      </w:pPr>
      <w:r w:rsidRPr="004865EF">
        <w:rPr>
          <w:rFonts w:hint="eastAsia"/>
        </w:rPr>
        <w:t>针对上述问题，保荐机构履行了以下核查程序：</w:t>
      </w:r>
    </w:p>
    <w:p w14:paraId="795C28C3" w14:textId="77777777" w:rsidR="00626513" w:rsidRPr="004865EF" w:rsidRDefault="00626513" w:rsidP="00626513">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1</w:t>
      </w:r>
      <w:r w:rsidRPr="004865EF">
        <w:rPr>
          <w:rFonts w:ascii="Times New Roman" w:eastAsia="宋体" w:hAnsi="Times New Roman" w:cs="Times New Roman"/>
          <w:sz w:val="24"/>
          <w:szCs w:val="22"/>
        </w:rPr>
        <w:t>、查阅发行人</w:t>
      </w:r>
      <w:r w:rsidRPr="004865EF">
        <w:rPr>
          <w:rFonts w:ascii="Times New Roman" w:eastAsia="宋体" w:hAnsi="Times New Roman" w:cs="Times New Roman" w:hint="eastAsia"/>
          <w:sz w:val="24"/>
          <w:szCs w:val="22"/>
        </w:rPr>
        <w:t>披露</w:t>
      </w:r>
      <w:r w:rsidRPr="004865EF">
        <w:rPr>
          <w:rFonts w:ascii="Times New Roman" w:eastAsia="宋体" w:hAnsi="Times New Roman" w:cs="Times New Roman"/>
          <w:sz w:val="24"/>
          <w:szCs w:val="22"/>
        </w:rPr>
        <w:t>的</w:t>
      </w:r>
      <w:proofErr w:type="gramStart"/>
      <w:r w:rsidRPr="004865EF">
        <w:rPr>
          <w:rFonts w:ascii="Times New Roman" w:eastAsia="宋体" w:hAnsi="Times New Roman" w:cs="Times New Roman"/>
          <w:sz w:val="24"/>
          <w:szCs w:val="22"/>
        </w:rPr>
        <w:t>募投项目</w:t>
      </w:r>
      <w:proofErr w:type="gramEnd"/>
      <w:r w:rsidRPr="004865EF">
        <w:rPr>
          <w:rFonts w:ascii="Times New Roman" w:eastAsia="宋体" w:hAnsi="Times New Roman" w:cs="Times New Roman"/>
          <w:sz w:val="24"/>
          <w:szCs w:val="22"/>
        </w:rPr>
        <w:t>可行性</w:t>
      </w:r>
      <w:r w:rsidRPr="004865EF">
        <w:rPr>
          <w:rFonts w:ascii="Times New Roman" w:eastAsia="宋体" w:hAnsi="Times New Roman" w:cs="Times New Roman" w:hint="eastAsia"/>
          <w:sz w:val="24"/>
          <w:szCs w:val="22"/>
        </w:rPr>
        <w:t>研究</w:t>
      </w:r>
      <w:r w:rsidRPr="004865EF">
        <w:rPr>
          <w:rFonts w:ascii="Times New Roman" w:eastAsia="宋体" w:hAnsi="Times New Roman" w:cs="Times New Roman"/>
          <w:sz w:val="24"/>
          <w:szCs w:val="22"/>
        </w:rPr>
        <w:t>报告</w:t>
      </w:r>
      <w:r w:rsidRPr="004865EF">
        <w:rPr>
          <w:rFonts w:ascii="Times New Roman" w:eastAsia="宋体" w:hAnsi="Times New Roman" w:cs="Times New Roman" w:hint="eastAsia"/>
          <w:sz w:val="24"/>
          <w:szCs w:val="22"/>
        </w:rPr>
        <w:t>、关于前次募集资金使用情况的专项报告</w:t>
      </w:r>
      <w:r w:rsidRPr="004865EF">
        <w:rPr>
          <w:rFonts w:ascii="Times New Roman" w:eastAsia="宋体" w:hAnsi="Times New Roman" w:cs="Times New Roman"/>
          <w:sz w:val="24"/>
          <w:szCs w:val="22"/>
        </w:rPr>
        <w:t>等文件；</w:t>
      </w:r>
    </w:p>
    <w:p w14:paraId="5F94CADB" w14:textId="77777777" w:rsidR="00626513" w:rsidRPr="004865EF" w:rsidRDefault="00626513" w:rsidP="00626513">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2</w:t>
      </w:r>
      <w:r w:rsidRPr="004865EF">
        <w:rPr>
          <w:rFonts w:ascii="Times New Roman" w:eastAsia="宋体" w:hAnsi="Times New Roman" w:cs="Times New Roman"/>
          <w:sz w:val="24"/>
          <w:szCs w:val="22"/>
        </w:rPr>
        <w:t>、查阅</w:t>
      </w:r>
      <w:r w:rsidRPr="004865EF">
        <w:rPr>
          <w:rFonts w:ascii="Times New Roman" w:eastAsia="宋体" w:hAnsi="Times New Roman" w:cs="Times New Roman" w:hint="eastAsia"/>
          <w:sz w:val="24"/>
          <w:szCs w:val="22"/>
        </w:rPr>
        <w:t>会计师</w:t>
      </w:r>
      <w:r w:rsidRPr="004865EF">
        <w:rPr>
          <w:rFonts w:ascii="Times New Roman" w:eastAsia="宋体" w:hAnsi="Times New Roman" w:cs="Times New Roman"/>
          <w:sz w:val="24"/>
          <w:szCs w:val="22"/>
        </w:rPr>
        <w:t>出具的</w:t>
      </w:r>
      <w:r w:rsidRPr="004865EF">
        <w:rPr>
          <w:rFonts w:ascii="Times New Roman" w:eastAsia="宋体" w:hAnsi="Times New Roman" w:cs="Times New Roman" w:hint="eastAsia"/>
          <w:sz w:val="24"/>
          <w:szCs w:val="22"/>
        </w:rPr>
        <w:t>前次募集资金使用情况专项审核报告；</w:t>
      </w:r>
    </w:p>
    <w:p w14:paraId="6A3723E0" w14:textId="77777777" w:rsidR="00626513" w:rsidRPr="004865EF" w:rsidRDefault="00626513" w:rsidP="00626513">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3</w:t>
      </w:r>
      <w:r w:rsidRPr="004865EF">
        <w:rPr>
          <w:rFonts w:ascii="Times New Roman" w:eastAsia="宋体" w:hAnsi="Times New Roman" w:cs="Times New Roman"/>
          <w:sz w:val="24"/>
          <w:szCs w:val="22"/>
        </w:rPr>
        <w:t>、访谈</w:t>
      </w:r>
      <w:r w:rsidRPr="004865EF">
        <w:rPr>
          <w:rFonts w:ascii="Times New Roman" w:eastAsia="宋体" w:hAnsi="Times New Roman" w:cs="Times New Roman" w:hint="eastAsia"/>
          <w:sz w:val="24"/>
          <w:szCs w:val="22"/>
        </w:rPr>
        <w:t>发行人</w:t>
      </w:r>
      <w:r w:rsidRPr="004865EF">
        <w:rPr>
          <w:rFonts w:ascii="Times New Roman" w:eastAsia="宋体" w:hAnsi="Times New Roman" w:cs="Times New Roman"/>
          <w:sz w:val="24"/>
          <w:szCs w:val="22"/>
        </w:rPr>
        <w:t>管理层，</w:t>
      </w:r>
      <w:r w:rsidRPr="004865EF">
        <w:rPr>
          <w:rFonts w:ascii="Times New Roman" w:eastAsia="宋体" w:hAnsi="Times New Roman" w:cs="Times New Roman" w:hint="eastAsia"/>
          <w:sz w:val="24"/>
          <w:szCs w:val="22"/>
        </w:rPr>
        <w:t>了解发行人同行业数据中心业务的发展趋势以及主要客户对数据中心需求等。</w:t>
      </w:r>
    </w:p>
    <w:p w14:paraId="60682CED" w14:textId="77777777" w:rsidR="00626513" w:rsidRPr="004865EF" w:rsidRDefault="00626513" w:rsidP="00626513">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b/>
          <w:bCs/>
          <w:sz w:val="24"/>
          <w:szCs w:val="22"/>
        </w:rPr>
        <w:lastRenderedPageBreak/>
        <w:t>（二）核查意见</w:t>
      </w:r>
    </w:p>
    <w:p w14:paraId="17907729" w14:textId="77777777" w:rsidR="00626513" w:rsidRPr="004865EF" w:rsidRDefault="00626513" w:rsidP="00626513">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经核查，保荐机构</w:t>
      </w:r>
      <w:r w:rsidRPr="004865EF">
        <w:rPr>
          <w:rFonts w:ascii="Times New Roman" w:eastAsia="宋体" w:hAnsi="Times New Roman" w:cs="Times New Roman" w:hint="eastAsia"/>
          <w:sz w:val="24"/>
          <w:szCs w:val="22"/>
        </w:rPr>
        <w:t>认</w:t>
      </w:r>
      <w:r w:rsidRPr="004865EF">
        <w:rPr>
          <w:rFonts w:ascii="Times New Roman" w:eastAsia="宋体" w:hAnsi="Times New Roman" w:cs="Times New Roman"/>
          <w:sz w:val="24"/>
          <w:szCs w:val="22"/>
        </w:rPr>
        <w:t>为：</w:t>
      </w:r>
    </w:p>
    <w:p w14:paraId="1C382B6D" w14:textId="6509C66D" w:rsidR="00626513" w:rsidRPr="004865EF" w:rsidRDefault="00626513" w:rsidP="00626513">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1</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sz w:val="24"/>
        </w:rPr>
        <w:t>公司</w:t>
      </w:r>
      <w:r w:rsidRPr="004865EF">
        <w:rPr>
          <w:rFonts w:ascii="Times New Roman" w:eastAsia="宋体" w:hAnsi="Times New Roman" w:cs="Times New Roman" w:hint="eastAsia"/>
          <w:sz w:val="24"/>
        </w:rPr>
        <w:t>前次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建设进度情况良好，符合其业务经营特征</w:t>
      </w: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不存在滞后于预期</w:t>
      </w:r>
      <w:r w:rsidRPr="004865EF">
        <w:rPr>
          <w:rFonts w:ascii="Times New Roman" w:eastAsia="宋体" w:hAnsi="Times New Roman" w:cs="Times New Roman" w:hint="eastAsia"/>
          <w:sz w:val="24"/>
        </w:rPr>
        <w:t>进度</w:t>
      </w:r>
      <w:r w:rsidRPr="004865EF">
        <w:rPr>
          <w:rFonts w:ascii="Times New Roman" w:eastAsia="宋体" w:hAnsi="Times New Roman" w:cs="Times New Roman"/>
          <w:sz w:val="24"/>
        </w:rPr>
        <w:t>的情形</w:t>
      </w:r>
      <w:r w:rsidRPr="004865EF">
        <w:rPr>
          <w:rFonts w:ascii="Times New Roman" w:eastAsia="宋体" w:hAnsi="Times New Roman" w:cs="Times New Roman" w:hint="eastAsia"/>
          <w:sz w:val="24"/>
        </w:rPr>
        <w:t>；</w:t>
      </w:r>
    </w:p>
    <w:p w14:paraId="31E6ABAC" w14:textId="13FE7026" w:rsidR="00626513" w:rsidRPr="004865EF" w:rsidRDefault="00626513" w:rsidP="00626513">
      <w:pPr>
        <w:adjustRightInd w:val="0"/>
        <w:snapToGrid w:val="0"/>
        <w:spacing w:beforeLines="50" w:before="120" w:afterLines="50" w:after="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2</w:t>
      </w:r>
      <w:r w:rsidRPr="004865EF">
        <w:rPr>
          <w:rFonts w:ascii="Times New Roman" w:eastAsia="宋体" w:hAnsi="Times New Roman" w:cs="Times New Roman" w:hint="eastAsia"/>
          <w:sz w:val="24"/>
          <w:szCs w:val="22"/>
        </w:rPr>
        <w:t>、燕郊绿色</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基地二期项目最近三年实现效益符合预期，上海嘉定绿色</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基地一期项目</w:t>
      </w:r>
      <w:r w:rsidR="00216C17" w:rsidRPr="004865EF">
        <w:rPr>
          <w:rFonts w:ascii="Times New Roman" w:eastAsia="宋体" w:hAnsi="Times New Roman" w:cs="Times New Roman" w:hint="eastAsia"/>
          <w:sz w:val="24"/>
          <w:szCs w:val="22"/>
        </w:rPr>
        <w:t>产能利用率处于正常水平，</w:t>
      </w:r>
      <w:r w:rsidRPr="004865EF">
        <w:rPr>
          <w:rFonts w:ascii="Times New Roman" w:eastAsia="宋体" w:hAnsi="Times New Roman" w:cs="Times New Roman" w:hint="eastAsia"/>
          <w:sz w:val="24"/>
          <w:szCs w:val="22"/>
        </w:rPr>
        <w:t>房山绿色</w:t>
      </w:r>
      <w:proofErr w:type="gramStart"/>
      <w:r w:rsidRPr="004865EF">
        <w:rPr>
          <w:rFonts w:ascii="Times New Roman" w:eastAsia="宋体" w:hAnsi="Times New Roman" w:cs="Times New Roman" w:hint="eastAsia"/>
          <w:sz w:val="24"/>
          <w:szCs w:val="22"/>
        </w:rPr>
        <w:t>云计算</w:t>
      </w:r>
      <w:proofErr w:type="gramEnd"/>
      <w:r w:rsidRPr="004865EF">
        <w:rPr>
          <w:rFonts w:ascii="Times New Roman" w:eastAsia="宋体" w:hAnsi="Times New Roman" w:cs="Times New Roman" w:hint="eastAsia"/>
          <w:sz w:val="24"/>
          <w:szCs w:val="22"/>
        </w:rPr>
        <w:t>基地一期项目尚处于产能释放阶段，效益尚未完全体现，</w:t>
      </w:r>
      <w:r w:rsidR="006916B2" w:rsidRPr="004865EF">
        <w:rPr>
          <w:rFonts w:ascii="Times New Roman" w:eastAsia="宋体" w:hAnsi="Times New Roman" w:cs="Times New Roman" w:hint="eastAsia"/>
          <w:sz w:val="24"/>
          <w:szCs w:val="22"/>
        </w:rPr>
        <w:t>均</w:t>
      </w:r>
      <w:r w:rsidRPr="004865EF">
        <w:rPr>
          <w:rFonts w:ascii="Times New Roman" w:eastAsia="宋体" w:hAnsi="Times New Roman" w:cs="Times New Roman" w:hint="eastAsia"/>
          <w:sz w:val="24"/>
          <w:szCs w:val="22"/>
        </w:rPr>
        <w:t>符合其业务</w:t>
      </w:r>
      <w:r w:rsidRPr="004865EF">
        <w:rPr>
          <w:rFonts w:ascii="Times New Roman" w:eastAsia="宋体" w:hAnsi="Times New Roman" w:cs="Times New Roman"/>
          <w:sz w:val="24"/>
        </w:rPr>
        <w:t>经营特征</w:t>
      </w:r>
      <w:r w:rsidRPr="004865EF">
        <w:rPr>
          <w:rFonts w:ascii="Times New Roman" w:eastAsia="宋体" w:hAnsi="Times New Roman" w:cs="Times New Roman" w:hint="eastAsia"/>
          <w:sz w:val="24"/>
        </w:rPr>
        <w:t>；</w:t>
      </w:r>
    </w:p>
    <w:p w14:paraId="7954AC5D" w14:textId="7DC66605" w:rsidR="00626513" w:rsidRPr="004865EF" w:rsidRDefault="00626513" w:rsidP="00626513">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szCs w:val="22"/>
        </w:rPr>
        <w:t>3</w:t>
      </w:r>
      <w:r w:rsidRPr="004865EF">
        <w:rPr>
          <w:rFonts w:ascii="Times New Roman" w:eastAsia="宋体" w:hAnsi="Times New Roman" w:cs="Times New Roman" w:hint="eastAsia"/>
          <w:sz w:val="24"/>
          <w:szCs w:val="22"/>
        </w:rPr>
        <w:t>、</w:t>
      </w:r>
      <w:r w:rsidRPr="004865EF">
        <w:rPr>
          <w:rFonts w:ascii="Times New Roman" w:eastAsia="宋体" w:hAnsi="Times New Roman" w:cs="Times New Roman"/>
          <w:sz w:val="24"/>
        </w:rPr>
        <w:t>本次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与前次</w:t>
      </w:r>
      <w:proofErr w:type="gramStart"/>
      <w:r w:rsidRPr="004865EF">
        <w:rPr>
          <w:rFonts w:ascii="Times New Roman" w:eastAsia="宋体" w:hAnsi="Times New Roman" w:cs="Times New Roman"/>
          <w:sz w:val="24"/>
        </w:rPr>
        <w:t>募投项目</w:t>
      </w:r>
      <w:proofErr w:type="gramEnd"/>
      <w:r w:rsidRPr="004865EF">
        <w:rPr>
          <w:rFonts w:ascii="Times New Roman" w:eastAsia="宋体" w:hAnsi="Times New Roman" w:cs="Times New Roman"/>
          <w:sz w:val="24"/>
        </w:rPr>
        <w:t>均包含</w:t>
      </w:r>
      <w:r w:rsidRPr="004865EF">
        <w:rPr>
          <w:rFonts w:ascii="Times New Roman" w:eastAsia="宋体" w:hAnsi="Times New Roman" w:cs="Times New Roman" w:hint="eastAsia"/>
          <w:sz w:val="24"/>
        </w:rPr>
        <w:t>数据</w:t>
      </w:r>
      <w:r w:rsidRPr="004865EF">
        <w:rPr>
          <w:rFonts w:ascii="Times New Roman" w:eastAsia="宋体" w:hAnsi="Times New Roman" w:cs="Times New Roman"/>
          <w:sz w:val="24"/>
        </w:rPr>
        <w:t>中心建设项目，且均围绕主营业务展开</w:t>
      </w:r>
      <w:r w:rsidRPr="004865EF">
        <w:rPr>
          <w:rFonts w:ascii="Times New Roman" w:eastAsia="宋体" w:hAnsi="Times New Roman" w:cs="Times New Roman" w:hint="eastAsia"/>
          <w:sz w:val="24"/>
        </w:rPr>
        <w:t>，</w:t>
      </w:r>
      <w:r w:rsidRPr="004865EF">
        <w:rPr>
          <w:rFonts w:ascii="Times New Roman" w:eastAsia="宋体" w:hAnsi="Times New Roman" w:cs="Times New Roman"/>
          <w:sz w:val="24"/>
        </w:rPr>
        <w:t>但</w:t>
      </w:r>
      <w:r w:rsidRPr="004865EF">
        <w:rPr>
          <w:rFonts w:ascii="Times New Roman" w:eastAsia="宋体" w:hAnsi="Times New Roman" w:cs="Times New Roman" w:hint="eastAsia"/>
          <w:sz w:val="24"/>
        </w:rPr>
        <w:t>两次</w:t>
      </w:r>
      <w:proofErr w:type="gramStart"/>
      <w:r w:rsidRPr="004865EF">
        <w:rPr>
          <w:rFonts w:ascii="Times New Roman" w:eastAsia="宋体" w:hAnsi="Times New Roman" w:cs="Times New Roman" w:hint="eastAsia"/>
          <w:sz w:val="24"/>
        </w:rPr>
        <w:t>募投项目</w:t>
      </w:r>
      <w:proofErr w:type="gramEnd"/>
      <w:r w:rsidRPr="004865EF">
        <w:rPr>
          <w:rFonts w:ascii="Times New Roman" w:eastAsia="宋体" w:hAnsi="Times New Roman" w:cs="Times New Roman"/>
          <w:sz w:val="24"/>
        </w:rPr>
        <w:t>在实施主体、</w:t>
      </w:r>
      <w:r w:rsidRPr="004865EF">
        <w:rPr>
          <w:rFonts w:ascii="Times New Roman" w:eastAsia="宋体" w:hAnsi="Times New Roman" w:cs="Times New Roman" w:hint="eastAsia"/>
          <w:sz w:val="24"/>
        </w:rPr>
        <w:t>实施</w:t>
      </w:r>
      <w:r w:rsidRPr="004865EF">
        <w:rPr>
          <w:rFonts w:ascii="Times New Roman" w:eastAsia="宋体" w:hAnsi="Times New Roman" w:cs="Times New Roman"/>
          <w:sz w:val="24"/>
        </w:rPr>
        <w:t>地点、新增产能等方面存在差异，属于不同的项目，故不存在项目重复融资的情况。</w:t>
      </w:r>
    </w:p>
    <w:p w14:paraId="3F44C40E" w14:textId="77777777" w:rsidR="00E84FF7" w:rsidRPr="004865EF" w:rsidRDefault="00E84FF7" w:rsidP="00626513">
      <w:pPr>
        <w:spacing w:beforeLines="50" w:before="120" w:line="360" w:lineRule="auto"/>
        <w:ind w:firstLineChars="200" w:firstLine="480"/>
        <w:rPr>
          <w:rFonts w:ascii="Times New Roman" w:eastAsia="宋体" w:hAnsi="Times New Roman" w:cs="Times New Roman"/>
          <w:sz w:val="24"/>
        </w:rPr>
      </w:pPr>
    </w:p>
    <w:p w14:paraId="65DB7BEC" w14:textId="435659FC" w:rsidR="00B4309A" w:rsidRPr="004865EF" w:rsidRDefault="00B4309A" w:rsidP="00181621">
      <w:pPr>
        <w:pStyle w:val="1"/>
        <w:spacing w:before="120"/>
      </w:pPr>
      <w:bookmarkStart w:id="8" w:name="_Toc46013713"/>
      <w:bookmarkStart w:id="9" w:name="_Toc47020538"/>
      <w:r w:rsidRPr="004865EF">
        <w:rPr>
          <w:rFonts w:hint="eastAsia"/>
        </w:rPr>
        <w:t>问题</w:t>
      </w:r>
      <w:r w:rsidRPr="004865EF">
        <w:t>4</w:t>
      </w:r>
      <w:r w:rsidR="0063025B" w:rsidRPr="004865EF">
        <w:t>.</w:t>
      </w:r>
      <w:r w:rsidR="0063025B" w:rsidRPr="004865EF">
        <w:rPr>
          <w:rFonts w:hint="eastAsia"/>
        </w:rPr>
        <w:t>关于</w:t>
      </w:r>
      <w:proofErr w:type="gramStart"/>
      <w:r w:rsidR="0063025B" w:rsidRPr="004865EF">
        <w:rPr>
          <w:rFonts w:hint="eastAsia"/>
        </w:rPr>
        <w:t>募投项目</w:t>
      </w:r>
      <w:proofErr w:type="gramEnd"/>
      <w:r w:rsidR="0063025B" w:rsidRPr="004865EF">
        <w:rPr>
          <w:rFonts w:hint="eastAsia"/>
        </w:rPr>
        <w:t>用地</w:t>
      </w:r>
      <w:bookmarkEnd w:id="8"/>
      <w:bookmarkEnd w:id="9"/>
    </w:p>
    <w:p w14:paraId="77799A81" w14:textId="337F8D42" w:rsidR="00602FC1" w:rsidRPr="004865EF" w:rsidRDefault="00602FC1"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hint="eastAsia"/>
          <w:b/>
          <w:sz w:val="24"/>
        </w:rPr>
        <w:t>根据申请文件，</w:t>
      </w:r>
      <w:proofErr w:type="gramStart"/>
      <w:r w:rsidRPr="004865EF">
        <w:rPr>
          <w:rFonts w:ascii="黑体" w:eastAsia="黑体" w:hAnsi="黑体" w:hint="eastAsia"/>
          <w:b/>
          <w:sz w:val="24"/>
        </w:rPr>
        <w:t>募投项目</w:t>
      </w:r>
      <w:proofErr w:type="gramEnd"/>
      <w:r w:rsidRPr="004865EF">
        <w:rPr>
          <w:rFonts w:ascii="黑体" w:eastAsia="黑体" w:hAnsi="黑体" w:hint="eastAsia"/>
          <w:b/>
          <w:sz w:val="24"/>
        </w:rPr>
        <w:t>长沙绿色</w:t>
      </w:r>
      <w:proofErr w:type="gramStart"/>
      <w:r w:rsidRPr="004865EF">
        <w:rPr>
          <w:rFonts w:ascii="黑体" w:eastAsia="黑体" w:hAnsi="黑体" w:hint="eastAsia"/>
          <w:b/>
          <w:sz w:val="24"/>
        </w:rPr>
        <w:t>云计算</w:t>
      </w:r>
      <w:proofErr w:type="gramEnd"/>
      <w:r w:rsidRPr="004865EF">
        <w:rPr>
          <w:rFonts w:ascii="黑体" w:eastAsia="黑体" w:hAnsi="黑体" w:hint="eastAsia"/>
          <w:b/>
          <w:sz w:val="24"/>
        </w:rPr>
        <w:t>基地一期建设用地尚未取得。</w:t>
      </w:r>
    </w:p>
    <w:p w14:paraId="0F29505C" w14:textId="77777777" w:rsidR="00602FC1" w:rsidRPr="004865EF" w:rsidRDefault="00602FC1" w:rsidP="00A66425">
      <w:pPr>
        <w:pStyle w:val="-"/>
        <w:spacing w:beforeLines="50" w:before="120" w:line="360" w:lineRule="auto"/>
        <w:ind w:firstLineChars="200" w:firstLine="482"/>
        <w:rPr>
          <w:rFonts w:ascii="黑体" w:eastAsia="黑体" w:hAnsi="黑体"/>
          <w:b/>
        </w:rPr>
      </w:pPr>
      <w:r w:rsidRPr="004865EF">
        <w:rPr>
          <w:rFonts w:ascii="黑体" w:eastAsia="黑体" w:hAnsi="黑体" w:hint="eastAsia"/>
          <w:b/>
          <w:sz w:val="24"/>
        </w:rPr>
        <w:t>请发行人补充披露</w:t>
      </w:r>
      <w:proofErr w:type="gramStart"/>
      <w:r w:rsidRPr="004865EF">
        <w:rPr>
          <w:rFonts w:ascii="黑体" w:eastAsia="黑体" w:hAnsi="黑体" w:hint="eastAsia"/>
          <w:b/>
          <w:sz w:val="24"/>
        </w:rPr>
        <w:t>募投项目</w:t>
      </w:r>
      <w:proofErr w:type="gramEnd"/>
      <w:r w:rsidRPr="004865EF">
        <w:rPr>
          <w:rFonts w:ascii="黑体" w:eastAsia="黑体" w:hAnsi="黑体" w:hint="eastAsia"/>
          <w:b/>
          <w:sz w:val="24"/>
        </w:rPr>
        <w:t>用地的计划、取得土地的具体安排、进度，是否符合土地政策、城市规划，</w:t>
      </w:r>
      <w:proofErr w:type="gramStart"/>
      <w:r w:rsidRPr="004865EF">
        <w:rPr>
          <w:rFonts w:ascii="黑体" w:eastAsia="黑体" w:hAnsi="黑体" w:hint="eastAsia"/>
          <w:b/>
          <w:sz w:val="24"/>
        </w:rPr>
        <w:t>募投项目</w:t>
      </w:r>
      <w:proofErr w:type="gramEnd"/>
      <w:r w:rsidRPr="004865EF">
        <w:rPr>
          <w:rFonts w:ascii="黑体" w:eastAsia="黑体" w:hAnsi="黑体" w:hint="eastAsia"/>
          <w:b/>
          <w:sz w:val="24"/>
        </w:rPr>
        <w:t>用地落实的风险；如无法取得</w:t>
      </w:r>
      <w:proofErr w:type="gramStart"/>
      <w:r w:rsidRPr="004865EF">
        <w:rPr>
          <w:rFonts w:ascii="黑体" w:eastAsia="黑体" w:hAnsi="黑体" w:hint="eastAsia"/>
          <w:b/>
          <w:sz w:val="24"/>
        </w:rPr>
        <w:t>募投项目</w:t>
      </w:r>
      <w:proofErr w:type="gramEnd"/>
      <w:r w:rsidRPr="004865EF">
        <w:rPr>
          <w:rFonts w:ascii="黑体" w:eastAsia="黑体" w:hAnsi="黑体" w:hint="eastAsia"/>
          <w:b/>
          <w:sz w:val="24"/>
        </w:rPr>
        <w:t>用地拟采取的替代措施以及对</w:t>
      </w:r>
      <w:proofErr w:type="gramStart"/>
      <w:r w:rsidRPr="004865EF">
        <w:rPr>
          <w:rFonts w:ascii="黑体" w:eastAsia="黑体" w:hAnsi="黑体" w:hint="eastAsia"/>
          <w:b/>
          <w:sz w:val="24"/>
        </w:rPr>
        <w:t>募投项目</w:t>
      </w:r>
      <w:proofErr w:type="gramEnd"/>
      <w:r w:rsidRPr="004865EF">
        <w:rPr>
          <w:rFonts w:ascii="黑体" w:eastAsia="黑体" w:hAnsi="黑体" w:hint="eastAsia"/>
          <w:b/>
          <w:sz w:val="24"/>
        </w:rPr>
        <w:t>实施的影响，并充分披露相关风险。</w:t>
      </w:r>
    </w:p>
    <w:p w14:paraId="3EFC98E3" w14:textId="4CEA4824" w:rsidR="00602FC1" w:rsidRPr="004865EF" w:rsidRDefault="00602FC1" w:rsidP="00A66425">
      <w:pPr>
        <w:pStyle w:val="-"/>
        <w:spacing w:beforeLines="50" w:before="120" w:line="360" w:lineRule="auto"/>
        <w:ind w:firstLineChars="200" w:firstLine="482"/>
        <w:rPr>
          <w:rFonts w:ascii="黑体" w:eastAsia="黑体" w:hAnsi="黑体"/>
          <w:b/>
        </w:rPr>
      </w:pPr>
      <w:r w:rsidRPr="004865EF">
        <w:rPr>
          <w:rFonts w:ascii="黑体" w:eastAsia="黑体" w:hAnsi="黑体" w:hint="eastAsia"/>
          <w:b/>
          <w:sz w:val="24"/>
        </w:rPr>
        <w:t>请保荐人及发行人律师核查并发表明确意见。</w:t>
      </w:r>
    </w:p>
    <w:p w14:paraId="52DE5DB3" w14:textId="4066C6DE" w:rsidR="00602FC1" w:rsidRPr="004865EF" w:rsidRDefault="00F47173" w:rsidP="00602FC1">
      <w:pPr>
        <w:pStyle w:val="zhengwen"/>
      </w:pPr>
      <w:r w:rsidRPr="004865EF">
        <w:rPr>
          <w:rFonts w:hint="eastAsia"/>
        </w:rPr>
        <w:t>【回复】</w:t>
      </w:r>
    </w:p>
    <w:p w14:paraId="1FA499A7" w14:textId="77777777" w:rsidR="00961DC3" w:rsidRPr="004865EF" w:rsidRDefault="00961DC3" w:rsidP="0066058B">
      <w:pPr>
        <w:pStyle w:val="2"/>
      </w:pPr>
      <w:bookmarkStart w:id="10" w:name="_Toc43737731"/>
      <w:bookmarkStart w:id="11" w:name="_Toc45708926"/>
      <w:bookmarkStart w:id="12" w:name="_Toc45742504"/>
      <w:r w:rsidRPr="004865EF">
        <w:t>一、</w:t>
      </w:r>
      <w:bookmarkEnd w:id="10"/>
      <w:proofErr w:type="gramStart"/>
      <w:r w:rsidRPr="004865EF">
        <w:rPr>
          <w:rFonts w:hint="eastAsia"/>
        </w:rPr>
        <w:t>募投项目</w:t>
      </w:r>
      <w:proofErr w:type="gramEnd"/>
      <w:r w:rsidRPr="004865EF">
        <w:rPr>
          <w:rFonts w:hint="eastAsia"/>
        </w:rPr>
        <w:t>用地的计划、取得土地的具体安排、进度，是否符合土地政策、城市规划，</w:t>
      </w:r>
      <w:proofErr w:type="gramStart"/>
      <w:r w:rsidRPr="004865EF">
        <w:rPr>
          <w:rFonts w:hint="eastAsia"/>
        </w:rPr>
        <w:t>募投项目</w:t>
      </w:r>
      <w:proofErr w:type="gramEnd"/>
      <w:r w:rsidRPr="004865EF">
        <w:rPr>
          <w:rFonts w:hint="eastAsia"/>
        </w:rPr>
        <w:t>用地落实的风险</w:t>
      </w:r>
      <w:bookmarkEnd w:id="11"/>
      <w:bookmarkEnd w:id="12"/>
    </w:p>
    <w:p w14:paraId="08A7689F" w14:textId="77777777" w:rsidR="00961DC3" w:rsidRPr="004865EF" w:rsidRDefault="00961DC3" w:rsidP="00961DC3">
      <w:pPr>
        <w:pStyle w:val="zhengwen"/>
        <w:ind w:firstLine="482"/>
        <w:rPr>
          <w:b/>
          <w:bCs/>
        </w:rPr>
      </w:pPr>
      <w:r w:rsidRPr="004865EF">
        <w:rPr>
          <w:b/>
          <w:bCs/>
        </w:rPr>
        <w:t>（一）</w:t>
      </w:r>
      <w:r w:rsidRPr="004865EF">
        <w:rPr>
          <w:rFonts w:hint="eastAsia"/>
          <w:b/>
          <w:bCs/>
        </w:rPr>
        <w:t>本次</w:t>
      </w:r>
      <w:proofErr w:type="gramStart"/>
      <w:r w:rsidRPr="004865EF">
        <w:rPr>
          <w:rFonts w:hint="eastAsia"/>
          <w:b/>
          <w:bCs/>
        </w:rPr>
        <w:t>发行募投项目</w:t>
      </w:r>
      <w:proofErr w:type="gramEnd"/>
    </w:p>
    <w:p w14:paraId="19656425" w14:textId="77777777" w:rsidR="00961DC3" w:rsidRPr="004865EF" w:rsidRDefault="00961DC3" w:rsidP="00961DC3">
      <w:pPr>
        <w:pStyle w:val="zhengwen"/>
      </w:pPr>
      <w:r w:rsidRPr="004865EF">
        <w:rPr>
          <w:rFonts w:hint="eastAsia"/>
        </w:rPr>
        <w:t>本次发行</w:t>
      </w:r>
      <w:proofErr w:type="gramStart"/>
      <w:r w:rsidRPr="004865EF">
        <w:rPr>
          <w:rFonts w:hint="eastAsia"/>
        </w:rPr>
        <w:t>募投项目</w:t>
      </w:r>
      <w:proofErr w:type="gramEnd"/>
      <w:r w:rsidRPr="004865EF">
        <w:rPr>
          <w:rFonts w:hint="eastAsia"/>
        </w:rPr>
        <w:t>整体情况如下：</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611"/>
        <w:gridCol w:w="1137"/>
        <w:gridCol w:w="1655"/>
        <w:gridCol w:w="1715"/>
      </w:tblGrid>
      <w:tr w:rsidR="004865EF" w:rsidRPr="004865EF" w14:paraId="6167C04B" w14:textId="77777777" w:rsidTr="00D752CA">
        <w:trPr>
          <w:trHeight w:val="397"/>
          <w:jc w:val="center"/>
        </w:trPr>
        <w:tc>
          <w:tcPr>
            <w:tcW w:w="684" w:type="dxa"/>
            <w:vAlign w:val="center"/>
          </w:tcPr>
          <w:p w14:paraId="61BFA4C0" w14:textId="77777777" w:rsidR="00961DC3" w:rsidRPr="004865EF" w:rsidRDefault="00961DC3" w:rsidP="00961DC3">
            <w:pPr>
              <w:jc w:val="center"/>
              <w:rPr>
                <w:rFonts w:ascii="Times New Roman" w:eastAsia="宋体" w:hAnsi="Times New Roman" w:cs="Times New Roman"/>
                <w:b/>
                <w:bCs/>
                <w:szCs w:val="21"/>
              </w:rPr>
            </w:pPr>
            <w:r w:rsidRPr="004865EF">
              <w:rPr>
                <w:rFonts w:ascii="Times New Roman" w:eastAsia="宋体" w:hAnsi="Times New Roman" w:cs="Times New Roman"/>
                <w:b/>
                <w:bCs/>
                <w:szCs w:val="21"/>
              </w:rPr>
              <w:t>序号</w:t>
            </w:r>
          </w:p>
        </w:tc>
        <w:tc>
          <w:tcPr>
            <w:tcW w:w="3611" w:type="dxa"/>
            <w:vAlign w:val="center"/>
          </w:tcPr>
          <w:p w14:paraId="10203444" w14:textId="77777777" w:rsidR="00961DC3" w:rsidRPr="004865EF" w:rsidRDefault="00961DC3" w:rsidP="00961DC3">
            <w:pPr>
              <w:jc w:val="center"/>
              <w:rPr>
                <w:rFonts w:ascii="Times New Roman" w:eastAsia="宋体" w:hAnsi="Times New Roman" w:cs="Times New Roman"/>
                <w:b/>
                <w:bCs/>
                <w:szCs w:val="21"/>
              </w:rPr>
            </w:pPr>
            <w:r w:rsidRPr="004865EF">
              <w:rPr>
                <w:rFonts w:ascii="Times New Roman" w:eastAsia="宋体" w:hAnsi="Times New Roman" w:cs="Times New Roman"/>
                <w:b/>
                <w:bCs/>
                <w:szCs w:val="21"/>
              </w:rPr>
              <w:t>项目名称</w:t>
            </w:r>
          </w:p>
        </w:tc>
        <w:tc>
          <w:tcPr>
            <w:tcW w:w="1137" w:type="dxa"/>
            <w:vAlign w:val="center"/>
          </w:tcPr>
          <w:p w14:paraId="3E81D85D" w14:textId="77777777" w:rsidR="00961DC3" w:rsidRPr="004865EF" w:rsidRDefault="00961DC3" w:rsidP="00961DC3">
            <w:pPr>
              <w:jc w:val="center"/>
              <w:rPr>
                <w:rFonts w:ascii="Times New Roman" w:eastAsia="宋体" w:hAnsi="Times New Roman" w:cs="Times New Roman"/>
                <w:b/>
                <w:bCs/>
                <w:szCs w:val="21"/>
              </w:rPr>
            </w:pPr>
            <w:r w:rsidRPr="004865EF">
              <w:rPr>
                <w:rFonts w:ascii="Times New Roman" w:eastAsia="宋体" w:hAnsi="Times New Roman" w:cs="Times New Roman"/>
                <w:b/>
                <w:bCs/>
                <w:szCs w:val="21"/>
              </w:rPr>
              <w:t>实施主体</w:t>
            </w:r>
          </w:p>
        </w:tc>
        <w:tc>
          <w:tcPr>
            <w:tcW w:w="1655" w:type="dxa"/>
            <w:vAlign w:val="center"/>
          </w:tcPr>
          <w:p w14:paraId="146CF90C" w14:textId="77777777" w:rsidR="00570E75" w:rsidRPr="004865EF" w:rsidRDefault="00961DC3" w:rsidP="00961DC3">
            <w:pPr>
              <w:jc w:val="center"/>
              <w:rPr>
                <w:rFonts w:ascii="Times New Roman" w:eastAsia="宋体" w:hAnsi="Times New Roman" w:cs="Times New Roman"/>
                <w:b/>
                <w:bCs/>
                <w:szCs w:val="21"/>
              </w:rPr>
            </w:pPr>
            <w:r w:rsidRPr="004865EF">
              <w:rPr>
                <w:rFonts w:ascii="Times New Roman" w:eastAsia="宋体" w:hAnsi="Times New Roman" w:cs="Times New Roman"/>
                <w:b/>
                <w:bCs/>
                <w:szCs w:val="21"/>
              </w:rPr>
              <w:t>投资金额</w:t>
            </w:r>
          </w:p>
          <w:p w14:paraId="16564274" w14:textId="39D3FBBB" w:rsidR="00961DC3" w:rsidRPr="004865EF" w:rsidRDefault="00961DC3" w:rsidP="00961DC3">
            <w:pPr>
              <w:jc w:val="center"/>
              <w:rPr>
                <w:rFonts w:ascii="Times New Roman" w:eastAsia="宋体" w:hAnsi="Times New Roman" w:cs="Times New Roman"/>
                <w:b/>
                <w:bCs/>
                <w:szCs w:val="21"/>
              </w:rPr>
            </w:pPr>
            <w:r w:rsidRPr="004865EF">
              <w:rPr>
                <w:rFonts w:ascii="Times New Roman" w:eastAsia="宋体" w:hAnsi="Times New Roman" w:cs="Times New Roman"/>
                <w:b/>
                <w:bCs/>
                <w:szCs w:val="21"/>
              </w:rPr>
              <w:t>（万元）</w:t>
            </w:r>
          </w:p>
        </w:tc>
        <w:tc>
          <w:tcPr>
            <w:tcW w:w="1715" w:type="dxa"/>
            <w:vAlign w:val="center"/>
          </w:tcPr>
          <w:p w14:paraId="06400761" w14:textId="77777777" w:rsidR="00961DC3" w:rsidRPr="004865EF" w:rsidRDefault="00961DC3" w:rsidP="00961DC3">
            <w:pPr>
              <w:jc w:val="center"/>
              <w:rPr>
                <w:rFonts w:ascii="Times New Roman" w:eastAsia="宋体" w:hAnsi="Times New Roman" w:cs="Times New Roman"/>
                <w:b/>
                <w:bCs/>
                <w:szCs w:val="21"/>
              </w:rPr>
            </w:pPr>
            <w:r w:rsidRPr="004865EF">
              <w:rPr>
                <w:rFonts w:ascii="Times New Roman" w:eastAsia="宋体" w:hAnsi="Times New Roman" w:cs="Times New Roman"/>
                <w:b/>
                <w:bCs/>
                <w:szCs w:val="21"/>
              </w:rPr>
              <w:t>募集资金拟投资金额（万元）</w:t>
            </w:r>
          </w:p>
        </w:tc>
      </w:tr>
      <w:tr w:rsidR="004865EF" w:rsidRPr="004865EF" w14:paraId="7E46E9D2" w14:textId="77777777" w:rsidTr="00D752CA">
        <w:trPr>
          <w:trHeight w:val="397"/>
          <w:jc w:val="center"/>
        </w:trPr>
        <w:tc>
          <w:tcPr>
            <w:tcW w:w="684" w:type="dxa"/>
            <w:vAlign w:val="center"/>
          </w:tcPr>
          <w:p w14:paraId="6448F5F4" w14:textId="77777777" w:rsidR="00961DC3" w:rsidRPr="004865EF" w:rsidRDefault="00961DC3" w:rsidP="00961DC3">
            <w:pPr>
              <w:jc w:val="center"/>
              <w:rPr>
                <w:rFonts w:ascii="Times New Roman" w:eastAsia="宋体" w:hAnsi="Times New Roman" w:cs="Times New Roman"/>
                <w:szCs w:val="21"/>
              </w:rPr>
            </w:pPr>
            <w:r w:rsidRPr="004865EF">
              <w:rPr>
                <w:rFonts w:ascii="Times New Roman" w:eastAsia="宋体" w:hAnsi="Times New Roman" w:cs="Times New Roman"/>
                <w:szCs w:val="21"/>
              </w:rPr>
              <w:t>1</w:t>
            </w:r>
          </w:p>
        </w:tc>
        <w:tc>
          <w:tcPr>
            <w:tcW w:w="3611" w:type="dxa"/>
            <w:vAlign w:val="center"/>
          </w:tcPr>
          <w:p w14:paraId="5E108361" w14:textId="77777777" w:rsidR="00961DC3" w:rsidRPr="004865EF" w:rsidRDefault="00961DC3" w:rsidP="00961DC3">
            <w:pPr>
              <w:rPr>
                <w:rFonts w:ascii="Times New Roman" w:eastAsia="宋体" w:hAnsi="Times New Roman" w:cs="Times New Roman"/>
                <w:szCs w:val="21"/>
              </w:rPr>
            </w:pPr>
            <w:r w:rsidRPr="004865EF">
              <w:rPr>
                <w:rFonts w:ascii="Times New Roman" w:eastAsia="宋体" w:hAnsi="Times New Roman" w:cs="Times New Roman"/>
                <w:szCs w:val="21"/>
              </w:rPr>
              <w:t>北京房山绿色</w:t>
            </w:r>
            <w:proofErr w:type="gramStart"/>
            <w:r w:rsidRPr="004865EF">
              <w:rPr>
                <w:rFonts w:ascii="Times New Roman" w:eastAsia="宋体" w:hAnsi="Times New Roman" w:cs="Times New Roman"/>
                <w:szCs w:val="21"/>
              </w:rPr>
              <w:t>云计算</w:t>
            </w:r>
            <w:proofErr w:type="gramEnd"/>
            <w:r w:rsidRPr="004865EF">
              <w:rPr>
                <w:rFonts w:ascii="Times New Roman" w:eastAsia="宋体" w:hAnsi="Times New Roman" w:cs="Times New Roman"/>
                <w:szCs w:val="21"/>
              </w:rPr>
              <w:t>数据中心二期</w:t>
            </w:r>
          </w:p>
        </w:tc>
        <w:tc>
          <w:tcPr>
            <w:tcW w:w="1137" w:type="dxa"/>
            <w:vAlign w:val="center"/>
          </w:tcPr>
          <w:p w14:paraId="3A8D161A" w14:textId="77777777" w:rsidR="00961DC3" w:rsidRPr="004865EF" w:rsidRDefault="00961DC3" w:rsidP="00961DC3">
            <w:pPr>
              <w:jc w:val="center"/>
              <w:rPr>
                <w:rFonts w:ascii="Times New Roman" w:eastAsia="宋体" w:hAnsi="Times New Roman" w:cs="Times New Roman"/>
              </w:rPr>
            </w:pPr>
            <w:proofErr w:type="gramStart"/>
            <w:r w:rsidRPr="004865EF">
              <w:rPr>
                <w:rFonts w:ascii="Times New Roman" w:eastAsia="宋体" w:hAnsi="Times New Roman" w:cs="Times New Roman"/>
              </w:rPr>
              <w:t>德信致远</w:t>
            </w:r>
            <w:proofErr w:type="gramEnd"/>
          </w:p>
        </w:tc>
        <w:tc>
          <w:tcPr>
            <w:tcW w:w="1655" w:type="dxa"/>
            <w:vAlign w:val="center"/>
          </w:tcPr>
          <w:p w14:paraId="5195B292"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122,090.28</w:t>
            </w:r>
          </w:p>
        </w:tc>
        <w:tc>
          <w:tcPr>
            <w:tcW w:w="1715" w:type="dxa"/>
            <w:vAlign w:val="center"/>
          </w:tcPr>
          <w:p w14:paraId="76F05DAF"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90,000.00</w:t>
            </w:r>
          </w:p>
        </w:tc>
      </w:tr>
      <w:tr w:rsidR="004865EF" w:rsidRPr="004865EF" w14:paraId="0C34FA77" w14:textId="77777777" w:rsidTr="00D752CA">
        <w:trPr>
          <w:trHeight w:val="397"/>
          <w:jc w:val="center"/>
        </w:trPr>
        <w:tc>
          <w:tcPr>
            <w:tcW w:w="684" w:type="dxa"/>
            <w:vAlign w:val="center"/>
          </w:tcPr>
          <w:p w14:paraId="0185292F" w14:textId="77777777" w:rsidR="00961DC3" w:rsidRPr="004865EF" w:rsidRDefault="00961DC3" w:rsidP="00961DC3">
            <w:pPr>
              <w:jc w:val="center"/>
              <w:rPr>
                <w:rFonts w:ascii="Times New Roman" w:eastAsia="宋体" w:hAnsi="Times New Roman" w:cs="Times New Roman"/>
                <w:szCs w:val="21"/>
              </w:rPr>
            </w:pPr>
            <w:r w:rsidRPr="004865EF">
              <w:rPr>
                <w:rFonts w:ascii="Times New Roman" w:eastAsia="宋体" w:hAnsi="Times New Roman" w:cs="Times New Roman"/>
                <w:szCs w:val="21"/>
              </w:rPr>
              <w:t>2</w:t>
            </w:r>
          </w:p>
        </w:tc>
        <w:tc>
          <w:tcPr>
            <w:tcW w:w="3611" w:type="dxa"/>
            <w:vAlign w:val="center"/>
          </w:tcPr>
          <w:p w14:paraId="6C89A858" w14:textId="77777777" w:rsidR="00961DC3" w:rsidRPr="004865EF" w:rsidRDefault="00961DC3" w:rsidP="00961DC3">
            <w:pPr>
              <w:rPr>
                <w:rFonts w:ascii="Times New Roman" w:eastAsia="宋体" w:hAnsi="Times New Roman" w:cs="Times New Roman"/>
                <w:szCs w:val="21"/>
              </w:rPr>
            </w:pPr>
            <w:r w:rsidRPr="004865EF">
              <w:rPr>
                <w:rFonts w:ascii="Times New Roman" w:eastAsia="宋体" w:hAnsi="Times New Roman" w:cs="Times New Roman"/>
                <w:szCs w:val="21"/>
              </w:rPr>
              <w:t>上海嘉定绿色</w:t>
            </w:r>
            <w:proofErr w:type="gramStart"/>
            <w:r w:rsidRPr="004865EF">
              <w:rPr>
                <w:rFonts w:ascii="Times New Roman" w:eastAsia="宋体" w:hAnsi="Times New Roman" w:cs="Times New Roman"/>
                <w:szCs w:val="21"/>
              </w:rPr>
              <w:t>云计算</w:t>
            </w:r>
            <w:proofErr w:type="gramEnd"/>
            <w:r w:rsidRPr="004865EF">
              <w:rPr>
                <w:rFonts w:ascii="Times New Roman" w:eastAsia="宋体" w:hAnsi="Times New Roman" w:cs="Times New Roman"/>
                <w:szCs w:val="21"/>
              </w:rPr>
              <w:t>基地二期</w:t>
            </w:r>
          </w:p>
        </w:tc>
        <w:tc>
          <w:tcPr>
            <w:tcW w:w="1137" w:type="dxa"/>
            <w:vAlign w:val="center"/>
          </w:tcPr>
          <w:p w14:paraId="780C219E" w14:textId="77777777" w:rsidR="00961DC3" w:rsidRPr="004865EF" w:rsidRDefault="00961DC3" w:rsidP="00961DC3">
            <w:pPr>
              <w:jc w:val="center"/>
              <w:rPr>
                <w:rFonts w:ascii="Times New Roman" w:eastAsia="宋体" w:hAnsi="Times New Roman" w:cs="Times New Roman"/>
              </w:rPr>
            </w:pPr>
            <w:r w:rsidRPr="004865EF">
              <w:rPr>
                <w:rFonts w:ascii="Times New Roman" w:eastAsia="宋体" w:hAnsi="Times New Roman" w:cs="Times New Roman"/>
              </w:rPr>
              <w:t>上海中可</w:t>
            </w:r>
          </w:p>
        </w:tc>
        <w:tc>
          <w:tcPr>
            <w:tcW w:w="1655" w:type="dxa"/>
            <w:vAlign w:val="center"/>
          </w:tcPr>
          <w:p w14:paraId="04729420"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130,000.00</w:t>
            </w:r>
          </w:p>
        </w:tc>
        <w:tc>
          <w:tcPr>
            <w:tcW w:w="1715" w:type="dxa"/>
            <w:vAlign w:val="center"/>
          </w:tcPr>
          <w:p w14:paraId="3AA94E7E"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90,000.00</w:t>
            </w:r>
          </w:p>
        </w:tc>
      </w:tr>
      <w:tr w:rsidR="004865EF" w:rsidRPr="004865EF" w14:paraId="2DDC2098" w14:textId="77777777" w:rsidTr="00D752CA">
        <w:trPr>
          <w:trHeight w:val="397"/>
          <w:jc w:val="center"/>
        </w:trPr>
        <w:tc>
          <w:tcPr>
            <w:tcW w:w="684" w:type="dxa"/>
            <w:vAlign w:val="center"/>
          </w:tcPr>
          <w:p w14:paraId="67794DAB" w14:textId="77777777" w:rsidR="00961DC3" w:rsidRPr="004865EF" w:rsidRDefault="00961DC3" w:rsidP="00961DC3">
            <w:pPr>
              <w:jc w:val="center"/>
              <w:rPr>
                <w:rFonts w:ascii="Times New Roman" w:eastAsia="宋体" w:hAnsi="Times New Roman" w:cs="Times New Roman"/>
                <w:szCs w:val="21"/>
              </w:rPr>
            </w:pPr>
            <w:r w:rsidRPr="004865EF">
              <w:rPr>
                <w:rFonts w:ascii="Times New Roman" w:eastAsia="宋体" w:hAnsi="Times New Roman" w:cs="Times New Roman"/>
                <w:szCs w:val="21"/>
              </w:rPr>
              <w:t>3</w:t>
            </w:r>
          </w:p>
        </w:tc>
        <w:tc>
          <w:tcPr>
            <w:tcW w:w="3611" w:type="dxa"/>
            <w:vAlign w:val="center"/>
          </w:tcPr>
          <w:p w14:paraId="33A579EE" w14:textId="77777777" w:rsidR="00961DC3" w:rsidRPr="004865EF" w:rsidRDefault="00961DC3" w:rsidP="00961DC3">
            <w:pPr>
              <w:rPr>
                <w:rFonts w:ascii="Times New Roman" w:eastAsia="宋体" w:hAnsi="Times New Roman" w:cs="Times New Roman"/>
              </w:rPr>
            </w:pPr>
            <w:proofErr w:type="gramStart"/>
            <w:r w:rsidRPr="004865EF">
              <w:rPr>
                <w:rFonts w:ascii="Times New Roman" w:eastAsia="宋体" w:hAnsi="Times New Roman" w:cs="Times New Roman"/>
              </w:rPr>
              <w:t>向智达云创增资</w:t>
            </w:r>
            <w:proofErr w:type="gramEnd"/>
            <w:r w:rsidRPr="004865EF">
              <w:rPr>
                <w:rFonts w:ascii="Times New Roman" w:eastAsia="宋体" w:hAnsi="Times New Roman" w:cs="Times New Roman"/>
              </w:rPr>
              <w:t>取得</w:t>
            </w:r>
            <w:r w:rsidRPr="004865EF">
              <w:rPr>
                <w:rFonts w:ascii="Times New Roman" w:eastAsia="宋体" w:hAnsi="Times New Roman" w:cs="Times New Roman"/>
              </w:rPr>
              <w:t>65%</w:t>
            </w:r>
            <w:r w:rsidRPr="004865EF">
              <w:rPr>
                <w:rFonts w:ascii="Times New Roman" w:eastAsia="宋体" w:hAnsi="Times New Roman" w:cs="Times New Roman"/>
              </w:rPr>
              <w:t>股权并投资建设燕郊绿色</w:t>
            </w:r>
            <w:proofErr w:type="gramStart"/>
            <w:r w:rsidRPr="004865EF">
              <w:rPr>
                <w:rFonts w:ascii="Times New Roman" w:eastAsia="宋体" w:hAnsi="Times New Roman" w:cs="Times New Roman"/>
              </w:rPr>
              <w:t>云计算</w:t>
            </w:r>
            <w:proofErr w:type="gramEnd"/>
            <w:r w:rsidRPr="004865EF">
              <w:rPr>
                <w:rFonts w:ascii="Times New Roman" w:eastAsia="宋体" w:hAnsi="Times New Roman" w:cs="Times New Roman"/>
              </w:rPr>
              <w:t>基地三四期</w:t>
            </w:r>
          </w:p>
        </w:tc>
        <w:tc>
          <w:tcPr>
            <w:tcW w:w="1137" w:type="dxa"/>
            <w:vAlign w:val="center"/>
          </w:tcPr>
          <w:p w14:paraId="6E436D02" w14:textId="77777777" w:rsidR="00961DC3" w:rsidRPr="004865EF" w:rsidRDefault="00961DC3" w:rsidP="00961DC3">
            <w:pPr>
              <w:jc w:val="center"/>
              <w:rPr>
                <w:rFonts w:ascii="Times New Roman" w:eastAsia="宋体" w:hAnsi="Times New Roman" w:cs="Times New Roman"/>
              </w:rPr>
            </w:pPr>
            <w:r w:rsidRPr="004865EF">
              <w:rPr>
                <w:rFonts w:ascii="Times New Roman" w:eastAsia="宋体" w:hAnsi="Times New Roman" w:cs="Times New Roman"/>
              </w:rPr>
              <w:t>智达云创</w:t>
            </w:r>
          </w:p>
        </w:tc>
        <w:tc>
          <w:tcPr>
            <w:tcW w:w="1655" w:type="dxa"/>
            <w:vAlign w:val="center"/>
          </w:tcPr>
          <w:p w14:paraId="2BB9E5DB"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298,600.00</w:t>
            </w:r>
          </w:p>
        </w:tc>
        <w:tc>
          <w:tcPr>
            <w:tcW w:w="1715" w:type="dxa"/>
            <w:vAlign w:val="center"/>
          </w:tcPr>
          <w:p w14:paraId="15B3CD6A"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152,000.00</w:t>
            </w:r>
          </w:p>
        </w:tc>
      </w:tr>
      <w:tr w:rsidR="004865EF" w:rsidRPr="004865EF" w14:paraId="0775A328" w14:textId="77777777" w:rsidTr="00D752CA">
        <w:trPr>
          <w:trHeight w:val="397"/>
          <w:jc w:val="center"/>
        </w:trPr>
        <w:tc>
          <w:tcPr>
            <w:tcW w:w="684" w:type="dxa"/>
            <w:vAlign w:val="center"/>
          </w:tcPr>
          <w:p w14:paraId="70DB2CD3" w14:textId="77777777" w:rsidR="00961DC3" w:rsidRPr="004865EF" w:rsidRDefault="00961DC3" w:rsidP="00961DC3">
            <w:pPr>
              <w:jc w:val="center"/>
              <w:rPr>
                <w:rFonts w:ascii="Times New Roman" w:eastAsia="宋体" w:hAnsi="Times New Roman" w:cs="Times New Roman"/>
                <w:szCs w:val="21"/>
              </w:rPr>
            </w:pPr>
            <w:r w:rsidRPr="004865EF">
              <w:rPr>
                <w:rFonts w:ascii="Times New Roman" w:eastAsia="宋体" w:hAnsi="Times New Roman" w:cs="Times New Roman"/>
                <w:szCs w:val="21"/>
              </w:rPr>
              <w:lastRenderedPageBreak/>
              <w:t>4</w:t>
            </w:r>
          </w:p>
        </w:tc>
        <w:tc>
          <w:tcPr>
            <w:tcW w:w="3611" w:type="dxa"/>
            <w:vAlign w:val="center"/>
          </w:tcPr>
          <w:p w14:paraId="2353910B" w14:textId="77777777" w:rsidR="00961DC3" w:rsidRPr="004865EF" w:rsidRDefault="00961DC3" w:rsidP="00961DC3">
            <w:pPr>
              <w:rPr>
                <w:rFonts w:ascii="Times New Roman" w:eastAsia="宋体" w:hAnsi="Times New Roman" w:cs="Times New Roman"/>
                <w:szCs w:val="21"/>
              </w:rPr>
            </w:pPr>
            <w:r w:rsidRPr="004865EF">
              <w:rPr>
                <w:rFonts w:ascii="Times New Roman" w:eastAsia="宋体" w:hAnsi="Times New Roman" w:cs="Times New Roman"/>
              </w:rPr>
              <w:t>长沙绿色</w:t>
            </w:r>
            <w:proofErr w:type="gramStart"/>
            <w:r w:rsidRPr="004865EF">
              <w:rPr>
                <w:rFonts w:ascii="Times New Roman" w:eastAsia="宋体" w:hAnsi="Times New Roman" w:cs="Times New Roman"/>
              </w:rPr>
              <w:t>云计算</w:t>
            </w:r>
            <w:proofErr w:type="gramEnd"/>
            <w:r w:rsidRPr="004865EF">
              <w:rPr>
                <w:rFonts w:ascii="Times New Roman" w:eastAsia="宋体" w:hAnsi="Times New Roman" w:cs="Times New Roman"/>
              </w:rPr>
              <w:t>基地一期</w:t>
            </w:r>
          </w:p>
        </w:tc>
        <w:tc>
          <w:tcPr>
            <w:tcW w:w="1137" w:type="dxa"/>
            <w:vAlign w:val="center"/>
          </w:tcPr>
          <w:p w14:paraId="57F0062C" w14:textId="77777777" w:rsidR="00961DC3" w:rsidRPr="004865EF" w:rsidRDefault="00961DC3" w:rsidP="00961DC3">
            <w:pPr>
              <w:jc w:val="center"/>
              <w:rPr>
                <w:rFonts w:ascii="Times New Roman" w:eastAsia="宋体" w:hAnsi="Times New Roman" w:cs="Times New Roman"/>
              </w:rPr>
            </w:pPr>
            <w:r w:rsidRPr="004865EF">
              <w:rPr>
                <w:rFonts w:ascii="Times New Roman" w:eastAsia="宋体" w:hAnsi="Times New Roman" w:cs="Times New Roman"/>
              </w:rPr>
              <w:t>光环长沙</w:t>
            </w:r>
          </w:p>
        </w:tc>
        <w:tc>
          <w:tcPr>
            <w:tcW w:w="1655" w:type="dxa"/>
            <w:vAlign w:val="center"/>
          </w:tcPr>
          <w:p w14:paraId="2E29A226"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346,380.00</w:t>
            </w:r>
          </w:p>
        </w:tc>
        <w:tc>
          <w:tcPr>
            <w:tcW w:w="1715" w:type="dxa"/>
            <w:vAlign w:val="center"/>
          </w:tcPr>
          <w:p w14:paraId="0E3E4F52"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40,000.00</w:t>
            </w:r>
          </w:p>
        </w:tc>
      </w:tr>
      <w:tr w:rsidR="004865EF" w:rsidRPr="004865EF" w14:paraId="25AD23DC" w14:textId="77777777" w:rsidTr="00D752CA">
        <w:trPr>
          <w:trHeight w:val="397"/>
          <w:jc w:val="center"/>
        </w:trPr>
        <w:tc>
          <w:tcPr>
            <w:tcW w:w="684" w:type="dxa"/>
            <w:vAlign w:val="center"/>
          </w:tcPr>
          <w:p w14:paraId="4700E902" w14:textId="77777777" w:rsidR="00961DC3" w:rsidRPr="004865EF" w:rsidRDefault="00961DC3" w:rsidP="00961DC3">
            <w:pPr>
              <w:jc w:val="center"/>
              <w:rPr>
                <w:rFonts w:ascii="Times New Roman" w:eastAsia="宋体" w:hAnsi="Times New Roman" w:cs="Times New Roman"/>
                <w:szCs w:val="21"/>
              </w:rPr>
            </w:pPr>
            <w:r w:rsidRPr="004865EF">
              <w:rPr>
                <w:rFonts w:ascii="Times New Roman" w:eastAsia="宋体" w:hAnsi="Times New Roman" w:cs="Times New Roman"/>
                <w:szCs w:val="21"/>
              </w:rPr>
              <w:t>5</w:t>
            </w:r>
          </w:p>
        </w:tc>
        <w:tc>
          <w:tcPr>
            <w:tcW w:w="3611" w:type="dxa"/>
            <w:vAlign w:val="center"/>
          </w:tcPr>
          <w:p w14:paraId="08F7C367" w14:textId="77777777" w:rsidR="00961DC3" w:rsidRPr="004865EF" w:rsidRDefault="00961DC3" w:rsidP="00961DC3">
            <w:pPr>
              <w:rPr>
                <w:rFonts w:ascii="Times New Roman" w:eastAsia="宋体" w:hAnsi="Times New Roman" w:cs="Times New Roman"/>
                <w:szCs w:val="21"/>
              </w:rPr>
            </w:pPr>
            <w:r w:rsidRPr="004865EF">
              <w:rPr>
                <w:rFonts w:ascii="Times New Roman" w:eastAsia="宋体" w:hAnsi="Times New Roman" w:cs="Times New Roman"/>
                <w:szCs w:val="21"/>
              </w:rPr>
              <w:t>补充流动资金</w:t>
            </w:r>
          </w:p>
        </w:tc>
        <w:tc>
          <w:tcPr>
            <w:tcW w:w="1137" w:type="dxa"/>
          </w:tcPr>
          <w:p w14:paraId="240FF972" w14:textId="77777777" w:rsidR="00961DC3" w:rsidRPr="004865EF" w:rsidRDefault="00961DC3" w:rsidP="00961DC3">
            <w:pPr>
              <w:jc w:val="center"/>
              <w:rPr>
                <w:rFonts w:ascii="Times New Roman" w:eastAsia="宋体" w:hAnsi="Times New Roman" w:cs="Times New Roman"/>
              </w:rPr>
            </w:pPr>
            <w:r w:rsidRPr="004865EF">
              <w:rPr>
                <w:rFonts w:ascii="Times New Roman" w:eastAsia="宋体" w:hAnsi="Times New Roman" w:cs="Times New Roman"/>
                <w:b/>
              </w:rPr>
              <w:t>-</w:t>
            </w:r>
          </w:p>
        </w:tc>
        <w:tc>
          <w:tcPr>
            <w:tcW w:w="1655" w:type="dxa"/>
            <w:vAlign w:val="center"/>
          </w:tcPr>
          <w:p w14:paraId="13E158A4"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128,000.00</w:t>
            </w:r>
          </w:p>
        </w:tc>
        <w:tc>
          <w:tcPr>
            <w:tcW w:w="1715" w:type="dxa"/>
            <w:vAlign w:val="center"/>
          </w:tcPr>
          <w:p w14:paraId="47125755" w14:textId="77777777" w:rsidR="00961DC3" w:rsidRPr="004865EF" w:rsidRDefault="00961DC3" w:rsidP="00A66425">
            <w:pPr>
              <w:jc w:val="right"/>
              <w:rPr>
                <w:rFonts w:ascii="Times New Roman" w:eastAsia="宋体" w:hAnsi="Times New Roman" w:cs="Times New Roman"/>
              </w:rPr>
            </w:pPr>
            <w:r w:rsidRPr="004865EF">
              <w:rPr>
                <w:rFonts w:ascii="Times New Roman" w:eastAsia="宋体" w:hAnsi="Times New Roman" w:cs="Times New Roman"/>
              </w:rPr>
              <w:t>128,000.00</w:t>
            </w:r>
          </w:p>
        </w:tc>
      </w:tr>
      <w:tr w:rsidR="004865EF" w:rsidRPr="004865EF" w14:paraId="205FC2A9" w14:textId="77777777" w:rsidTr="00D752CA">
        <w:trPr>
          <w:trHeight w:val="397"/>
          <w:jc w:val="center"/>
        </w:trPr>
        <w:tc>
          <w:tcPr>
            <w:tcW w:w="4295" w:type="dxa"/>
            <w:gridSpan w:val="2"/>
            <w:vAlign w:val="center"/>
          </w:tcPr>
          <w:p w14:paraId="7E456970" w14:textId="77777777" w:rsidR="00961DC3" w:rsidRPr="004865EF" w:rsidRDefault="00961DC3" w:rsidP="00961DC3">
            <w:pPr>
              <w:jc w:val="center"/>
              <w:rPr>
                <w:rFonts w:ascii="Times New Roman" w:eastAsia="宋体" w:hAnsi="Times New Roman" w:cs="Times New Roman"/>
                <w:b/>
                <w:szCs w:val="21"/>
              </w:rPr>
            </w:pPr>
            <w:r w:rsidRPr="004865EF">
              <w:rPr>
                <w:rFonts w:ascii="Times New Roman" w:eastAsia="宋体" w:hAnsi="Times New Roman" w:cs="Times New Roman"/>
                <w:b/>
                <w:szCs w:val="21"/>
              </w:rPr>
              <w:t>总计</w:t>
            </w:r>
          </w:p>
        </w:tc>
        <w:tc>
          <w:tcPr>
            <w:tcW w:w="1137" w:type="dxa"/>
          </w:tcPr>
          <w:p w14:paraId="47EAE892" w14:textId="77777777" w:rsidR="00961DC3" w:rsidRPr="004865EF" w:rsidRDefault="00961DC3" w:rsidP="00961DC3">
            <w:pPr>
              <w:jc w:val="center"/>
              <w:rPr>
                <w:rFonts w:ascii="Times New Roman" w:eastAsia="宋体" w:hAnsi="Times New Roman" w:cs="Times New Roman"/>
              </w:rPr>
            </w:pPr>
            <w:r w:rsidRPr="004865EF">
              <w:rPr>
                <w:rFonts w:ascii="Times New Roman" w:eastAsia="宋体" w:hAnsi="Times New Roman" w:cs="Times New Roman"/>
              </w:rPr>
              <w:t>-</w:t>
            </w:r>
          </w:p>
        </w:tc>
        <w:tc>
          <w:tcPr>
            <w:tcW w:w="1655" w:type="dxa"/>
            <w:vAlign w:val="center"/>
          </w:tcPr>
          <w:p w14:paraId="19E8FEAF" w14:textId="77777777" w:rsidR="00961DC3" w:rsidRPr="004865EF" w:rsidRDefault="00961DC3" w:rsidP="00A66425">
            <w:pPr>
              <w:jc w:val="right"/>
              <w:rPr>
                <w:rFonts w:ascii="Times New Roman" w:eastAsia="宋体" w:hAnsi="Times New Roman" w:cs="Times New Roman"/>
                <w:b/>
                <w:szCs w:val="21"/>
              </w:rPr>
            </w:pPr>
            <w:r w:rsidRPr="004865EF">
              <w:rPr>
                <w:rFonts w:ascii="Times New Roman" w:eastAsia="宋体" w:hAnsi="Times New Roman" w:cs="Times New Roman"/>
                <w:b/>
              </w:rPr>
              <w:t>1,025,070.28</w:t>
            </w:r>
          </w:p>
        </w:tc>
        <w:tc>
          <w:tcPr>
            <w:tcW w:w="1715" w:type="dxa"/>
            <w:vAlign w:val="center"/>
          </w:tcPr>
          <w:p w14:paraId="1A7F4AA8" w14:textId="77777777" w:rsidR="00961DC3" w:rsidRPr="004865EF" w:rsidRDefault="00961DC3" w:rsidP="00A66425">
            <w:pPr>
              <w:jc w:val="right"/>
              <w:rPr>
                <w:rFonts w:ascii="Times New Roman" w:eastAsia="宋体" w:hAnsi="Times New Roman" w:cs="Times New Roman"/>
                <w:b/>
              </w:rPr>
            </w:pPr>
            <w:r w:rsidRPr="004865EF">
              <w:rPr>
                <w:rFonts w:ascii="Times New Roman" w:eastAsia="宋体" w:hAnsi="Times New Roman" w:cs="Times New Roman"/>
                <w:b/>
              </w:rPr>
              <w:t>500,000.00</w:t>
            </w:r>
          </w:p>
        </w:tc>
      </w:tr>
    </w:tbl>
    <w:p w14:paraId="14BB86A5" w14:textId="77777777" w:rsidR="00961DC3" w:rsidRPr="004865EF" w:rsidRDefault="00961DC3" w:rsidP="00961DC3">
      <w:pPr>
        <w:pStyle w:val="zhengwen"/>
        <w:ind w:firstLine="482"/>
        <w:rPr>
          <w:b/>
          <w:bCs/>
        </w:rPr>
      </w:pPr>
      <w:r w:rsidRPr="004865EF">
        <w:rPr>
          <w:b/>
          <w:bCs/>
        </w:rPr>
        <w:t>（</w:t>
      </w:r>
      <w:r w:rsidRPr="004865EF">
        <w:rPr>
          <w:rFonts w:hint="eastAsia"/>
          <w:b/>
          <w:bCs/>
        </w:rPr>
        <w:t>二</w:t>
      </w:r>
      <w:r w:rsidRPr="004865EF">
        <w:rPr>
          <w:b/>
          <w:bCs/>
        </w:rPr>
        <w:t>）</w:t>
      </w:r>
      <w:proofErr w:type="gramStart"/>
      <w:r w:rsidRPr="004865EF">
        <w:rPr>
          <w:rFonts w:hint="eastAsia"/>
          <w:b/>
          <w:bCs/>
        </w:rPr>
        <w:t>募投项目</w:t>
      </w:r>
      <w:proofErr w:type="gramEnd"/>
      <w:r w:rsidRPr="004865EF">
        <w:rPr>
          <w:rFonts w:hint="eastAsia"/>
          <w:b/>
          <w:bCs/>
        </w:rPr>
        <w:t>用地的计划、取得土地的具体安排、进度</w:t>
      </w:r>
    </w:p>
    <w:p w14:paraId="792912B9" w14:textId="77777777" w:rsidR="00961DC3" w:rsidRPr="004865EF" w:rsidRDefault="00961DC3" w:rsidP="00961DC3">
      <w:pPr>
        <w:pStyle w:val="zhengwen"/>
      </w:pPr>
      <w:r w:rsidRPr="004865EF">
        <w:rPr>
          <w:rFonts w:hint="eastAsia"/>
        </w:rPr>
        <w:t>北京房山绿色</w:t>
      </w:r>
      <w:proofErr w:type="gramStart"/>
      <w:r w:rsidRPr="004865EF">
        <w:rPr>
          <w:rFonts w:hint="eastAsia"/>
        </w:rPr>
        <w:t>云计算</w:t>
      </w:r>
      <w:proofErr w:type="gramEnd"/>
      <w:r w:rsidRPr="004865EF">
        <w:rPr>
          <w:rFonts w:hint="eastAsia"/>
        </w:rPr>
        <w:t>数据中心二期项目在北京市房山区窦店镇实施，</w:t>
      </w:r>
      <w:proofErr w:type="gramStart"/>
      <w:r w:rsidRPr="004865EF">
        <w:rPr>
          <w:rFonts w:hint="eastAsia"/>
        </w:rPr>
        <w:t>德信致远</w:t>
      </w:r>
      <w:proofErr w:type="gramEnd"/>
      <w:r w:rsidRPr="004865EF">
        <w:rPr>
          <w:rFonts w:hint="eastAsia"/>
        </w:rPr>
        <w:t>已于</w:t>
      </w:r>
      <w:r w:rsidRPr="004865EF">
        <w:rPr>
          <w:rFonts w:hint="eastAsia"/>
        </w:rPr>
        <w:t>2016</w:t>
      </w:r>
      <w:r w:rsidRPr="004865EF">
        <w:rPr>
          <w:rFonts w:hint="eastAsia"/>
        </w:rPr>
        <w:t>年</w:t>
      </w:r>
      <w:r w:rsidRPr="004865EF">
        <w:rPr>
          <w:rFonts w:hint="eastAsia"/>
        </w:rPr>
        <w:t>9</w:t>
      </w:r>
      <w:r w:rsidRPr="004865EF">
        <w:rPr>
          <w:rFonts w:hint="eastAsia"/>
        </w:rPr>
        <w:t>月</w:t>
      </w:r>
      <w:r w:rsidRPr="004865EF">
        <w:rPr>
          <w:rFonts w:hint="eastAsia"/>
        </w:rPr>
        <w:t>26</w:t>
      </w:r>
      <w:r w:rsidRPr="004865EF">
        <w:rPr>
          <w:rFonts w:hint="eastAsia"/>
        </w:rPr>
        <w:t>日取得不动产权证书（京</w:t>
      </w:r>
      <w:r w:rsidRPr="004865EF">
        <w:rPr>
          <w:rFonts w:hint="eastAsia"/>
        </w:rPr>
        <w:t>[2016]</w:t>
      </w:r>
      <w:r w:rsidRPr="004865EF">
        <w:rPr>
          <w:rFonts w:hint="eastAsia"/>
        </w:rPr>
        <w:t>房山区不动产权第</w:t>
      </w:r>
      <w:r w:rsidRPr="004865EF">
        <w:rPr>
          <w:rFonts w:hint="eastAsia"/>
        </w:rPr>
        <w:t>0000030</w:t>
      </w:r>
      <w:r w:rsidRPr="004865EF">
        <w:rPr>
          <w:rFonts w:hint="eastAsia"/>
        </w:rPr>
        <w:t>号）。</w:t>
      </w:r>
    </w:p>
    <w:p w14:paraId="37C0388C" w14:textId="77777777" w:rsidR="00961DC3" w:rsidRPr="004865EF" w:rsidRDefault="00961DC3" w:rsidP="00961DC3">
      <w:pPr>
        <w:pStyle w:val="zhengwen"/>
      </w:pPr>
      <w:r w:rsidRPr="004865EF">
        <w:rPr>
          <w:rFonts w:hint="eastAsia"/>
        </w:rPr>
        <w:t>上海嘉定绿色</w:t>
      </w:r>
      <w:proofErr w:type="gramStart"/>
      <w:r w:rsidRPr="004865EF">
        <w:rPr>
          <w:rFonts w:hint="eastAsia"/>
        </w:rPr>
        <w:t>云计算</w:t>
      </w:r>
      <w:proofErr w:type="gramEnd"/>
      <w:r w:rsidRPr="004865EF">
        <w:rPr>
          <w:rFonts w:hint="eastAsia"/>
        </w:rPr>
        <w:t>基地二期项目在上海市嘉定工业区实施，上海中可已于</w:t>
      </w:r>
      <w:r w:rsidRPr="004865EF">
        <w:rPr>
          <w:rFonts w:hint="eastAsia"/>
        </w:rPr>
        <w:t>2012</w:t>
      </w:r>
      <w:r w:rsidRPr="004865EF">
        <w:rPr>
          <w:rFonts w:hint="eastAsia"/>
        </w:rPr>
        <w:t>年</w:t>
      </w:r>
      <w:r w:rsidRPr="004865EF">
        <w:rPr>
          <w:rFonts w:hint="eastAsia"/>
        </w:rPr>
        <w:t>5</w:t>
      </w:r>
      <w:r w:rsidRPr="004865EF">
        <w:rPr>
          <w:rFonts w:hint="eastAsia"/>
        </w:rPr>
        <w:t>月</w:t>
      </w:r>
      <w:r w:rsidRPr="004865EF">
        <w:rPr>
          <w:rFonts w:hint="eastAsia"/>
        </w:rPr>
        <w:t>25</w:t>
      </w:r>
      <w:r w:rsidRPr="004865EF">
        <w:rPr>
          <w:rFonts w:hint="eastAsia"/>
        </w:rPr>
        <w:t>日取得上海市房地产权证（沪</w:t>
      </w:r>
      <w:proofErr w:type="gramStart"/>
      <w:r w:rsidRPr="004865EF">
        <w:rPr>
          <w:rFonts w:hint="eastAsia"/>
        </w:rPr>
        <w:t>房地嘉字</w:t>
      </w:r>
      <w:proofErr w:type="gramEnd"/>
      <w:r w:rsidRPr="004865EF">
        <w:rPr>
          <w:rFonts w:hint="eastAsia"/>
        </w:rPr>
        <w:t>[2012]</w:t>
      </w:r>
      <w:r w:rsidRPr="004865EF">
        <w:rPr>
          <w:rFonts w:hint="eastAsia"/>
        </w:rPr>
        <w:t>第</w:t>
      </w:r>
      <w:r w:rsidRPr="004865EF">
        <w:rPr>
          <w:rFonts w:hint="eastAsia"/>
        </w:rPr>
        <w:t>007267</w:t>
      </w:r>
      <w:r w:rsidRPr="004865EF">
        <w:rPr>
          <w:rFonts w:hint="eastAsia"/>
        </w:rPr>
        <w:t>号），项目拟在原有土地上新建数据中心。</w:t>
      </w:r>
    </w:p>
    <w:p w14:paraId="644617B7" w14:textId="77777777" w:rsidR="00961DC3" w:rsidRPr="004865EF" w:rsidRDefault="00961DC3" w:rsidP="00961DC3">
      <w:pPr>
        <w:pStyle w:val="zhengwen"/>
      </w:pPr>
      <w:r w:rsidRPr="004865EF">
        <w:rPr>
          <w:rFonts w:hint="eastAsia"/>
        </w:rPr>
        <w:t>燕郊绿色</w:t>
      </w:r>
      <w:proofErr w:type="gramStart"/>
      <w:r w:rsidRPr="004865EF">
        <w:rPr>
          <w:rFonts w:hint="eastAsia"/>
        </w:rPr>
        <w:t>云计算</w:t>
      </w:r>
      <w:proofErr w:type="gramEnd"/>
      <w:r w:rsidRPr="004865EF">
        <w:rPr>
          <w:rFonts w:hint="eastAsia"/>
        </w:rPr>
        <w:t>基地三四期项目在河北省廊坊市三河市</w:t>
      </w:r>
      <w:proofErr w:type="gramStart"/>
      <w:r w:rsidRPr="004865EF">
        <w:rPr>
          <w:rFonts w:hint="eastAsia"/>
        </w:rPr>
        <w:t>燕郊高新区</w:t>
      </w:r>
      <w:proofErr w:type="gramEnd"/>
      <w:r w:rsidRPr="004865EF">
        <w:rPr>
          <w:rFonts w:hint="eastAsia"/>
        </w:rPr>
        <w:t>实施，智达云创已于</w:t>
      </w:r>
      <w:r w:rsidRPr="004865EF">
        <w:rPr>
          <w:rFonts w:hint="eastAsia"/>
        </w:rPr>
        <w:t>2019</w:t>
      </w:r>
      <w:r w:rsidRPr="004865EF">
        <w:rPr>
          <w:rFonts w:hint="eastAsia"/>
        </w:rPr>
        <w:t>年</w:t>
      </w:r>
      <w:r w:rsidRPr="004865EF">
        <w:rPr>
          <w:rFonts w:hint="eastAsia"/>
        </w:rPr>
        <w:t>10</w:t>
      </w:r>
      <w:r w:rsidRPr="004865EF">
        <w:rPr>
          <w:rFonts w:hint="eastAsia"/>
        </w:rPr>
        <w:t>月</w:t>
      </w:r>
      <w:r w:rsidRPr="004865EF">
        <w:rPr>
          <w:rFonts w:hint="eastAsia"/>
        </w:rPr>
        <w:t>12</w:t>
      </w:r>
      <w:r w:rsidRPr="004865EF">
        <w:rPr>
          <w:rFonts w:hint="eastAsia"/>
        </w:rPr>
        <w:t>日取得不动产权证书（冀</w:t>
      </w:r>
      <w:r w:rsidRPr="004865EF">
        <w:rPr>
          <w:rFonts w:hint="eastAsia"/>
        </w:rPr>
        <w:t>[2019]</w:t>
      </w:r>
      <w:r w:rsidRPr="004865EF">
        <w:rPr>
          <w:rFonts w:hint="eastAsia"/>
        </w:rPr>
        <w:t>三河市不动产权第</w:t>
      </w:r>
      <w:r w:rsidRPr="004865EF">
        <w:rPr>
          <w:rFonts w:hint="eastAsia"/>
        </w:rPr>
        <w:t>0030347</w:t>
      </w:r>
      <w:r w:rsidRPr="004865EF">
        <w:rPr>
          <w:rFonts w:hint="eastAsia"/>
        </w:rPr>
        <w:t>号），项目拟在原有土地上新建数据中心。</w:t>
      </w:r>
    </w:p>
    <w:p w14:paraId="7008C4E8" w14:textId="516E11E6" w:rsidR="00961DC3" w:rsidRPr="004865EF" w:rsidRDefault="00961DC3" w:rsidP="00961DC3">
      <w:pPr>
        <w:pStyle w:val="zhengwen"/>
      </w:pPr>
      <w:r w:rsidRPr="004865EF">
        <w:rPr>
          <w:rFonts w:hint="eastAsia"/>
        </w:rPr>
        <w:t>长沙绿色</w:t>
      </w:r>
      <w:proofErr w:type="gramStart"/>
      <w:r w:rsidRPr="004865EF">
        <w:rPr>
          <w:rFonts w:hint="eastAsia"/>
        </w:rPr>
        <w:t>云计算</w:t>
      </w:r>
      <w:proofErr w:type="gramEnd"/>
      <w:r w:rsidRPr="004865EF">
        <w:rPr>
          <w:rFonts w:hint="eastAsia"/>
        </w:rPr>
        <w:t>基地一期项目计划在湖南省长沙市高新区实施</w:t>
      </w:r>
      <w:r w:rsidR="003C6B5B" w:rsidRPr="004865EF">
        <w:rPr>
          <w:rFonts w:hint="eastAsia"/>
        </w:rPr>
        <w:t>，</w:t>
      </w:r>
      <w:bookmarkStart w:id="13" w:name="_Hlk46004321"/>
      <w:r w:rsidR="003C6B5B" w:rsidRPr="004865EF">
        <w:rPr>
          <w:rFonts w:hint="eastAsia"/>
          <w:kern w:val="0"/>
          <w:szCs w:val="24"/>
          <w:lang w:bidi="en-US"/>
        </w:rPr>
        <w:t>光环长沙已于</w:t>
      </w:r>
      <w:bookmarkEnd w:id="13"/>
      <w:r w:rsidR="00E87AF9" w:rsidRPr="004865EF">
        <w:rPr>
          <w:rFonts w:hint="eastAsia"/>
          <w:bCs/>
          <w:kern w:val="0"/>
          <w:szCs w:val="24"/>
          <w:lang w:bidi="en-US"/>
        </w:rPr>
        <w:t>2020</w:t>
      </w:r>
      <w:r w:rsidR="00E87AF9" w:rsidRPr="004865EF">
        <w:rPr>
          <w:rFonts w:hint="eastAsia"/>
          <w:bCs/>
          <w:kern w:val="0"/>
          <w:szCs w:val="24"/>
          <w:lang w:bidi="en-US"/>
        </w:rPr>
        <w:t>年</w:t>
      </w:r>
      <w:r w:rsidR="00E87AF9" w:rsidRPr="004865EF">
        <w:rPr>
          <w:rFonts w:hint="eastAsia"/>
          <w:bCs/>
          <w:kern w:val="0"/>
          <w:szCs w:val="24"/>
          <w:lang w:bidi="en-US"/>
        </w:rPr>
        <w:t>7</w:t>
      </w:r>
      <w:r w:rsidR="00E87AF9" w:rsidRPr="004865EF">
        <w:rPr>
          <w:rFonts w:hint="eastAsia"/>
          <w:bCs/>
          <w:kern w:val="0"/>
          <w:szCs w:val="24"/>
          <w:lang w:bidi="en-US"/>
        </w:rPr>
        <w:t>月</w:t>
      </w:r>
      <w:r w:rsidR="00E87AF9" w:rsidRPr="004865EF">
        <w:rPr>
          <w:rFonts w:hint="eastAsia"/>
          <w:bCs/>
          <w:kern w:val="0"/>
          <w:szCs w:val="24"/>
          <w:lang w:bidi="en-US"/>
        </w:rPr>
        <w:t>24</w:t>
      </w:r>
      <w:r w:rsidR="00E87AF9" w:rsidRPr="004865EF">
        <w:rPr>
          <w:rFonts w:hint="eastAsia"/>
          <w:bCs/>
          <w:kern w:val="0"/>
          <w:szCs w:val="24"/>
          <w:lang w:bidi="en-US"/>
        </w:rPr>
        <w:t>日取得长沙市不动产权证书（湘</w:t>
      </w:r>
      <w:r w:rsidR="00E87AF9" w:rsidRPr="004865EF">
        <w:rPr>
          <w:rFonts w:hint="eastAsia"/>
          <w:bCs/>
          <w:kern w:val="0"/>
          <w:szCs w:val="24"/>
          <w:lang w:bidi="en-US"/>
        </w:rPr>
        <w:t>[2020]</w:t>
      </w:r>
      <w:r w:rsidR="00E87AF9" w:rsidRPr="004865EF">
        <w:rPr>
          <w:rFonts w:hint="eastAsia"/>
          <w:bCs/>
          <w:kern w:val="0"/>
          <w:szCs w:val="24"/>
          <w:lang w:bidi="en-US"/>
        </w:rPr>
        <w:t>长沙市不动产权第</w:t>
      </w:r>
      <w:r w:rsidR="00E87AF9" w:rsidRPr="004865EF">
        <w:rPr>
          <w:rFonts w:hint="eastAsia"/>
          <w:bCs/>
          <w:kern w:val="0"/>
          <w:szCs w:val="24"/>
          <w:lang w:bidi="en-US"/>
        </w:rPr>
        <w:t>0196979</w:t>
      </w:r>
      <w:r w:rsidR="00E87AF9" w:rsidRPr="004865EF">
        <w:rPr>
          <w:rFonts w:hint="eastAsia"/>
          <w:bCs/>
          <w:kern w:val="0"/>
          <w:szCs w:val="24"/>
          <w:lang w:bidi="en-US"/>
        </w:rPr>
        <w:t>号）。</w:t>
      </w:r>
    </w:p>
    <w:p w14:paraId="1B76FB09" w14:textId="77777777" w:rsidR="00961DC3" w:rsidRPr="004865EF" w:rsidRDefault="00961DC3" w:rsidP="00961DC3">
      <w:pPr>
        <w:pStyle w:val="zhengwen"/>
        <w:ind w:firstLine="482"/>
        <w:rPr>
          <w:b/>
          <w:bCs/>
        </w:rPr>
      </w:pPr>
      <w:r w:rsidRPr="004865EF">
        <w:rPr>
          <w:rFonts w:hint="eastAsia"/>
          <w:b/>
          <w:bCs/>
        </w:rPr>
        <w:t>（三）</w:t>
      </w:r>
      <w:proofErr w:type="gramStart"/>
      <w:r w:rsidRPr="004865EF">
        <w:rPr>
          <w:rFonts w:hint="eastAsia"/>
          <w:b/>
          <w:bCs/>
        </w:rPr>
        <w:t>募投项目</w:t>
      </w:r>
      <w:proofErr w:type="gramEnd"/>
      <w:r w:rsidRPr="004865EF">
        <w:rPr>
          <w:rFonts w:hint="eastAsia"/>
          <w:b/>
          <w:bCs/>
        </w:rPr>
        <w:t>是否符合土地政策、城市规划</w:t>
      </w:r>
    </w:p>
    <w:p w14:paraId="3E893A66" w14:textId="77777777" w:rsidR="00961DC3" w:rsidRPr="004865EF" w:rsidRDefault="00961DC3" w:rsidP="00961DC3">
      <w:pPr>
        <w:pStyle w:val="zhengwen"/>
      </w:pPr>
      <w:r w:rsidRPr="004865EF">
        <w:rPr>
          <w:rFonts w:hint="eastAsia"/>
        </w:rPr>
        <w:t>根据不动产权证书（京</w:t>
      </w:r>
      <w:r w:rsidRPr="004865EF">
        <w:rPr>
          <w:rFonts w:hint="eastAsia"/>
        </w:rPr>
        <w:t>[2016]</w:t>
      </w:r>
      <w:r w:rsidRPr="004865EF">
        <w:rPr>
          <w:rFonts w:hint="eastAsia"/>
        </w:rPr>
        <w:t>房山区不动产权第</w:t>
      </w:r>
      <w:r w:rsidRPr="004865EF">
        <w:rPr>
          <w:rFonts w:hint="eastAsia"/>
        </w:rPr>
        <w:t>0000030</w:t>
      </w:r>
      <w:r w:rsidRPr="004865EF">
        <w:rPr>
          <w:rFonts w:hint="eastAsia"/>
        </w:rPr>
        <w:t>号），北京房山绿色</w:t>
      </w:r>
      <w:proofErr w:type="gramStart"/>
      <w:r w:rsidRPr="004865EF">
        <w:rPr>
          <w:rFonts w:hint="eastAsia"/>
        </w:rPr>
        <w:t>云计算</w:t>
      </w:r>
      <w:proofErr w:type="gramEnd"/>
      <w:r w:rsidRPr="004865EF">
        <w:rPr>
          <w:rFonts w:hint="eastAsia"/>
        </w:rPr>
        <w:t>数据中心二期项目用地位于房山区窦店镇高端制造业基地，</w:t>
      </w:r>
      <w:r w:rsidRPr="004865EF">
        <w:rPr>
          <w:rFonts w:hint="eastAsia"/>
          <w:bCs/>
        </w:rPr>
        <w:t>土地性质为国有建设用地，土地用途为工业用地</w:t>
      </w:r>
      <w:r w:rsidRPr="004865EF">
        <w:rPr>
          <w:rFonts w:hint="eastAsia"/>
        </w:rPr>
        <w:t>。</w:t>
      </w:r>
    </w:p>
    <w:p w14:paraId="31922263" w14:textId="77777777" w:rsidR="00961DC3" w:rsidRPr="004865EF" w:rsidRDefault="00961DC3" w:rsidP="00961DC3">
      <w:pPr>
        <w:pStyle w:val="zhengwen"/>
      </w:pPr>
      <w:r w:rsidRPr="004865EF">
        <w:rPr>
          <w:rFonts w:hint="eastAsia"/>
        </w:rPr>
        <w:t>根据上海市房地产权证（沪</w:t>
      </w:r>
      <w:proofErr w:type="gramStart"/>
      <w:r w:rsidRPr="004865EF">
        <w:rPr>
          <w:rFonts w:hint="eastAsia"/>
        </w:rPr>
        <w:t>房地嘉字</w:t>
      </w:r>
      <w:proofErr w:type="gramEnd"/>
      <w:r w:rsidRPr="004865EF">
        <w:rPr>
          <w:rFonts w:hint="eastAsia"/>
        </w:rPr>
        <w:t>[2012]</w:t>
      </w:r>
      <w:r w:rsidRPr="004865EF">
        <w:rPr>
          <w:rFonts w:hint="eastAsia"/>
        </w:rPr>
        <w:t>第</w:t>
      </w:r>
      <w:r w:rsidRPr="004865EF">
        <w:rPr>
          <w:rFonts w:hint="eastAsia"/>
        </w:rPr>
        <w:t>007267</w:t>
      </w:r>
      <w:r w:rsidRPr="004865EF">
        <w:rPr>
          <w:rFonts w:hint="eastAsia"/>
        </w:rPr>
        <w:t>号），上海嘉定绿色</w:t>
      </w:r>
      <w:proofErr w:type="gramStart"/>
      <w:r w:rsidRPr="004865EF">
        <w:rPr>
          <w:rFonts w:hint="eastAsia"/>
        </w:rPr>
        <w:t>云计算</w:t>
      </w:r>
      <w:proofErr w:type="gramEnd"/>
      <w:r w:rsidRPr="004865EF">
        <w:rPr>
          <w:rFonts w:hint="eastAsia"/>
        </w:rPr>
        <w:t>基地二期项目位于上海市嘉定工业区，</w:t>
      </w:r>
      <w:r w:rsidRPr="004865EF">
        <w:rPr>
          <w:rFonts w:hint="eastAsia"/>
          <w:bCs/>
        </w:rPr>
        <w:t>土地性质为国有建设用地，土地用途为工业用地</w:t>
      </w:r>
      <w:r w:rsidRPr="004865EF">
        <w:rPr>
          <w:rFonts w:hint="eastAsia"/>
        </w:rPr>
        <w:t>。</w:t>
      </w:r>
    </w:p>
    <w:p w14:paraId="4E3E06CE" w14:textId="77777777" w:rsidR="00961DC3" w:rsidRPr="004865EF" w:rsidRDefault="00961DC3" w:rsidP="00961DC3">
      <w:pPr>
        <w:pStyle w:val="zhengwen"/>
      </w:pPr>
      <w:r w:rsidRPr="004865EF">
        <w:rPr>
          <w:rFonts w:hint="eastAsia"/>
        </w:rPr>
        <w:t>根据不动产权证书（冀</w:t>
      </w:r>
      <w:r w:rsidRPr="004865EF">
        <w:rPr>
          <w:rFonts w:hint="eastAsia"/>
        </w:rPr>
        <w:t>[2019]</w:t>
      </w:r>
      <w:r w:rsidRPr="004865EF">
        <w:rPr>
          <w:rFonts w:hint="eastAsia"/>
        </w:rPr>
        <w:t>三河市不动产权第</w:t>
      </w:r>
      <w:r w:rsidRPr="004865EF">
        <w:rPr>
          <w:rFonts w:hint="eastAsia"/>
        </w:rPr>
        <w:t>0030347</w:t>
      </w:r>
      <w:r w:rsidRPr="004865EF">
        <w:rPr>
          <w:rFonts w:hint="eastAsia"/>
        </w:rPr>
        <w:t>号），燕郊绿色</w:t>
      </w:r>
      <w:proofErr w:type="gramStart"/>
      <w:r w:rsidRPr="004865EF">
        <w:rPr>
          <w:rFonts w:hint="eastAsia"/>
        </w:rPr>
        <w:t>云计算</w:t>
      </w:r>
      <w:proofErr w:type="gramEnd"/>
      <w:r w:rsidRPr="004865EF">
        <w:rPr>
          <w:rFonts w:hint="eastAsia"/>
        </w:rPr>
        <w:t>基地三四期项目位于河北省廊坊市三河市</w:t>
      </w:r>
      <w:proofErr w:type="gramStart"/>
      <w:r w:rsidRPr="004865EF">
        <w:rPr>
          <w:rFonts w:hint="eastAsia"/>
        </w:rPr>
        <w:t>燕郊高新区</w:t>
      </w:r>
      <w:proofErr w:type="gramEnd"/>
      <w:r w:rsidRPr="004865EF">
        <w:rPr>
          <w:rFonts w:hint="eastAsia"/>
        </w:rPr>
        <w:t>，</w:t>
      </w:r>
      <w:r w:rsidRPr="004865EF">
        <w:rPr>
          <w:rFonts w:hint="eastAsia"/>
          <w:bCs/>
        </w:rPr>
        <w:t>土地性质为国有建设用地，土地用途为工业用地</w:t>
      </w:r>
      <w:r w:rsidRPr="004865EF">
        <w:rPr>
          <w:rFonts w:hint="eastAsia"/>
        </w:rPr>
        <w:t>。</w:t>
      </w:r>
    </w:p>
    <w:p w14:paraId="3C97FAAE" w14:textId="486BE7B4" w:rsidR="00961DC3" w:rsidRPr="004865EF" w:rsidRDefault="00961DC3" w:rsidP="00961DC3">
      <w:pPr>
        <w:pStyle w:val="zhengwen"/>
      </w:pPr>
      <w:r w:rsidRPr="004865EF">
        <w:rPr>
          <w:rFonts w:hint="eastAsia"/>
        </w:rPr>
        <w:t>根据</w:t>
      </w:r>
      <w:r w:rsidR="00E87AF9" w:rsidRPr="004865EF">
        <w:rPr>
          <w:rFonts w:hint="eastAsia"/>
          <w:bCs/>
          <w:kern w:val="0"/>
          <w:szCs w:val="24"/>
          <w:lang w:bidi="en-US"/>
        </w:rPr>
        <w:t>不动产权证书（湘</w:t>
      </w:r>
      <w:r w:rsidR="00E87AF9" w:rsidRPr="004865EF">
        <w:rPr>
          <w:rFonts w:hint="eastAsia"/>
          <w:bCs/>
          <w:kern w:val="0"/>
          <w:szCs w:val="24"/>
          <w:lang w:bidi="en-US"/>
        </w:rPr>
        <w:t>[2020]</w:t>
      </w:r>
      <w:r w:rsidR="00E87AF9" w:rsidRPr="004865EF">
        <w:rPr>
          <w:rFonts w:hint="eastAsia"/>
          <w:bCs/>
          <w:kern w:val="0"/>
          <w:szCs w:val="24"/>
          <w:lang w:bidi="en-US"/>
        </w:rPr>
        <w:t>长沙市不动产权第</w:t>
      </w:r>
      <w:r w:rsidR="00E87AF9" w:rsidRPr="004865EF">
        <w:rPr>
          <w:rFonts w:hint="eastAsia"/>
          <w:bCs/>
          <w:kern w:val="0"/>
          <w:szCs w:val="24"/>
          <w:lang w:bidi="en-US"/>
        </w:rPr>
        <w:t>0196979</w:t>
      </w:r>
      <w:r w:rsidR="00E87AF9" w:rsidRPr="004865EF">
        <w:rPr>
          <w:rFonts w:hint="eastAsia"/>
          <w:bCs/>
          <w:kern w:val="0"/>
          <w:szCs w:val="24"/>
          <w:lang w:bidi="en-US"/>
        </w:rPr>
        <w:t>号）</w:t>
      </w:r>
      <w:r w:rsidRPr="004865EF">
        <w:rPr>
          <w:rFonts w:hint="eastAsia"/>
        </w:rPr>
        <w:t>，长沙绿色</w:t>
      </w:r>
      <w:proofErr w:type="gramStart"/>
      <w:r w:rsidRPr="004865EF">
        <w:rPr>
          <w:rFonts w:hint="eastAsia"/>
        </w:rPr>
        <w:t>云</w:t>
      </w:r>
      <w:r w:rsidRPr="004865EF">
        <w:rPr>
          <w:rFonts w:hint="eastAsia"/>
        </w:rPr>
        <w:lastRenderedPageBreak/>
        <w:t>计算</w:t>
      </w:r>
      <w:proofErr w:type="gramEnd"/>
      <w:r w:rsidRPr="004865EF">
        <w:rPr>
          <w:rFonts w:hint="eastAsia"/>
        </w:rPr>
        <w:t>基地一期</w:t>
      </w:r>
      <w:proofErr w:type="gramStart"/>
      <w:r w:rsidRPr="004865EF">
        <w:rPr>
          <w:rFonts w:hint="eastAsia"/>
        </w:rPr>
        <w:t>募投项目</w:t>
      </w:r>
      <w:proofErr w:type="gramEnd"/>
      <w:r w:rsidRPr="004865EF">
        <w:rPr>
          <w:rFonts w:hint="eastAsia"/>
        </w:rPr>
        <w:t>用地位于长沙市高新区</w:t>
      </w:r>
      <w:proofErr w:type="gramStart"/>
      <w:r w:rsidRPr="004865EF">
        <w:rPr>
          <w:rFonts w:hint="eastAsia"/>
        </w:rPr>
        <w:t>麓尖路</w:t>
      </w:r>
      <w:proofErr w:type="gramEnd"/>
      <w:r w:rsidRPr="004865EF">
        <w:rPr>
          <w:rFonts w:hint="eastAsia"/>
        </w:rPr>
        <w:t>以南、湖高路以西</w:t>
      </w:r>
      <w:r w:rsidR="00B66FE0" w:rsidRPr="004865EF">
        <w:rPr>
          <w:rFonts w:hint="eastAsia"/>
        </w:rPr>
        <w:t>（</w:t>
      </w:r>
      <w:r w:rsidRPr="004865EF">
        <w:rPr>
          <w:rFonts w:hint="eastAsia"/>
        </w:rPr>
        <w:t>权证号：长国用（</w:t>
      </w:r>
      <w:r w:rsidRPr="004865EF">
        <w:rPr>
          <w:rFonts w:hint="eastAsia"/>
        </w:rPr>
        <w:t>2015</w:t>
      </w:r>
      <w:r w:rsidRPr="004865EF">
        <w:rPr>
          <w:rFonts w:hint="eastAsia"/>
        </w:rPr>
        <w:t>）第</w:t>
      </w:r>
      <w:r w:rsidRPr="004865EF">
        <w:rPr>
          <w:rFonts w:hint="eastAsia"/>
        </w:rPr>
        <w:t>103610</w:t>
      </w:r>
      <w:r w:rsidRPr="004865EF">
        <w:rPr>
          <w:rFonts w:hint="eastAsia"/>
        </w:rPr>
        <w:t>号</w:t>
      </w:r>
      <w:r w:rsidR="00B66FE0" w:rsidRPr="004865EF">
        <w:rPr>
          <w:rFonts w:hint="eastAsia"/>
        </w:rPr>
        <w:t>）</w:t>
      </w:r>
      <w:r w:rsidRPr="004865EF">
        <w:rPr>
          <w:rFonts w:hint="eastAsia"/>
        </w:rPr>
        <w:t>，</w:t>
      </w:r>
      <w:r w:rsidRPr="004865EF">
        <w:rPr>
          <w:rFonts w:hint="eastAsia"/>
          <w:bCs/>
        </w:rPr>
        <w:t>土地性质为国有建设用地，土地用途为工业用地</w:t>
      </w:r>
      <w:r w:rsidRPr="004865EF">
        <w:rPr>
          <w:rFonts w:hint="eastAsia"/>
        </w:rPr>
        <w:t>。</w:t>
      </w:r>
    </w:p>
    <w:p w14:paraId="2D78C9FE" w14:textId="4314BF8E" w:rsidR="00961DC3" w:rsidRPr="004865EF" w:rsidRDefault="00961DC3" w:rsidP="00961DC3">
      <w:pPr>
        <w:pStyle w:val="zhengwen"/>
      </w:pPr>
      <w:r w:rsidRPr="004865EF">
        <w:rPr>
          <w:rFonts w:hint="eastAsia"/>
        </w:rPr>
        <w:t>综上，发行人</w:t>
      </w:r>
      <w:proofErr w:type="gramStart"/>
      <w:r w:rsidRPr="004865EF">
        <w:rPr>
          <w:rFonts w:hint="eastAsia"/>
        </w:rPr>
        <w:t>募投项目</w:t>
      </w:r>
      <w:proofErr w:type="gramEnd"/>
      <w:r w:rsidRPr="004865EF">
        <w:rPr>
          <w:rFonts w:hint="eastAsia"/>
        </w:rPr>
        <w:t>均已取得相关土地的土地使用权证；</w:t>
      </w:r>
      <w:r w:rsidR="0053055A" w:rsidRPr="004865EF">
        <w:rPr>
          <w:rFonts w:hint="eastAsia"/>
        </w:rPr>
        <w:t>同时上述</w:t>
      </w:r>
      <w:proofErr w:type="gramStart"/>
      <w:r w:rsidR="0053055A" w:rsidRPr="004865EF">
        <w:rPr>
          <w:rFonts w:hint="eastAsia"/>
        </w:rPr>
        <w:t>募投项目</w:t>
      </w:r>
      <w:proofErr w:type="gramEnd"/>
      <w:r w:rsidR="0053055A" w:rsidRPr="004865EF">
        <w:rPr>
          <w:rFonts w:hint="eastAsia"/>
        </w:rPr>
        <w:t>均已取得备案证明及建设项目环境影响登记表。</w:t>
      </w:r>
      <w:bookmarkStart w:id="14" w:name="_Hlk46005810"/>
      <w:r w:rsidRPr="004865EF">
        <w:rPr>
          <w:rFonts w:hint="eastAsia"/>
          <w:bCs/>
        </w:rPr>
        <w:t>发行人本次</w:t>
      </w:r>
      <w:proofErr w:type="gramStart"/>
      <w:r w:rsidRPr="004865EF">
        <w:rPr>
          <w:rFonts w:hint="eastAsia"/>
          <w:bCs/>
        </w:rPr>
        <w:t>募投项目</w:t>
      </w:r>
      <w:proofErr w:type="gramEnd"/>
      <w:r w:rsidRPr="004865EF">
        <w:rPr>
          <w:rFonts w:hint="eastAsia"/>
          <w:bCs/>
        </w:rPr>
        <w:t>用地符合土地政策、城市规划。</w:t>
      </w:r>
      <w:bookmarkEnd w:id="14"/>
    </w:p>
    <w:p w14:paraId="149A8862" w14:textId="77777777" w:rsidR="00961DC3" w:rsidRPr="004865EF" w:rsidRDefault="00961DC3" w:rsidP="0066058B">
      <w:pPr>
        <w:pStyle w:val="2"/>
      </w:pPr>
      <w:bookmarkStart w:id="15" w:name="_Toc43737732"/>
      <w:bookmarkStart w:id="16" w:name="_Toc45708927"/>
      <w:bookmarkStart w:id="17" w:name="_Toc45742505"/>
      <w:r w:rsidRPr="004865EF">
        <w:t>二、</w:t>
      </w:r>
      <w:bookmarkEnd w:id="15"/>
      <w:r w:rsidRPr="004865EF">
        <w:rPr>
          <w:rFonts w:hint="eastAsia"/>
        </w:rPr>
        <w:t>如无法取得</w:t>
      </w:r>
      <w:proofErr w:type="gramStart"/>
      <w:r w:rsidRPr="004865EF">
        <w:rPr>
          <w:rFonts w:hint="eastAsia"/>
        </w:rPr>
        <w:t>募投项目</w:t>
      </w:r>
      <w:proofErr w:type="gramEnd"/>
      <w:r w:rsidRPr="004865EF">
        <w:rPr>
          <w:rFonts w:hint="eastAsia"/>
        </w:rPr>
        <w:t>用地拟采取的替代措施以及对</w:t>
      </w:r>
      <w:proofErr w:type="gramStart"/>
      <w:r w:rsidRPr="004865EF">
        <w:rPr>
          <w:rFonts w:hint="eastAsia"/>
        </w:rPr>
        <w:t>募投项目</w:t>
      </w:r>
      <w:proofErr w:type="gramEnd"/>
      <w:r w:rsidRPr="004865EF">
        <w:rPr>
          <w:rFonts w:hint="eastAsia"/>
        </w:rPr>
        <w:t>实施的影响</w:t>
      </w:r>
      <w:bookmarkEnd w:id="16"/>
      <w:bookmarkEnd w:id="17"/>
    </w:p>
    <w:p w14:paraId="4BADF215" w14:textId="1D9A49FA" w:rsidR="00961DC3" w:rsidRPr="004865EF" w:rsidRDefault="006D6547" w:rsidP="0083352D">
      <w:pPr>
        <w:pStyle w:val="zhengwen"/>
      </w:pPr>
      <w:r w:rsidRPr="004865EF">
        <w:rPr>
          <w:rFonts w:hint="eastAsia"/>
        </w:rPr>
        <w:t>截</w:t>
      </w:r>
      <w:r w:rsidR="005F103B" w:rsidRPr="004865EF">
        <w:rPr>
          <w:rFonts w:hint="eastAsia"/>
        </w:rPr>
        <w:t>至</w:t>
      </w:r>
      <w:r w:rsidR="00961DC3" w:rsidRPr="004865EF">
        <w:rPr>
          <w:rFonts w:hint="eastAsia"/>
        </w:rPr>
        <w:t>本</w:t>
      </w:r>
      <w:r w:rsidR="0092637B" w:rsidRPr="004865EF">
        <w:rPr>
          <w:rFonts w:hint="eastAsia"/>
        </w:rPr>
        <w:t>问询函回复</w:t>
      </w:r>
      <w:r w:rsidR="00961DC3" w:rsidRPr="004865EF">
        <w:rPr>
          <w:rFonts w:hint="eastAsia"/>
        </w:rPr>
        <w:t>出具日，发行人</w:t>
      </w:r>
      <w:proofErr w:type="gramStart"/>
      <w:r w:rsidR="00961DC3" w:rsidRPr="004865EF">
        <w:rPr>
          <w:rFonts w:hint="eastAsia"/>
        </w:rPr>
        <w:t>募投项目</w:t>
      </w:r>
      <w:proofErr w:type="gramEnd"/>
      <w:r w:rsidR="00961DC3" w:rsidRPr="004865EF">
        <w:rPr>
          <w:rFonts w:hint="eastAsia"/>
        </w:rPr>
        <w:t>均已取得相关土地的土地使用权证</w:t>
      </w:r>
      <w:r w:rsidR="003344D0" w:rsidRPr="004865EF">
        <w:rPr>
          <w:rFonts w:hint="eastAsia"/>
        </w:rPr>
        <w:t>。</w:t>
      </w:r>
    </w:p>
    <w:p w14:paraId="3D047672" w14:textId="77777777" w:rsidR="001C1B0D" w:rsidRPr="004865EF" w:rsidRDefault="001C1B0D" w:rsidP="0066058B">
      <w:pPr>
        <w:pStyle w:val="2"/>
      </w:pPr>
      <w:r w:rsidRPr="004865EF">
        <w:t>三、中介机构核查意见</w:t>
      </w:r>
    </w:p>
    <w:p w14:paraId="676A69B6" w14:textId="77777777" w:rsidR="001C1B0D" w:rsidRPr="004865EF" w:rsidRDefault="001C1B0D" w:rsidP="00A66425">
      <w:pPr>
        <w:pStyle w:val="zhengwen"/>
        <w:ind w:firstLine="482"/>
        <w:rPr>
          <w:b/>
        </w:rPr>
      </w:pPr>
      <w:r w:rsidRPr="004865EF">
        <w:rPr>
          <w:rFonts w:hint="eastAsia"/>
          <w:b/>
        </w:rPr>
        <w:t>（一）核查程序</w:t>
      </w:r>
    </w:p>
    <w:p w14:paraId="786653B7" w14:textId="77777777" w:rsidR="001C1B0D" w:rsidRPr="004865EF" w:rsidRDefault="001C1B0D" w:rsidP="001C1B0D">
      <w:pPr>
        <w:pStyle w:val="zhengwen"/>
      </w:pPr>
      <w:r w:rsidRPr="004865EF">
        <w:rPr>
          <w:rFonts w:hint="eastAsia"/>
        </w:rPr>
        <w:t>针对上述问题，保荐机构及发行人律师履行了以下核查程序：</w:t>
      </w:r>
    </w:p>
    <w:p w14:paraId="7C8C5474" w14:textId="77777777" w:rsidR="001C1B0D" w:rsidRPr="004865EF" w:rsidRDefault="001C1B0D" w:rsidP="001C1B0D">
      <w:pPr>
        <w:pStyle w:val="zhengwen"/>
      </w:pPr>
      <w:r w:rsidRPr="004865EF">
        <w:t>1</w:t>
      </w:r>
      <w:r w:rsidRPr="004865EF">
        <w:t>、查阅发行人相关土地使用权权属证书；</w:t>
      </w:r>
    </w:p>
    <w:p w14:paraId="2E90D603" w14:textId="77777777" w:rsidR="001C1B0D" w:rsidRPr="004865EF" w:rsidRDefault="001C1B0D" w:rsidP="001C1B0D">
      <w:pPr>
        <w:pStyle w:val="zhengwen"/>
      </w:pPr>
      <w:r w:rsidRPr="004865EF">
        <w:t>2</w:t>
      </w:r>
      <w:r w:rsidRPr="004865EF">
        <w:t>、查阅长沙绿色</w:t>
      </w:r>
      <w:proofErr w:type="gramStart"/>
      <w:r w:rsidRPr="004865EF">
        <w:t>云计算</w:t>
      </w:r>
      <w:proofErr w:type="gramEnd"/>
      <w:r w:rsidRPr="004865EF">
        <w:t>基地一期</w:t>
      </w:r>
      <w:proofErr w:type="gramStart"/>
      <w:r w:rsidRPr="004865EF">
        <w:t>募投项目</w:t>
      </w:r>
      <w:proofErr w:type="gramEnd"/>
      <w:r w:rsidRPr="004865EF">
        <w:t>用地的土地拍卖公告、执行裁定书、拍卖成交确认书及出让金缴纳凭证、契税缴纳凭证；</w:t>
      </w:r>
    </w:p>
    <w:p w14:paraId="056EEBEA" w14:textId="77777777" w:rsidR="001C1B0D" w:rsidRPr="004865EF" w:rsidRDefault="001C1B0D" w:rsidP="001C1B0D">
      <w:pPr>
        <w:pStyle w:val="zhengwen"/>
      </w:pPr>
      <w:r w:rsidRPr="004865EF">
        <w:t>3</w:t>
      </w:r>
      <w:r w:rsidRPr="004865EF">
        <w:t>、与发行人沟通</w:t>
      </w:r>
      <w:proofErr w:type="gramStart"/>
      <w:r w:rsidRPr="004865EF">
        <w:t>募投项目</w:t>
      </w:r>
      <w:proofErr w:type="gramEnd"/>
      <w:r w:rsidRPr="004865EF">
        <w:t>用地拟采取的替代措施；</w:t>
      </w:r>
    </w:p>
    <w:p w14:paraId="06A2AE4F" w14:textId="77777777" w:rsidR="001C1B0D" w:rsidRPr="004865EF" w:rsidRDefault="001C1B0D" w:rsidP="001C1B0D">
      <w:pPr>
        <w:pStyle w:val="zhengwen"/>
      </w:pPr>
      <w:r w:rsidRPr="004865EF">
        <w:t>4</w:t>
      </w:r>
      <w:r w:rsidRPr="004865EF">
        <w:t>、取得发行人的承诺函。</w:t>
      </w:r>
    </w:p>
    <w:p w14:paraId="2ABD5374" w14:textId="0CC89903" w:rsidR="001C1B0D" w:rsidRPr="004865EF" w:rsidRDefault="001C1B0D" w:rsidP="00A66425">
      <w:pPr>
        <w:pStyle w:val="zhengwen"/>
        <w:ind w:firstLine="482"/>
        <w:rPr>
          <w:b/>
        </w:rPr>
      </w:pPr>
      <w:r w:rsidRPr="004865EF">
        <w:rPr>
          <w:rFonts w:hint="eastAsia"/>
          <w:b/>
        </w:rPr>
        <w:t>（二）核查结论</w:t>
      </w:r>
    </w:p>
    <w:p w14:paraId="6B2CF36E" w14:textId="59A071A4" w:rsidR="00961DC3" w:rsidRPr="004865EF" w:rsidRDefault="001C1B0D" w:rsidP="00961DC3">
      <w:pPr>
        <w:pStyle w:val="zhengwen"/>
      </w:pPr>
      <w:r w:rsidRPr="004865EF">
        <w:rPr>
          <w:rFonts w:hint="eastAsia"/>
        </w:rPr>
        <w:t>经核查，保荐机构及发行人律师认为：</w:t>
      </w:r>
    </w:p>
    <w:p w14:paraId="3683C111" w14:textId="05E10DD3" w:rsidR="00961DC3" w:rsidRPr="004865EF" w:rsidRDefault="00961DC3" w:rsidP="00961DC3">
      <w:pPr>
        <w:pStyle w:val="zhengwen"/>
      </w:pPr>
      <w:r w:rsidRPr="004865EF">
        <w:rPr>
          <w:rFonts w:hint="eastAsia"/>
        </w:rPr>
        <w:t>1</w:t>
      </w:r>
      <w:r w:rsidRPr="004865EF">
        <w:rPr>
          <w:rFonts w:hint="eastAsia"/>
        </w:rPr>
        <w:t>、发行人</w:t>
      </w:r>
      <w:proofErr w:type="gramStart"/>
      <w:r w:rsidRPr="004865EF">
        <w:rPr>
          <w:rFonts w:hint="eastAsia"/>
        </w:rPr>
        <w:t>募投项目</w:t>
      </w:r>
      <w:proofErr w:type="gramEnd"/>
      <w:r w:rsidRPr="004865EF">
        <w:rPr>
          <w:rFonts w:hint="eastAsia"/>
        </w:rPr>
        <w:t>均已取得相关土地的土地使用权证；发行人本次</w:t>
      </w:r>
      <w:proofErr w:type="gramStart"/>
      <w:r w:rsidRPr="004865EF">
        <w:rPr>
          <w:rFonts w:hint="eastAsia"/>
        </w:rPr>
        <w:t>募投项目</w:t>
      </w:r>
      <w:proofErr w:type="gramEnd"/>
      <w:r w:rsidRPr="004865EF">
        <w:rPr>
          <w:rFonts w:hint="eastAsia"/>
        </w:rPr>
        <w:t>用地符合土地政策、城市规划。</w:t>
      </w:r>
    </w:p>
    <w:p w14:paraId="41E813C1" w14:textId="4FEB28D5" w:rsidR="00F47173" w:rsidRPr="004865EF" w:rsidRDefault="008065F6" w:rsidP="00A66425">
      <w:pPr>
        <w:pStyle w:val="2"/>
      </w:pPr>
      <w:r w:rsidRPr="004865EF">
        <w:rPr>
          <w:rFonts w:hint="eastAsia"/>
        </w:rPr>
        <w:t>四、</w:t>
      </w:r>
      <w:r w:rsidR="00301986" w:rsidRPr="004865EF">
        <w:rPr>
          <w:rFonts w:hint="eastAsia"/>
        </w:rPr>
        <w:t>补充披露</w:t>
      </w:r>
    </w:p>
    <w:p w14:paraId="77C22EFA" w14:textId="25DC0416" w:rsidR="00301986" w:rsidRPr="004865EF" w:rsidRDefault="008065F6" w:rsidP="00602FC1">
      <w:pPr>
        <w:pStyle w:val="zhengwen"/>
      </w:pPr>
      <w:r w:rsidRPr="004865EF">
        <w:t>1</w:t>
      </w:r>
      <w:r w:rsidRPr="004865EF">
        <w:rPr>
          <w:rFonts w:hint="eastAsia"/>
        </w:rPr>
        <w:t>、</w:t>
      </w:r>
      <w:r w:rsidR="00301986" w:rsidRPr="004865EF">
        <w:rPr>
          <w:rFonts w:hint="eastAsia"/>
        </w:rPr>
        <w:t>发行人已在募集说明书</w:t>
      </w:r>
      <w:r w:rsidR="00720C0D" w:rsidRPr="004865EF">
        <w:rPr>
          <w:rFonts w:hint="eastAsia"/>
        </w:rPr>
        <w:t>“</w:t>
      </w:r>
      <w:r w:rsidR="00301986" w:rsidRPr="004865EF">
        <w:rPr>
          <w:rFonts w:hint="eastAsia"/>
        </w:rPr>
        <w:t>第三节</w:t>
      </w:r>
      <w:r w:rsidR="00301986" w:rsidRPr="004865EF">
        <w:rPr>
          <w:rFonts w:hint="eastAsia"/>
        </w:rPr>
        <w:t xml:space="preserve"> </w:t>
      </w:r>
      <w:r w:rsidR="00301986" w:rsidRPr="004865EF">
        <w:rPr>
          <w:rFonts w:hint="eastAsia"/>
        </w:rPr>
        <w:t>董事会关于本次募集资金使用的可行性分析</w:t>
      </w:r>
      <w:r w:rsidR="00720C0D" w:rsidRPr="004865EF">
        <w:rPr>
          <w:rFonts w:hint="eastAsia"/>
        </w:rPr>
        <w:t>”</w:t>
      </w:r>
      <w:r w:rsidR="00301986" w:rsidRPr="004865EF">
        <w:rPr>
          <w:rFonts w:hint="eastAsia"/>
        </w:rPr>
        <w:t>之</w:t>
      </w:r>
      <w:r w:rsidR="00720C0D" w:rsidRPr="004865EF">
        <w:rPr>
          <w:rFonts w:hint="eastAsia"/>
        </w:rPr>
        <w:t>“</w:t>
      </w:r>
      <w:r w:rsidR="00301986" w:rsidRPr="004865EF">
        <w:rPr>
          <w:rFonts w:hint="eastAsia"/>
        </w:rPr>
        <w:t>二、本次募集资金投资项目的可行性分析</w:t>
      </w:r>
      <w:r w:rsidR="00720C0D" w:rsidRPr="004865EF">
        <w:rPr>
          <w:rFonts w:hint="eastAsia"/>
        </w:rPr>
        <w:t>”</w:t>
      </w:r>
      <w:r w:rsidR="00301986" w:rsidRPr="004865EF">
        <w:rPr>
          <w:rFonts w:hint="eastAsia"/>
        </w:rPr>
        <w:t>之</w:t>
      </w:r>
      <w:r w:rsidR="00720C0D" w:rsidRPr="004865EF">
        <w:rPr>
          <w:rFonts w:hint="eastAsia"/>
        </w:rPr>
        <w:t>“</w:t>
      </w:r>
      <w:r w:rsidR="00301986" w:rsidRPr="004865EF">
        <w:rPr>
          <w:rFonts w:hint="eastAsia"/>
        </w:rPr>
        <w:t>（一）云计算数据中心</w:t>
      </w:r>
      <w:r w:rsidR="00720C0D" w:rsidRPr="004865EF">
        <w:rPr>
          <w:rFonts w:hint="eastAsia"/>
        </w:rPr>
        <w:t>”</w:t>
      </w:r>
      <w:r w:rsidR="00301986" w:rsidRPr="004865EF">
        <w:rPr>
          <w:rFonts w:hint="eastAsia"/>
        </w:rPr>
        <w:t>之</w:t>
      </w:r>
      <w:r w:rsidR="00720C0D" w:rsidRPr="004865EF">
        <w:rPr>
          <w:rFonts w:hint="eastAsia"/>
        </w:rPr>
        <w:t>“</w:t>
      </w:r>
      <w:r w:rsidR="00301986" w:rsidRPr="004865EF">
        <w:t>7</w:t>
      </w:r>
      <w:r w:rsidR="00301986" w:rsidRPr="004865EF">
        <w:t>、立项、土地、环保等报批事项</w:t>
      </w:r>
      <w:r w:rsidR="00720C0D" w:rsidRPr="004865EF">
        <w:rPr>
          <w:rFonts w:hint="eastAsia"/>
        </w:rPr>
        <w:t>”</w:t>
      </w:r>
      <w:r w:rsidR="00301986" w:rsidRPr="004865EF">
        <w:rPr>
          <w:rFonts w:hint="eastAsia"/>
        </w:rPr>
        <w:t>补充披露了</w:t>
      </w:r>
      <w:proofErr w:type="gramStart"/>
      <w:r w:rsidR="00944B39" w:rsidRPr="004865EF">
        <w:rPr>
          <w:rFonts w:hint="eastAsia"/>
        </w:rPr>
        <w:t>募投项目</w:t>
      </w:r>
      <w:proofErr w:type="gramEnd"/>
      <w:r w:rsidR="00944B39" w:rsidRPr="004865EF">
        <w:rPr>
          <w:rFonts w:hint="eastAsia"/>
        </w:rPr>
        <w:t>用地的计划、取得土地的具体安排和</w:t>
      </w:r>
      <w:r w:rsidR="00301986" w:rsidRPr="004865EF">
        <w:rPr>
          <w:rFonts w:hint="eastAsia"/>
        </w:rPr>
        <w:t>进度</w:t>
      </w:r>
      <w:r w:rsidR="00B20468" w:rsidRPr="004865EF">
        <w:rPr>
          <w:rFonts w:hint="eastAsia"/>
        </w:rPr>
        <w:t>。</w:t>
      </w:r>
    </w:p>
    <w:p w14:paraId="11FFFB86" w14:textId="77777777" w:rsidR="00944B39" w:rsidRPr="004865EF" w:rsidRDefault="00944B39" w:rsidP="00602FC1">
      <w:pPr>
        <w:pStyle w:val="zhengwen"/>
      </w:pPr>
    </w:p>
    <w:p w14:paraId="4F639747" w14:textId="26A7AC86" w:rsidR="0001516E" w:rsidRPr="004865EF" w:rsidRDefault="0001516E" w:rsidP="00181621">
      <w:pPr>
        <w:pStyle w:val="1"/>
        <w:spacing w:before="120"/>
      </w:pPr>
      <w:bookmarkStart w:id="18" w:name="_Toc46013714"/>
      <w:bookmarkStart w:id="19" w:name="_Toc47020539"/>
      <w:r w:rsidRPr="004865EF">
        <w:rPr>
          <w:rFonts w:hint="eastAsia"/>
        </w:rPr>
        <w:lastRenderedPageBreak/>
        <w:t>问题</w:t>
      </w:r>
      <w:r w:rsidRPr="004865EF">
        <w:t>5</w:t>
      </w:r>
      <w:r w:rsidR="0063025B" w:rsidRPr="004865EF">
        <w:t>.</w:t>
      </w:r>
      <w:r w:rsidR="0063025B" w:rsidRPr="004865EF">
        <w:rPr>
          <w:rFonts w:hint="eastAsia"/>
        </w:rPr>
        <w:t>关于</w:t>
      </w:r>
      <w:proofErr w:type="gramStart"/>
      <w:r w:rsidR="0063025B" w:rsidRPr="004865EF">
        <w:rPr>
          <w:rFonts w:hint="eastAsia"/>
        </w:rPr>
        <w:t>募投项目用能指标</w:t>
      </w:r>
      <w:proofErr w:type="gramEnd"/>
      <w:r w:rsidR="0063025B" w:rsidRPr="004865EF">
        <w:rPr>
          <w:rFonts w:hint="eastAsia"/>
        </w:rPr>
        <w:t>及资质、许可取得情况</w:t>
      </w:r>
      <w:bookmarkEnd w:id="18"/>
      <w:bookmarkEnd w:id="19"/>
    </w:p>
    <w:p w14:paraId="7B821088" w14:textId="49335756" w:rsidR="00602FC1" w:rsidRPr="004865EF" w:rsidRDefault="00602FC1"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hint="eastAsia"/>
          <w:b/>
          <w:sz w:val="24"/>
        </w:rPr>
        <w:t>近年来，北京、上海等地出台政策对新建和扩建数据中心的</w:t>
      </w:r>
      <w:r w:rsidRPr="004865EF">
        <w:rPr>
          <w:rFonts w:ascii="黑体" w:eastAsia="黑体" w:hAnsi="黑体"/>
          <w:b/>
          <w:sz w:val="24"/>
        </w:rPr>
        <w:t>PUE</w:t>
      </w:r>
      <w:r w:rsidRPr="004865EF">
        <w:rPr>
          <w:rFonts w:ascii="黑体" w:eastAsia="黑体" w:hAnsi="黑体" w:hint="eastAsia"/>
          <w:b/>
          <w:sz w:val="24"/>
        </w:rPr>
        <w:t>指标或数量进行控制。根据申请文件，本次部分</w:t>
      </w:r>
      <w:proofErr w:type="gramStart"/>
      <w:r w:rsidRPr="004865EF">
        <w:rPr>
          <w:rFonts w:ascii="黑体" w:eastAsia="黑体" w:hAnsi="黑体" w:hint="eastAsia"/>
          <w:b/>
          <w:sz w:val="24"/>
        </w:rPr>
        <w:t>募投项目</w:t>
      </w:r>
      <w:proofErr w:type="gramEnd"/>
      <w:r w:rsidRPr="004865EF">
        <w:rPr>
          <w:rFonts w:ascii="黑体" w:eastAsia="黑体" w:hAnsi="黑体" w:hint="eastAsia"/>
          <w:b/>
          <w:sz w:val="24"/>
        </w:rPr>
        <w:t>在北京、上海地区，且上海嘉定绿色</w:t>
      </w:r>
      <w:proofErr w:type="gramStart"/>
      <w:r w:rsidRPr="004865EF">
        <w:rPr>
          <w:rFonts w:ascii="黑体" w:eastAsia="黑体" w:hAnsi="黑体" w:hint="eastAsia"/>
          <w:b/>
          <w:sz w:val="24"/>
        </w:rPr>
        <w:t>云计算</w:t>
      </w:r>
      <w:proofErr w:type="gramEnd"/>
      <w:r w:rsidRPr="004865EF">
        <w:rPr>
          <w:rFonts w:ascii="黑体" w:eastAsia="黑体" w:hAnsi="黑体" w:hint="eastAsia"/>
          <w:b/>
          <w:sz w:val="24"/>
        </w:rPr>
        <w:t>基地二期项目尚未获得全部用能指标。</w:t>
      </w:r>
    </w:p>
    <w:p w14:paraId="47C129F7" w14:textId="77777777" w:rsidR="00602FC1" w:rsidRPr="004865EF" w:rsidRDefault="00602FC1" w:rsidP="00A66425">
      <w:pPr>
        <w:pStyle w:val="-"/>
        <w:spacing w:beforeLines="50" w:before="120" w:line="360" w:lineRule="auto"/>
        <w:ind w:firstLineChars="200" w:firstLine="482"/>
        <w:rPr>
          <w:rFonts w:ascii="黑体" w:eastAsia="黑体" w:hAnsi="黑体"/>
          <w:b/>
        </w:rPr>
      </w:pPr>
      <w:r w:rsidRPr="004865EF">
        <w:rPr>
          <w:rFonts w:ascii="黑体" w:eastAsia="黑体" w:hAnsi="黑体" w:hint="eastAsia"/>
          <w:b/>
          <w:sz w:val="24"/>
        </w:rPr>
        <w:t>请发行人补充披露：（</w:t>
      </w:r>
      <w:r w:rsidRPr="004865EF">
        <w:rPr>
          <w:rFonts w:ascii="黑体" w:eastAsia="黑体" w:hAnsi="黑体"/>
          <w:b/>
          <w:sz w:val="24"/>
        </w:rPr>
        <w:t>1）</w:t>
      </w:r>
      <w:r w:rsidRPr="004865EF">
        <w:rPr>
          <w:rFonts w:ascii="黑体" w:eastAsia="黑体" w:hAnsi="黑体" w:hint="eastAsia"/>
          <w:b/>
          <w:sz w:val="24"/>
        </w:rPr>
        <w:t>上海嘉定绿色</w:t>
      </w:r>
      <w:proofErr w:type="gramStart"/>
      <w:r w:rsidRPr="004865EF">
        <w:rPr>
          <w:rFonts w:ascii="黑体" w:eastAsia="黑体" w:hAnsi="黑体" w:hint="eastAsia"/>
          <w:b/>
          <w:sz w:val="24"/>
        </w:rPr>
        <w:t>云计算</w:t>
      </w:r>
      <w:proofErr w:type="gramEnd"/>
      <w:r w:rsidRPr="004865EF">
        <w:rPr>
          <w:rFonts w:ascii="黑体" w:eastAsia="黑体" w:hAnsi="黑体" w:hint="eastAsia"/>
          <w:b/>
          <w:sz w:val="24"/>
        </w:rPr>
        <w:t>基地二期项目剩余用</w:t>
      </w:r>
      <w:proofErr w:type="gramStart"/>
      <w:r w:rsidRPr="004865EF">
        <w:rPr>
          <w:rFonts w:ascii="黑体" w:eastAsia="黑体" w:hAnsi="黑体" w:hint="eastAsia"/>
          <w:b/>
          <w:sz w:val="24"/>
        </w:rPr>
        <w:t>能指标</w:t>
      </w:r>
      <w:proofErr w:type="gramEnd"/>
      <w:r w:rsidRPr="004865EF">
        <w:rPr>
          <w:rFonts w:ascii="黑体" w:eastAsia="黑体" w:hAnsi="黑体" w:hint="eastAsia"/>
          <w:b/>
          <w:sz w:val="24"/>
        </w:rPr>
        <w:t>的申请计划，是否存在获取障碍，无法获取剩余用</w:t>
      </w:r>
      <w:proofErr w:type="gramStart"/>
      <w:r w:rsidRPr="004865EF">
        <w:rPr>
          <w:rFonts w:ascii="黑体" w:eastAsia="黑体" w:hAnsi="黑体" w:hint="eastAsia"/>
          <w:b/>
          <w:sz w:val="24"/>
        </w:rPr>
        <w:t>能指标对募投项目</w:t>
      </w:r>
      <w:proofErr w:type="gramEnd"/>
      <w:r w:rsidRPr="004865EF">
        <w:rPr>
          <w:rFonts w:ascii="黑体" w:eastAsia="黑体" w:hAnsi="黑体" w:hint="eastAsia"/>
          <w:b/>
          <w:sz w:val="24"/>
        </w:rPr>
        <w:t>实施的影响及应对措施，并充分披露相关风险；（</w:t>
      </w:r>
      <w:r w:rsidRPr="004865EF">
        <w:rPr>
          <w:rFonts w:ascii="黑体" w:eastAsia="黑体" w:hAnsi="黑体"/>
          <w:b/>
          <w:sz w:val="24"/>
        </w:rPr>
        <w:t>2</w:t>
      </w:r>
      <w:r w:rsidRPr="004865EF">
        <w:rPr>
          <w:rFonts w:ascii="黑体" w:eastAsia="黑体" w:hAnsi="黑体" w:hint="eastAsia"/>
          <w:b/>
          <w:sz w:val="24"/>
        </w:rPr>
        <w:t>）各</w:t>
      </w:r>
      <w:proofErr w:type="gramStart"/>
      <w:r w:rsidRPr="004865EF">
        <w:rPr>
          <w:rFonts w:ascii="黑体" w:eastAsia="黑体" w:hAnsi="黑体" w:hint="eastAsia"/>
          <w:b/>
          <w:sz w:val="24"/>
        </w:rPr>
        <w:t>募投项目</w:t>
      </w:r>
      <w:proofErr w:type="gramEnd"/>
      <w:r w:rsidRPr="004865EF">
        <w:rPr>
          <w:rFonts w:ascii="黑体" w:eastAsia="黑体" w:hAnsi="黑体" w:hint="eastAsia"/>
          <w:b/>
          <w:sz w:val="24"/>
        </w:rPr>
        <w:t>是否取得了实施所需的全部资质或许可，相关资质、许可是否在有效期内；（</w:t>
      </w:r>
      <w:r w:rsidRPr="004865EF">
        <w:rPr>
          <w:rFonts w:ascii="黑体" w:eastAsia="黑体" w:hAnsi="黑体"/>
          <w:b/>
          <w:sz w:val="24"/>
        </w:rPr>
        <w:t>3）数据中心建设相关政策</w:t>
      </w:r>
      <w:r w:rsidRPr="004865EF">
        <w:rPr>
          <w:rFonts w:ascii="黑体" w:eastAsia="黑体" w:hAnsi="黑体" w:hint="eastAsia"/>
          <w:b/>
          <w:sz w:val="24"/>
        </w:rPr>
        <w:t>变化</w:t>
      </w:r>
      <w:r w:rsidRPr="004865EF">
        <w:rPr>
          <w:rFonts w:ascii="黑体" w:eastAsia="黑体" w:hAnsi="黑体"/>
          <w:b/>
          <w:sz w:val="24"/>
        </w:rPr>
        <w:t>对公司经营及</w:t>
      </w:r>
      <w:proofErr w:type="gramStart"/>
      <w:r w:rsidRPr="004865EF">
        <w:rPr>
          <w:rFonts w:ascii="黑体" w:eastAsia="黑体" w:hAnsi="黑体"/>
          <w:b/>
          <w:sz w:val="24"/>
        </w:rPr>
        <w:t>募投项目</w:t>
      </w:r>
      <w:proofErr w:type="gramEnd"/>
      <w:r w:rsidRPr="004865EF">
        <w:rPr>
          <w:rFonts w:ascii="黑体" w:eastAsia="黑体" w:hAnsi="黑体"/>
          <w:b/>
          <w:sz w:val="24"/>
        </w:rPr>
        <w:t>实施的影响。</w:t>
      </w:r>
    </w:p>
    <w:p w14:paraId="5873CC9C" w14:textId="2983D72B" w:rsidR="00602FC1" w:rsidRPr="004865EF" w:rsidRDefault="00602FC1" w:rsidP="00A66425">
      <w:pPr>
        <w:pStyle w:val="-"/>
        <w:spacing w:beforeLines="50" w:before="120" w:line="360" w:lineRule="auto"/>
        <w:ind w:firstLineChars="200" w:firstLine="482"/>
        <w:rPr>
          <w:rFonts w:ascii="黑体" w:eastAsia="黑体" w:hAnsi="黑体"/>
          <w:b/>
        </w:rPr>
      </w:pPr>
      <w:r w:rsidRPr="004865EF">
        <w:rPr>
          <w:rFonts w:ascii="黑体" w:eastAsia="黑体" w:hAnsi="黑体" w:hint="eastAsia"/>
          <w:b/>
          <w:sz w:val="24"/>
        </w:rPr>
        <w:t>请保荐人及发行人律师核查并发表明确意见。</w:t>
      </w:r>
    </w:p>
    <w:p w14:paraId="41E2468A" w14:textId="54E4265B" w:rsidR="00602FC1" w:rsidRPr="004865EF" w:rsidRDefault="00F47173" w:rsidP="00602FC1">
      <w:pPr>
        <w:pStyle w:val="zhengwen"/>
      </w:pPr>
      <w:r w:rsidRPr="004865EF">
        <w:rPr>
          <w:rFonts w:hint="eastAsia"/>
        </w:rPr>
        <w:t>【回复】</w:t>
      </w:r>
    </w:p>
    <w:p w14:paraId="6BE10A98" w14:textId="77777777" w:rsidR="004E5D7E" w:rsidRPr="004865EF" w:rsidRDefault="004E5D7E" w:rsidP="0066058B">
      <w:pPr>
        <w:pStyle w:val="2"/>
      </w:pPr>
      <w:bookmarkStart w:id="20" w:name="_Toc45708929"/>
      <w:bookmarkStart w:id="21" w:name="_Toc45742507"/>
      <w:r w:rsidRPr="004865EF">
        <w:t>一、</w:t>
      </w:r>
      <w:r w:rsidRPr="004865EF">
        <w:rPr>
          <w:rFonts w:hint="eastAsia"/>
        </w:rPr>
        <w:t>上海嘉定绿色</w:t>
      </w:r>
      <w:proofErr w:type="gramStart"/>
      <w:r w:rsidRPr="004865EF">
        <w:rPr>
          <w:rFonts w:hint="eastAsia"/>
        </w:rPr>
        <w:t>云计算</w:t>
      </w:r>
      <w:proofErr w:type="gramEnd"/>
      <w:r w:rsidRPr="004865EF">
        <w:rPr>
          <w:rFonts w:hint="eastAsia"/>
        </w:rPr>
        <w:t>基地二期项目剩余用</w:t>
      </w:r>
      <w:proofErr w:type="gramStart"/>
      <w:r w:rsidRPr="004865EF">
        <w:rPr>
          <w:rFonts w:hint="eastAsia"/>
        </w:rPr>
        <w:t>能指标</w:t>
      </w:r>
      <w:proofErr w:type="gramEnd"/>
      <w:r w:rsidRPr="004865EF">
        <w:rPr>
          <w:rFonts w:hint="eastAsia"/>
        </w:rPr>
        <w:t>的申请计划，是否存在获取障碍，无法获取剩余用</w:t>
      </w:r>
      <w:proofErr w:type="gramStart"/>
      <w:r w:rsidRPr="004865EF">
        <w:rPr>
          <w:rFonts w:hint="eastAsia"/>
        </w:rPr>
        <w:t>能指标对募投项目</w:t>
      </w:r>
      <w:proofErr w:type="gramEnd"/>
      <w:r w:rsidRPr="004865EF">
        <w:rPr>
          <w:rFonts w:hint="eastAsia"/>
        </w:rPr>
        <w:t>实施的影响及应对措施，并充分披露相关风险</w:t>
      </w:r>
      <w:bookmarkEnd w:id="20"/>
      <w:bookmarkEnd w:id="21"/>
    </w:p>
    <w:p w14:paraId="336069DF" w14:textId="77777777" w:rsidR="004E5D7E" w:rsidRPr="004865EF" w:rsidRDefault="004E5D7E" w:rsidP="00E87AF9">
      <w:pPr>
        <w:pStyle w:val="zhengwen"/>
        <w:rPr>
          <w:bCs/>
        </w:rPr>
      </w:pPr>
      <w:r w:rsidRPr="004865EF">
        <w:rPr>
          <w:rFonts w:hint="eastAsia"/>
          <w:bCs/>
        </w:rPr>
        <w:t>根据上海市经济信息化委于</w:t>
      </w:r>
      <w:r w:rsidRPr="004865EF">
        <w:rPr>
          <w:bCs/>
        </w:rPr>
        <w:t>2020</w:t>
      </w:r>
      <w:r w:rsidRPr="004865EF">
        <w:rPr>
          <w:rFonts w:hint="eastAsia"/>
          <w:bCs/>
        </w:rPr>
        <w:t>年</w:t>
      </w:r>
      <w:r w:rsidRPr="004865EF">
        <w:rPr>
          <w:bCs/>
        </w:rPr>
        <w:t>6</w:t>
      </w:r>
      <w:r w:rsidRPr="004865EF">
        <w:rPr>
          <w:rFonts w:hint="eastAsia"/>
          <w:bCs/>
        </w:rPr>
        <w:t>月</w:t>
      </w:r>
      <w:r w:rsidRPr="004865EF">
        <w:rPr>
          <w:bCs/>
        </w:rPr>
        <w:t>5</w:t>
      </w:r>
      <w:r w:rsidRPr="004865EF">
        <w:rPr>
          <w:rFonts w:hint="eastAsia"/>
          <w:bCs/>
        </w:rPr>
        <w:t>日发布的《支持新建互联网数据中心项目用能指标的通知》，本次获批的互联网数据中心项目共十二个，各项目获批的机架数均为</w:t>
      </w:r>
      <w:r w:rsidRPr="004865EF">
        <w:rPr>
          <w:bCs/>
        </w:rPr>
        <w:t>3,000</w:t>
      </w:r>
      <w:r w:rsidRPr="004865EF">
        <w:rPr>
          <w:rFonts w:hint="eastAsia"/>
          <w:bCs/>
        </w:rPr>
        <w:t>个。其中，上海嘉定绿色</w:t>
      </w:r>
      <w:proofErr w:type="gramStart"/>
      <w:r w:rsidRPr="004865EF">
        <w:rPr>
          <w:rFonts w:hint="eastAsia"/>
          <w:bCs/>
        </w:rPr>
        <w:t>云计算</w:t>
      </w:r>
      <w:proofErr w:type="gramEnd"/>
      <w:r w:rsidRPr="004865EF">
        <w:rPr>
          <w:rFonts w:hint="eastAsia"/>
          <w:bCs/>
        </w:rPr>
        <w:t>基地二期项目本次批准支持</w:t>
      </w:r>
      <w:r w:rsidRPr="004865EF">
        <w:rPr>
          <w:bCs/>
        </w:rPr>
        <w:t>3,000</w:t>
      </w:r>
      <w:r w:rsidRPr="004865EF">
        <w:rPr>
          <w:rFonts w:hint="eastAsia"/>
          <w:bCs/>
        </w:rPr>
        <w:t>个机架的用能指标，剩余</w:t>
      </w:r>
      <w:r w:rsidRPr="004865EF">
        <w:rPr>
          <w:bCs/>
        </w:rPr>
        <w:t>2,000</w:t>
      </w:r>
      <w:r w:rsidRPr="004865EF">
        <w:rPr>
          <w:rFonts w:hint="eastAsia"/>
          <w:bCs/>
        </w:rPr>
        <w:t>个机架的用</w:t>
      </w:r>
      <w:proofErr w:type="gramStart"/>
      <w:r w:rsidRPr="004865EF">
        <w:rPr>
          <w:rFonts w:hint="eastAsia"/>
          <w:bCs/>
        </w:rPr>
        <w:t>能指标</w:t>
      </w:r>
      <w:proofErr w:type="gramEnd"/>
      <w:r w:rsidRPr="004865EF">
        <w:rPr>
          <w:rFonts w:hint="eastAsia"/>
          <w:bCs/>
        </w:rPr>
        <w:t>将在以后年度继续申请，分阶段取得全部用能指标。</w:t>
      </w:r>
    </w:p>
    <w:p w14:paraId="14CA6535" w14:textId="0FC84661" w:rsidR="004E5D7E" w:rsidRPr="004865EF" w:rsidRDefault="004E5D7E" w:rsidP="00E87AF9">
      <w:pPr>
        <w:pStyle w:val="zhengwen"/>
      </w:pPr>
      <w:bookmarkStart w:id="22" w:name="_Hlk46006548"/>
      <w:r w:rsidRPr="004865EF">
        <w:rPr>
          <w:rFonts w:hint="eastAsia"/>
          <w:bCs/>
        </w:rPr>
        <w:t>公司已在上海嘉定成功实施了绿色</w:t>
      </w:r>
      <w:proofErr w:type="gramStart"/>
      <w:r w:rsidRPr="004865EF">
        <w:rPr>
          <w:rFonts w:hint="eastAsia"/>
          <w:bCs/>
        </w:rPr>
        <w:t>云计算</w:t>
      </w:r>
      <w:proofErr w:type="gramEnd"/>
      <w:r w:rsidRPr="004865EF">
        <w:rPr>
          <w:rFonts w:hint="eastAsia"/>
          <w:bCs/>
        </w:rPr>
        <w:t>基地一期项目，目前嘉定二期项目已取得大部分用能指标，且已取得上海市嘉定区项目企业投资备案文件，备案文件中建设内容已明确机架数量为</w:t>
      </w:r>
      <w:r w:rsidRPr="004865EF">
        <w:rPr>
          <w:bCs/>
        </w:rPr>
        <w:t>5,000</w:t>
      </w:r>
      <w:r w:rsidRPr="004865EF">
        <w:rPr>
          <w:rFonts w:hint="eastAsia"/>
          <w:bCs/>
        </w:rPr>
        <w:t>个，预计后续申请用</w:t>
      </w:r>
      <w:proofErr w:type="gramStart"/>
      <w:r w:rsidRPr="004865EF">
        <w:rPr>
          <w:rFonts w:hint="eastAsia"/>
          <w:bCs/>
        </w:rPr>
        <w:t>能指标</w:t>
      </w:r>
      <w:proofErr w:type="gramEnd"/>
      <w:r w:rsidRPr="004865EF">
        <w:rPr>
          <w:rFonts w:hint="eastAsia"/>
          <w:bCs/>
        </w:rPr>
        <w:t>不存在获取障碍。</w:t>
      </w:r>
      <w:bookmarkEnd w:id="22"/>
      <w:r w:rsidRPr="004865EF">
        <w:rPr>
          <w:rFonts w:hint="eastAsia"/>
        </w:rPr>
        <w:t>未来，公司将积极协调相关主管部门，确保及时取得剩余用能指标，保证项目顺利实施。</w:t>
      </w:r>
    </w:p>
    <w:p w14:paraId="1F7FF5D2" w14:textId="54015C27" w:rsidR="004E5D7E" w:rsidRPr="004865EF" w:rsidRDefault="004E5D7E" w:rsidP="004E5D7E">
      <w:pPr>
        <w:pStyle w:val="zhengwen"/>
      </w:pPr>
      <w:r w:rsidRPr="004865EF">
        <w:rPr>
          <w:rFonts w:hint="eastAsia"/>
        </w:rPr>
        <w:t>综上，上海嘉定绿色</w:t>
      </w:r>
      <w:proofErr w:type="gramStart"/>
      <w:r w:rsidRPr="004865EF">
        <w:rPr>
          <w:rFonts w:hint="eastAsia"/>
        </w:rPr>
        <w:t>云计算</w:t>
      </w:r>
      <w:proofErr w:type="gramEnd"/>
      <w:r w:rsidRPr="004865EF">
        <w:rPr>
          <w:rFonts w:hint="eastAsia"/>
        </w:rPr>
        <w:t>基地二期项目剩余用</w:t>
      </w:r>
      <w:proofErr w:type="gramStart"/>
      <w:r w:rsidRPr="004865EF">
        <w:rPr>
          <w:rFonts w:hint="eastAsia"/>
        </w:rPr>
        <w:t>能指标</w:t>
      </w:r>
      <w:proofErr w:type="gramEnd"/>
      <w:r w:rsidRPr="004865EF">
        <w:rPr>
          <w:rFonts w:hint="eastAsia"/>
        </w:rPr>
        <w:t>获取预计不存在障碍，如果该项目未来无法及时获取剩余用能指标，可能会对</w:t>
      </w:r>
      <w:proofErr w:type="gramStart"/>
      <w:r w:rsidRPr="004865EF">
        <w:rPr>
          <w:rFonts w:hint="eastAsia"/>
        </w:rPr>
        <w:t>募投项目</w:t>
      </w:r>
      <w:proofErr w:type="gramEnd"/>
      <w:r w:rsidRPr="004865EF">
        <w:rPr>
          <w:rFonts w:hint="eastAsia"/>
        </w:rPr>
        <w:t>的实施进度和效益造成一定影响。</w:t>
      </w:r>
    </w:p>
    <w:p w14:paraId="53391D8E" w14:textId="61859423" w:rsidR="006934AF" w:rsidRPr="004865EF" w:rsidRDefault="006934AF" w:rsidP="004E5D7E">
      <w:pPr>
        <w:pStyle w:val="zhengwen"/>
      </w:pPr>
      <w:r w:rsidRPr="004865EF">
        <w:rPr>
          <w:rFonts w:hint="eastAsia"/>
        </w:rPr>
        <w:lastRenderedPageBreak/>
        <w:t>发行人已在募集说明书“第六节</w:t>
      </w:r>
      <w:r w:rsidRPr="004865EF">
        <w:t xml:space="preserve"> </w:t>
      </w:r>
      <w:r w:rsidRPr="004865EF">
        <w:t>与本次发行相关的风险因素</w:t>
      </w:r>
      <w:r w:rsidRPr="004865EF">
        <w:rPr>
          <w:rFonts w:hint="eastAsia"/>
        </w:rPr>
        <w:t>”之“三、业务经营与管理风险”补充披露如下：</w:t>
      </w:r>
      <w:r w:rsidRPr="004865EF">
        <w:rPr>
          <w:rFonts w:hint="eastAsia"/>
          <w:bCs/>
        </w:rPr>
        <w:t>（四）</w:t>
      </w:r>
      <w:proofErr w:type="gramStart"/>
      <w:r w:rsidRPr="004865EF">
        <w:rPr>
          <w:rFonts w:hint="eastAsia"/>
          <w:bCs/>
        </w:rPr>
        <w:t>募投项目</w:t>
      </w:r>
      <w:proofErr w:type="gramEnd"/>
      <w:r w:rsidRPr="004865EF">
        <w:rPr>
          <w:rFonts w:hint="eastAsia"/>
          <w:bCs/>
        </w:rPr>
        <w:t>剩余用</w:t>
      </w:r>
      <w:proofErr w:type="gramStart"/>
      <w:r w:rsidRPr="004865EF">
        <w:rPr>
          <w:rFonts w:hint="eastAsia"/>
          <w:bCs/>
        </w:rPr>
        <w:t>能指标</w:t>
      </w:r>
      <w:proofErr w:type="gramEnd"/>
      <w:r w:rsidRPr="004865EF">
        <w:rPr>
          <w:rFonts w:hint="eastAsia"/>
          <w:bCs/>
        </w:rPr>
        <w:t>无法及时取得的风险。</w:t>
      </w:r>
      <w:r w:rsidRPr="004865EF">
        <w:rPr>
          <w:rFonts w:hint="eastAsia"/>
        </w:rPr>
        <w:t>本次</w:t>
      </w:r>
      <w:proofErr w:type="gramStart"/>
      <w:r w:rsidRPr="004865EF">
        <w:rPr>
          <w:rFonts w:hint="eastAsia"/>
        </w:rPr>
        <w:t>募投项目</w:t>
      </w:r>
      <w:proofErr w:type="gramEnd"/>
      <w:r w:rsidRPr="004865EF">
        <w:rPr>
          <w:rFonts w:hint="eastAsia"/>
        </w:rPr>
        <w:t>中上海嘉定绿色</w:t>
      </w:r>
      <w:proofErr w:type="gramStart"/>
      <w:r w:rsidRPr="004865EF">
        <w:rPr>
          <w:rFonts w:hint="eastAsia"/>
        </w:rPr>
        <w:t>云计算</w:t>
      </w:r>
      <w:proofErr w:type="gramEnd"/>
      <w:r w:rsidRPr="004865EF">
        <w:rPr>
          <w:rFonts w:hint="eastAsia"/>
        </w:rPr>
        <w:t>基地二期项目已取得</w:t>
      </w:r>
      <w:r w:rsidRPr="004865EF">
        <w:rPr>
          <w:rFonts w:hint="eastAsia"/>
        </w:rPr>
        <w:t>3,000</w:t>
      </w:r>
      <w:r w:rsidRPr="004865EF">
        <w:rPr>
          <w:rFonts w:hint="eastAsia"/>
        </w:rPr>
        <w:t>个机架的用能指标，剩余</w:t>
      </w:r>
      <w:r w:rsidRPr="004865EF">
        <w:rPr>
          <w:rFonts w:hint="eastAsia"/>
        </w:rPr>
        <w:t>2,000</w:t>
      </w:r>
      <w:r w:rsidRPr="004865EF">
        <w:rPr>
          <w:rFonts w:hint="eastAsia"/>
        </w:rPr>
        <w:t>个机架的用</w:t>
      </w:r>
      <w:proofErr w:type="gramStart"/>
      <w:r w:rsidRPr="004865EF">
        <w:rPr>
          <w:rFonts w:hint="eastAsia"/>
        </w:rPr>
        <w:t>能指标</w:t>
      </w:r>
      <w:proofErr w:type="gramEnd"/>
      <w:r w:rsidRPr="004865EF">
        <w:rPr>
          <w:rFonts w:hint="eastAsia"/>
        </w:rPr>
        <w:t>将在以后年度继续申请，从而分阶段取得全部用能指标。如果该项目未来无法及时获取剩余用能指标，可能会对</w:t>
      </w:r>
      <w:proofErr w:type="gramStart"/>
      <w:r w:rsidRPr="004865EF">
        <w:rPr>
          <w:rFonts w:hint="eastAsia"/>
        </w:rPr>
        <w:t>募投项目</w:t>
      </w:r>
      <w:proofErr w:type="gramEnd"/>
      <w:r w:rsidRPr="004865EF">
        <w:rPr>
          <w:rFonts w:hint="eastAsia"/>
        </w:rPr>
        <w:t>的实施进度和效益造成一定影响。</w:t>
      </w:r>
    </w:p>
    <w:p w14:paraId="0B06304A" w14:textId="77777777" w:rsidR="004E5D7E" w:rsidRPr="004865EF" w:rsidRDefault="004E5D7E" w:rsidP="0066058B">
      <w:pPr>
        <w:pStyle w:val="2"/>
      </w:pPr>
      <w:bookmarkStart w:id="23" w:name="_Toc45708930"/>
      <w:bookmarkStart w:id="24" w:name="_Toc45742508"/>
      <w:r w:rsidRPr="004865EF">
        <w:rPr>
          <w:rFonts w:hint="eastAsia"/>
        </w:rPr>
        <w:t>二</w:t>
      </w:r>
      <w:r w:rsidRPr="004865EF">
        <w:t>、</w:t>
      </w:r>
      <w:r w:rsidRPr="004865EF">
        <w:rPr>
          <w:rFonts w:hint="eastAsia"/>
        </w:rPr>
        <w:t>各</w:t>
      </w:r>
      <w:proofErr w:type="gramStart"/>
      <w:r w:rsidRPr="004865EF">
        <w:rPr>
          <w:rFonts w:hint="eastAsia"/>
        </w:rPr>
        <w:t>募投项目</w:t>
      </w:r>
      <w:proofErr w:type="gramEnd"/>
      <w:r w:rsidRPr="004865EF">
        <w:rPr>
          <w:rFonts w:hint="eastAsia"/>
        </w:rPr>
        <w:t>是否取得了实施所需的全部资质或许可，相关资质、许可是否在有效期内</w:t>
      </w:r>
      <w:bookmarkEnd w:id="23"/>
      <w:bookmarkEnd w:id="24"/>
    </w:p>
    <w:p w14:paraId="17DD50CD" w14:textId="44B60106" w:rsidR="004E5D7E" w:rsidRPr="004865EF" w:rsidRDefault="004E5D7E" w:rsidP="004E5D7E">
      <w:pPr>
        <w:pStyle w:val="zhengwen"/>
      </w:pPr>
      <w:r w:rsidRPr="004865EF">
        <w:rPr>
          <w:rFonts w:hint="eastAsia"/>
        </w:rPr>
        <w:t>公司本次</w:t>
      </w:r>
      <w:proofErr w:type="gramStart"/>
      <w:r w:rsidRPr="004865EF">
        <w:rPr>
          <w:rFonts w:hint="eastAsia"/>
        </w:rPr>
        <w:t>募投项目</w:t>
      </w:r>
      <w:proofErr w:type="gramEnd"/>
      <w:r w:rsidR="00720C0D" w:rsidRPr="004865EF">
        <w:rPr>
          <w:rFonts w:hint="eastAsia"/>
        </w:rPr>
        <w:t>“</w:t>
      </w:r>
      <w:r w:rsidRPr="004865EF">
        <w:rPr>
          <w:rFonts w:hint="eastAsia"/>
        </w:rPr>
        <w:t>补充流动资金</w:t>
      </w:r>
      <w:r w:rsidR="00720C0D" w:rsidRPr="004865EF">
        <w:rPr>
          <w:rFonts w:hint="eastAsia"/>
        </w:rPr>
        <w:t>”</w:t>
      </w:r>
      <w:r w:rsidRPr="004865EF">
        <w:rPr>
          <w:rFonts w:hint="eastAsia"/>
        </w:rPr>
        <w:t>无需备案、环评批复文件及其他所需许可、资质，其他</w:t>
      </w:r>
      <w:r w:rsidR="00E6271C" w:rsidRPr="004865EF">
        <w:rPr>
          <w:rFonts w:hint="eastAsia"/>
        </w:rPr>
        <w:t>四个</w:t>
      </w:r>
      <w:proofErr w:type="gramStart"/>
      <w:r w:rsidRPr="004865EF">
        <w:rPr>
          <w:rFonts w:hint="eastAsia"/>
        </w:rPr>
        <w:t>募投项目</w:t>
      </w:r>
      <w:proofErr w:type="gramEnd"/>
      <w:r w:rsidRPr="004865EF">
        <w:rPr>
          <w:rFonts w:hint="eastAsia"/>
        </w:rPr>
        <w:t>取得实施所需的全部资质或许可情况如下：</w:t>
      </w:r>
    </w:p>
    <w:tbl>
      <w:tblPr>
        <w:tblW w:w="840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98"/>
        <w:gridCol w:w="2575"/>
        <w:gridCol w:w="1978"/>
        <w:gridCol w:w="1150"/>
      </w:tblGrid>
      <w:tr w:rsidR="004865EF" w:rsidRPr="004865EF" w14:paraId="725A1FF5"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207183F8" w14:textId="77777777" w:rsidR="00923754" w:rsidRPr="004865EF" w:rsidRDefault="00923754" w:rsidP="004E5D7E">
            <w:pPr>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名称</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3DE07D1D" w14:textId="77777777" w:rsidR="00923754" w:rsidRPr="004865EF" w:rsidRDefault="00923754" w:rsidP="004E5D7E">
            <w:pPr>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文号</w:t>
            </w:r>
            <w:r w:rsidRPr="004865EF">
              <w:rPr>
                <w:rFonts w:ascii="Times New Roman" w:eastAsia="宋体" w:hAnsi="Times New Roman" w:cs="Times New Roman" w:hint="eastAsia"/>
                <w:b/>
                <w:bCs/>
                <w:szCs w:val="21"/>
              </w:rPr>
              <w:t>/</w:t>
            </w:r>
            <w:r w:rsidRPr="004865EF">
              <w:rPr>
                <w:rFonts w:ascii="Times New Roman" w:eastAsia="宋体" w:hAnsi="Times New Roman" w:cs="Times New Roman" w:hint="eastAsia"/>
                <w:b/>
                <w:bCs/>
                <w:szCs w:val="21"/>
              </w:rPr>
              <w:t>备案号</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682C87F7" w14:textId="77777777" w:rsidR="00923754" w:rsidRPr="004865EF" w:rsidRDefault="00923754" w:rsidP="004E5D7E">
            <w:pPr>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颁发机构</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F69050C" w14:textId="77777777" w:rsidR="00923754" w:rsidRPr="004865EF" w:rsidRDefault="00923754" w:rsidP="004E5D7E">
            <w:pPr>
              <w:jc w:val="center"/>
              <w:rPr>
                <w:rFonts w:ascii="Times New Roman" w:eastAsia="宋体" w:hAnsi="Times New Roman" w:cs="Times New Roman"/>
                <w:b/>
                <w:bCs/>
                <w:szCs w:val="21"/>
              </w:rPr>
            </w:pPr>
            <w:r w:rsidRPr="004865EF">
              <w:rPr>
                <w:rFonts w:ascii="Times New Roman" w:eastAsia="宋体" w:hAnsi="Times New Roman" w:cs="Times New Roman" w:hint="eastAsia"/>
                <w:b/>
                <w:bCs/>
                <w:szCs w:val="21"/>
              </w:rPr>
              <w:t>颁发日期</w:t>
            </w:r>
          </w:p>
        </w:tc>
      </w:tr>
      <w:tr w:rsidR="004865EF" w:rsidRPr="004865EF" w14:paraId="6AB028DD" w14:textId="77777777" w:rsidTr="00A66425">
        <w:trPr>
          <w:trHeight w:val="397"/>
          <w:jc w:val="center"/>
        </w:trPr>
        <w:tc>
          <w:tcPr>
            <w:tcW w:w="8401" w:type="dxa"/>
            <w:gridSpan w:val="4"/>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691F983A" w14:textId="182EE35C" w:rsidR="00923754" w:rsidRPr="004865EF" w:rsidRDefault="00923754" w:rsidP="00A66425">
            <w:pPr>
              <w:jc w:val="left"/>
              <w:rPr>
                <w:rFonts w:ascii="Times New Roman" w:eastAsia="宋体" w:hAnsi="Times New Roman" w:cs="Times New Roman"/>
                <w:b/>
                <w:bCs/>
                <w:szCs w:val="21"/>
              </w:rPr>
            </w:pPr>
            <w:r w:rsidRPr="004865EF">
              <w:rPr>
                <w:rFonts w:ascii="Times New Roman" w:eastAsia="宋体" w:hAnsi="Times New Roman" w:cs="Times New Roman" w:hint="eastAsia"/>
                <w:b/>
                <w:szCs w:val="21"/>
              </w:rPr>
              <w:t>一、北京房山绿色</w:t>
            </w:r>
            <w:proofErr w:type="gramStart"/>
            <w:r w:rsidRPr="004865EF">
              <w:rPr>
                <w:rFonts w:ascii="Times New Roman" w:eastAsia="宋体" w:hAnsi="Times New Roman" w:cs="Times New Roman" w:hint="eastAsia"/>
                <w:b/>
                <w:szCs w:val="21"/>
              </w:rPr>
              <w:t>云计算</w:t>
            </w:r>
            <w:proofErr w:type="gramEnd"/>
            <w:r w:rsidRPr="004865EF">
              <w:rPr>
                <w:rFonts w:ascii="Times New Roman" w:eastAsia="宋体" w:hAnsi="Times New Roman" w:cs="Times New Roman" w:hint="eastAsia"/>
                <w:b/>
                <w:szCs w:val="21"/>
              </w:rPr>
              <w:t>数据中心二期项目</w:t>
            </w:r>
          </w:p>
        </w:tc>
      </w:tr>
      <w:tr w:rsidR="004865EF" w:rsidRPr="004865EF" w14:paraId="6855630D"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494DCC9E"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北京市非政府投资工业固定资产投资项目备案通知书</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48AF9932"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京房山</w:t>
            </w:r>
            <w:proofErr w:type="gramStart"/>
            <w:r w:rsidRPr="004865EF">
              <w:rPr>
                <w:rFonts w:ascii="Times New Roman" w:eastAsia="宋体" w:hAnsi="Times New Roman" w:cs="Times New Roman" w:hint="eastAsia"/>
                <w:szCs w:val="21"/>
              </w:rPr>
              <w:t>经信委备案</w:t>
            </w:r>
            <w:proofErr w:type="gramEnd"/>
            <w:r w:rsidRPr="004865EF">
              <w:rPr>
                <w:rFonts w:ascii="Times New Roman" w:eastAsia="宋体" w:hAnsi="Times New Roman" w:cs="Times New Roman" w:hint="eastAsia"/>
                <w:szCs w:val="21"/>
              </w:rPr>
              <w:t>[2016]033</w:t>
            </w:r>
            <w:r w:rsidRPr="004865EF">
              <w:rPr>
                <w:rFonts w:ascii="Times New Roman" w:eastAsia="宋体" w:hAnsi="Times New Roman" w:cs="Times New Roman" w:hint="eastAsia"/>
                <w:szCs w:val="21"/>
              </w:rPr>
              <w:t>号）</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1394FE2A"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北京市房山区经济和信息化委员会</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55E7536B"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2016</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9</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26</w:t>
            </w:r>
            <w:r w:rsidRPr="004865EF">
              <w:rPr>
                <w:rFonts w:ascii="Times New Roman" w:eastAsia="宋体" w:hAnsi="Times New Roman" w:cs="Times New Roman" w:hint="eastAsia"/>
                <w:szCs w:val="21"/>
              </w:rPr>
              <w:t>日</w:t>
            </w:r>
          </w:p>
        </w:tc>
      </w:tr>
      <w:tr w:rsidR="004865EF" w:rsidRPr="004865EF" w14:paraId="438462D1"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2EC5DB04"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建设项目环境影响登记表</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76FF481"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201711011100002483</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1D03E0B7"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38D09D07"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2017</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7</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24</w:t>
            </w:r>
            <w:r w:rsidRPr="004865EF">
              <w:rPr>
                <w:rFonts w:ascii="Times New Roman" w:eastAsia="宋体" w:hAnsi="Times New Roman" w:cs="Times New Roman" w:hint="eastAsia"/>
                <w:szCs w:val="21"/>
              </w:rPr>
              <w:t>日</w:t>
            </w:r>
          </w:p>
        </w:tc>
      </w:tr>
      <w:tr w:rsidR="004865EF" w:rsidRPr="004865EF" w14:paraId="291E1EF0"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48CFB20F"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建设工程规划许可证</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62EEC3E3"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建字第</w:t>
            </w:r>
            <w:r w:rsidRPr="004865EF">
              <w:rPr>
                <w:rFonts w:ascii="Times New Roman" w:eastAsia="宋体" w:hAnsi="Times New Roman" w:cs="Times New Roman" w:hint="eastAsia"/>
                <w:szCs w:val="21"/>
              </w:rPr>
              <w:t>110111201800010</w:t>
            </w:r>
            <w:r w:rsidRPr="004865EF">
              <w:rPr>
                <w:rFonts w:ascii="Times New Roman" w:eastAsia="宋体" w:hAnsi="Times New Roman" w:cs="Times New Roman" w:hint="eastAsia"/>
                <w:szCs w:val="21"/>
              </w:rPr>
              <w:t>号</w:t>
            </w:r>
            <w:r w:rsidRPr="004865EF">
              <w:rPr>
                <w:rFonts w:ascii="Times New Roman" w:eastAsia="宋体" w:hAnsi="Times New Roman" w:cs="Times New Roman" w:hint="eastAsia"/>
                <w:szCs w:val="21"/>
              </w:rPr>
              <w:t>/2018</w:t>
            </w:r>
            <w:proofErr w:type="gramStart"/>
            <w:r w:rsidRPr="004865EF">
              <w:rPr>
                <w:rFonts w:ascii="Times New Roman" w:eastAsia="宋体" w:hAnsi="Times New Roman" w:cs="Times New Roman" w:hint="eastAsia"/>
                <w:szCs w:val="21"/>
              </w:rPr>
              <w:t>规</w:t>
            </w:r>
            <w:proofErr w:type="gramEnd"/>
            <w:r w:rsidRPr="004865EF">
              <w:rPr>
                <w:rFonts w:ascii="Times New Roman" w:eastAsia="宋体" w:hAnsi="Times New Roman" w:cs="Times New Roman" w:hint="eastAsia"/>
                <w:szCs w:val="21"/>
              </w:rPr>
              <w:t>（房）建字</w:t>
            </w:r>
            <w:r w:rsidRPr="004865EF">
              <w:rPr>
                <w:rFonts w:ascii="Times New Roman" w:eastAsia="宋体" w:hAnsi="Times New Roman" w:cs="Times New Roman" w:hint="eastAsia"/>
                <w:szCs w:val="21"/>
              </w:rPr>
              <w:t>0006</w:t>
            </w:r>
            <w:r w:rsidRPr="004865EF">
              <w:rPr>
                <w:rFonts w:ascii="Times New Roman" w:eastAsia="宋体" w:hAnsi="Times New Roman" w:cs="Times New Roman" w:hint="eastAsia"/>
                <w:szCs w:val="21"/>
              </w:rPr>
              <w:t>号</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CDDBE84"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北京市规划和国土资源管理委员会</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61E2D319"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2018</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2</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13</w:t>
            </w:r>
            <w:r w:rsidRPr="004865EF">
              <w:rPr>
                <w:rFonts w:ascii="Times New Roman" w:eastAsia="宋体" w:hAnsi="Times New Roman" w:cs="Times New Roman" w:hint="eastAsia"/>
                <w:szCs w:val="21"/>
              </w:rPr>
              <w:t>日</w:t>
            </w:r>
          </w:p>
        </w:tc>
      </w:tr>
      <w:tr w:rsidR="004865EF" w:rsidRPr="004865EF" w14:paraId="728B1729"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39599A9"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建设工程施工许可证</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1D348BEA"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[2018]</w:t>
            </w:r>
            <w:r w:rsidRPr="004865EF">
              <w:rPr>
                <w:rFonts w:ascii="Times New Roman" w:eastAsia="宋体" w:hAnsi="Times New Roman" w:cs="Times New Roman" w:hint="eastAsia"/>
                <w:szCs w:val="21"/>
              </w:rPr>
              <w:t>施</w:t>
            </w:r>
            <w:r w:rsidRPr="004865EF">
              <w:rPr>
                <w:rFonts w:ascii="Times New Roman" w:eastAsia="宋体" w:hAnsi="Times New Roman" w:cs="Times New Roman" w:hint="eastAsia"/>
                <w:szCs w:val="21"/>
              </w:rPr>
              <w:t>[</w:t>
            </w:r>
            <w:r w:rsidRPr="004865EF">
              <w:rPr>
                <w:rFonts w:ascii="Times New Roman" w:eastAsia="宋体" w:hAnsi="Times New Roman" w:cs="Times New Roman" w:hint="eastAsia"/>
                <w:szCs w:val="21"/>
              </w:rPr>
              <w:t>房</w:t>
            </w:r>
            <w:r w:rsidRPr="004865EF">
              <w:rPr>
                <w:rFonts w:ascii="Times New Roman" w:eastAsia="宋体" w:hAnsi="Times New Roman" w:cs="Times New Roman" w:hint="eastAsia"/>
                <w:szCs w:val="21"/>
              </w:rPr>
              <w:t>]</w:t>
            </w:r>
            <w:r w:rsidRPr="004865EF">
              <w:rPr>
                <w:rFonts w:ascii="Times New Roman" w:eastAsia="宋体" w:hAnsi="Times New Roman" w:cs="Times New Roman" w:hint="eastAsia"/>
                <w:szCs w:val="21"/>
              </w:rPr>
              <w:t>建字</w:t>
            </w:r>
            <w:r w:rsidRPr="004865EF">
              <w:rPr>
                <w:rFonts w:ascii="Times New Roman" w:eastAsia="宋体" w:hAnsi="Times New Roman" w:cs="Times New Roman" w:hint="eastAsia"/>
                <w:szCs w:val="21"/>
              </w:rPr>
              <w:t>0061</w:t>
            </w:r>
            <w:r w:rsidRPr="004865EF">
              <w:rPr>
                <w:rFonts w:ascii="Times New Roman" w:eastAsia="宋体" w:hAnsi="Times New Roman" w:cs="Times New Roman" w:hint="eastAsia"/>
                <w:szCs w:val="21"/>
              </w:rPr>
              <w:t>号</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3E8473C"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北京市房山区住房和城乡建设委员会</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1017742"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2018</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10</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26</w:t>
            </w:r>
            <w:r w:rsidRPr="004865EF">
              <w:rPr>
                <w:rFonts w:ascii="Times New Roman" w:eastAsia="宋体" w:hAnsi="Times New Roman" w:cs="Times New Roman" w:hint="eastAsia"/>
                <w:szCs w:val="21"/>
              </w:rPr>
              <w:t>日</w:t>
            </w:r>
          </w:p>
        </w:tc>
      </w:tr>
      <w:tr w:rsidR="004865EF" w:rsidRPr="004865EF" w14:paraId="6CA2B149" w14:textId="77777777" w:rsidTr="00A66425">
        <w:trPr>
          <w:trHeight w:val="397"/>
          <w:jc w:val="center"/>
        </w:trPr>
        <w:tc>
          <w:tcPr>
            <w:tcW w:w="8401" w:type="dxa"/>
            <w:gridSpan w:val="4"/>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78B7278" w14:textId="3B277696" w:rsidR="00923754" w:rsidRPr="004865EF" w:rsidRDefault="00923754" w:rsidP="00A66425">
            <w:pPr>
              <w:jc w:val="left"/>
              <w:rPr>
                <w:rFonts w:ascii="Times New Roman" w:eastAsia="宋体" w:hAnsi="Times New Roman" w:cs="Times New Roman"/>
                <w:szCs w:val="21"/>
              </w:rPr>
            </w:pPr>
            <w:r w:rsidRPr="004865EF">
              <w:rPr>
                <w:rFonts w:ascii="Times New Roman" w:eastAsia="宋体" w:hAnsi="Times New Roman" w:cs="Times New Roman" w:hint="eastAsia"/>
                <w:b/>
                <w:szCs w:val="21"/>
              </w:rPr>
              <w:t>二、上海嘉定绿色</w:t>
            </w:r>
            <w:proofErr w:type="gramStart"/>
            <w:r w:rsidRPr="004865EF">
              <w:rPr>
                <w:rFonts w:ascii="Times New Roman" w:eastAsia="宋体" w:hAnsi="Times New Roman" w:cs="Times New Roman" w:hint="eastAsia"/>
                <w:b/>
                <w:szCs w:val="21"/>
              </w:rPr>
              <w:t>云计算</w:t>
            </w:r>
            <w:proofErr w:type="gramEnd"/>
            <w:r w:rsidRPr="004865EF">
              <w:rPr>
                <w:rFonts w:ascii="Times New Roman" w:eastAsia="宋体" w:hAnsi="Times New Roman" w:cs="Times New Roman" w:hint="eastAsia"/>
                <w:b/>
                <w:szCs w:val="21"/>
              </w:rPr>
              <w:t>基地二期项目</w:t>
            </w:r>
          </w:p>
        </w:tc>
      </w:tr>
      <w:tr w:rsidR="004865EF" w:rsidRPr="004865EF" w14:paraId="17678DD9"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4D0CB51A"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上海市企业投资项目备案证明</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B8C76B1" w14:textId="77777777" w:rsidR="00923754" w:rsidRPr="004865EF" w:rsidRDefault="00923754" w:rsidP="00A66425">
            <w:pPr>
              <w:jc w:val="left"/>
              <w:rPr>
                <w:rFonts w:ascii="Times New Roman" w:eastAsia="宋体" w:hAnsi="Times New Roman" w:cs="Times New Roman"/>
                <w:szCs w:val="21"/>
              </w:rPr>
            </w:pPr>
            <w:r w:rsidRPr="004865EF">
              <w:rPr>
                <w:rFonts w:ascii="Times New Roman" w:eastAsia="宋体" w:hAnsi="Times New Roman" w:cs="Times New Roman" w:hint="eastAsia"/>
                <w:szCs w:val="21"/>
              </w:rPr>
              <w:t>项目代码：</w:t>
            </w:r>
            <w:r w:rsidRPr="004865EF">
              <w:rPr>
                <w:rFonts w:ascii="Times New Roman" w:eastAsia="宋体" w:hAnsi="Times New Roman" w:cs="Times New Roman" w:hint="eastAsia"/>
                <w:szCs w:val="21"/>
              </w:rPr>
              <w:t>2019-310114-64-03-007338</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56B252BE"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上海市嘉定区发展和改革委员会</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121D3957"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2019</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10</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22</w:t>
            </w:r>
            <w:r w:rsidRPr="004865EF">
              <w:rPr>
                <w:rFonts w:ascii="Times New Roman" w:eastAsia="宋体" w:hAnsi="Times New Roman" w:cs="Times New Roman" w:hint="eastAsia"/>
                <w:szCs w:val="21"/>
              </w:rPr>
              <w:t>日</w:t>
            </w:r>
          </w:p>
        </w:tc>
      </w:tr>
      <w:tr w:rsidR="004865EF" w:rsidRPr="004865EF" w14:paraId="5BBACECA"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AB980F7"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建设项目环境影响登记表</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39957A58"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202031011400000016</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36834A20"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65BF8464"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2020</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1</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6</w:t>
            </w:r>
            <w:r w:rsidRPr="004865EF">
              <w:rPr>
                <w:rFonts w:ascii="Times New Roman" w:eastAsia="宋体" w:hAnsi="Times New Roman" w:cs="Times New Roman" w:hint="eastAsia"/>
                <w:szCs w:val="21"/>
              </w:rPr>
              <w:t>日</w:t>
            </w:r>
          </w:p>
        </w:tc>
      </w:tr>
      <w:tr w:rsidR="004865EF" w:rsidRPr="004865EF" w14:paraId="2049908E"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289C009D"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建设工程规划许可证</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3D049BA" w14:textId="77777777" w:rsidR="00923754" w:rsidRPr="004865EF" w:rsidRDefault="00923754" w:rsidP="00A66425">
            <w:pPr>
              <w:jc w:val="left"/>
              <w:rPr>
                <w:rFonts w:ascii="Times New Roman" w:eastAsia="宋体" w:hAnsi="Times New Roman" w:cs="Times New Roman"/>
                <w:szCs w:val="21"/>
              </w:rPr>
            </w:pPr>
            <w:r w:rsidRPr="004865EF">
              <w:rPr>
                <w:rFonts w:ascii="Times New Roman" w:eastAsia="宋体" w:hAnsi="Times New Roman" w:cs="Times New Roman" w:hint="eastAsia"/>
                <w:szCs w:val="21"/>
              </w:rPr>
              <w:t>沪嘉建（</w:t>
            </w:r>
            <w:r w:rsidRPr="004865EF">
              <w:rPr>
                <w:rFonts w:ascii="Times New Roman" w:eastAsia="宋体" w:hAnsi="Times New Roman" w:cs="Times New Roman" w:hint="eastAsia"/>
                <w:szCs w:val="21"/>
              </w:rPr>
              <w:t>2</w:t>
            </w:r>
            <w:r w:rsidRPr="004865EF">
              <w:rPr>
                <w:rFonts w:ascii="Times New Roman" w:eastAsia="宋体" w:hAnsi="Times New Roman" w:cs="Times New Roman"/>
                <w:szCs w:val="21"/>
              </w:rPr>
              <w:t>020</w:t>
            </w:r>
            <w:r w:rsidRPr="004865EF">
              <w:rPr>
                <w:rFonts w:ascii="Times New Roman" w:eastAsia="宋体" w:hAnsi="Times New Roman" w:cs="Times New Roman" w:hint="eastAsia"/>
                <w:szCs w:val="21"/>
              </w:rPr>
              <w:t>）</w:t>
            </w:r>
            <w:r w:rsidRPr="004865EF">
              <w:rPr>
                <w:rFonts w:ascii="Times New Roman" w:eastAsia="宋体" w:hAnsi="Times New Roman" w:cs="Times New Roman" w:hint="eastAsia"/>
                <w:szCs w:val="21"/>
              </w:rPr>
              <w:t>F</w:t>
            </w:r>
            <w:r w:rsidRPr="004865EF">
              <w:rPr>
                <w:rFonts w:ascii="Times New Roman" w:eastAsia="宋体" w:hAnsi="Times New Roman" w:cs="Times New Roman"/>
                <w:szCs w:val="21"/>
              </w:rPr>
              <w:t>A310114202000480</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68A90B02"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上海市嘉定区规划和自然资源局</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38182C89"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w:t>
            </w:r>
            <w:r w:rsidRPr="004865EF">
              <w:rPr>
                <w:rFonts w:ascii="Times New Roman" w:eastAsia="宋体" w:hAnsi="Times New Roman" w:cs="Times New Roman"/>
                <w:szCs w:val="21"/>
              </w:rPr>
              <w:t>020</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4</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7</w:t>
            </w:r>
            <w:r w:rsidRPr="004865EF">
              <w:rPr>
                <w:rFonts w:ascii="Times New Roman" w:eastAsia="宋体" w:hAnsi="Times New Roman" w:cs="Times New Roman" w:hint="eastAsia"/>
                <w:szCs w:val="21"/>
              </w:rPr>
              <w:t>日</w:t>
            </w:r>
          </w:p>
        </w:tc>
      </w:tr>
      <w:tr w:rsidR="004865EF" w:rsidRPr="004865EF" w14:paraId="0D1537D1"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413B624A"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建设工程施工许可证</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1E368E65"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w:t>
            </w:r>
            <w:r w:rsidRPr="004865EF">
              <w:rPr>
                <w:rFonts w:ascii="Times New Roman" w:eastAsia="宋体" w:hAnsi="Times New Roman" w:cs="Times New Roman"/>
                <w:szCs w:val="21"/>
              </w:rPr>
              <w:t>002JD0024D01</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2E01868B"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上海市嘉定区建设和管理委员会</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B9351C6"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w:t>
            </w:r>
            <w:r w:rsidRPr="004865EF">
              <w:rPr>
                <w:rFonts w:ascii="Times New Roman" w:eastAsia="宋体" w:hAnsi="Times New Roman" w:cs="Times New Roman"/>
                <w:szCs w:val="21"/>
              </w:rPr>
              <w:t>020</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5</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7</w:t>
            </w:r>
            <w:r w:rsidRPr="004865EF">
              <w:rPr>
                <w:rFonts w:ascii="Times New Roman" w:eastAsia="宋体" w:hAnsi="Times New Roman" w:cs="Times New Roman" w:hint="eastAsia"/>
                <w:szCs w:val="21"/>
              </w:rPr>
              <w:t>日</w:t>
            </w:r>
          </w:p>
        </w:tc>
      </w:tr>
      <w:tr w:rsidR="004865EF" w:rsidRPr="004865EF" w14:paraId="6FA67CCF" w14:textId="77777777" w:rsidTr="00A66425">
        <w:trPr>
          <w:trHeight w:val="397"/>
          <w:jc w:val="center"/>
        </w:trPr>
        <w:tc>
          <w:tcPr>
            <w:tcW w:w="8401" w:type="dxa"/>
            <w:gridSpan w:val="4"/>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B306887" w14:textId="23DD0347" w:rsidR="00923754" w:rsidRPr="004865EF" w:rsidRDefault="00923754" w:rsidP="00A66425">
            <w:pPr>
              <w:jc w:val="left"/>
              <w:rPr>
                <w:rFonts w:ascii="Times New Roman" w:eastAsia="宋体" w:hAnsi="Times New Roman" w:cs="Times New Roman"/>
                <w:szCs w:val="21"/>
              </w:rPr>
            </w:pPr>
            <w:r w:rsidRPr="004865EF">
              <w:rPr>
                <w:rFonts w:ascii="Times New Roman" w:eastAsia="宋体" w:hAnsi="Times New Roman" w:cs="Times New Roman" w:hint="eastAsia"/>
                <w:b/>
                <w:szCs w:val="21"/>
              </w:rPr>
              <w:t>三、燕郊绿色</w:t>
            </w:r>
            <w:proofErr w:type="gramStart"/>
            <w:r w:rsidRPr="004865EF">
              <w:rPr>
                <w:rFonts w:ascii="Times New Roman" w:eastAsia="宋体" w:hAnsi="Times New Roman" w:cs="Times New Roman" w:hint="eastAsia"/>
                <w:b/>
                <w:szCs w:val="21"/>
              </w:rPr>
              <w:t>云计算</w:t>
            </w:r>
            <w:proofErr w:type="gramEnd"/>
            <w:r w:rsidRPr="004865EF">
              <w:rPr>
                <w:rFonts w:ascii="Times New Roman" w:eastAsia="宋体" w:hAnsi="Times New Roman" w:cs="Times New Roman" w:hint="eastAsia"/>
                <w:b/>
                <w:szCs w:val="21"/>
              </w:rPr>
              <w:t>基地三四期项目</w:t>
            </w:r>
          </w:p>
        </w:tc>
      </w:tr>
      <w:tr w:rsidR="004865EF" w:rsidRPr="004865EF" w14:paraId="25640C87"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4B8BED2"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企业投资项目备案信息</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3E7D2DDE" w14:textId="77777777" w:rsidR="00923754" w:rsidRPr="004865EF" w:rsidRDefault="00923754" w:rsidP="00A66425">
            <w:pPr>
              <w:rPr>
                <w:rFonts w:ascii="Times New Roman" w:eastAsia="宋体" w:hAnsi="Times New Roman" w:cs="Times New Roman"/>
                <w:szCs w:val="21"/>
              </w:rPr>
            </w:pPr>
            <w:proofErr w:type="gramStart"/>
            <w:r w:rsidRPr="004865EF">
              <w:rPr>
                <w:rFonts w:ascii="Times New Roman" w:eastAsia="宋体" w:hAnsi="Times New Roman" w:cs="Times New Roman" w:hint="eastAsia"/>
                <w:szCs w:val="21"/>
              </w:rPr>
              <w:t>燕区经备</w:t>
            </w:r>
            <w:proofErr w:type="gramEnd"/>
            <w:r w:rsidRPr="004865EF">
              <w:rPr>
                <w:rFonts w:ascii="Times New Roman" w:eastAsia="宋体" w:hAnsi="Times New Roman" w:cs="Times New Roman" w:hint="eastAsia"/>
                <w:szCs w:val="21"/>
              </w:rPr>
              <w:t>字</w:t>
            </w:r>
            <w:r w:rsidRPr="004865EF">
              <w:rPr>
                <w:rFonts w:ascii="Times New Roman" w:eastAsia="宋体" w:hAnsi="Times New Roman" w:cs="Times New Roman" w:hint="eastAsia"/>
                <w:szCs w:val="21"/>
              </w:rPr>
              <w:t>[2019]28</w:t>
            </w:r>
            <w:r w:rsidRPr="004865EF">
              <w:rPr>
                <w:rFonts w:ascii="Times New Roman" w:eastAsia="宋体" w:hAnsi="Times New Roman" w:cs="Times New Roman" w:hint="eastAsia"/>
                <w:szCs w:val="21"/>
              </w:rPr>
              <w:t>号</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63558499" w14:textId="77777777" w:rsidR="00923754" w:rsidRPr="004865EF" w:rsidRDefault="00923754" w:rsidP="00A66425">
            <w:pPr>
              <w:rPr>
                <w:rFonts w:ascii="Times New Roman" w:eastAsia="宋体" w:hAnsi="Times New Roman" w:cs="Times New Roman"/>
                <w:szCs w:val="21"/>
              </w:rPr>
            </w:pPr>
            <w:proofErr w:type="gramStart"/>
            <w:r w:rsidRPr="004865EF">
              <w:rPr>
                <w:rFonts w:ascii="Times New Roman" w:eastAsia="宋体" w:hAnsi="Times New Roman" w:cs="Times New Roman" w:hint="eastAsia"/>
                <w:szCs w:val="21"/>
              </w:rPr>
              <w:t>燕郊高新区</w:t>
            </w:r>
            <w:proofErr w:type="gramEnd"/>
            <w:r w:rsidRPr="004865EF">
              <w:rPr>
                <w:rFonts w:ascii="Times New Roman" w:eastAsia="宋体" w:hAnsi="Times New Roman" w:cs="Times New Roman" w:hint="eastAsia"/>
                <w:szCs w:val="21"/>
              </w:rPr>
              <w:t>投资促进局</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62CCD173"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2019</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10</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14</w:t>
            </w:r>
            <w:r w:rsidRPr="004865EF">
              <w:rPr>
                <w:rFonts w:ascii="Times New Roman" w:eastAsia="宋体" w:hAnsi="Times New Roman" w:cs="Times New Roman" w:hint="eastAsia"/>
                <w:szCs w:val="21"/>
              </w:rPr>
              <w:t>日</w:t>
            </w:r>
          </w:p>
        </w:tc>
      </w:tr>
      <w:tr w:rsidR="004865EF" w:rsidRPr="004865EF" w14:paraId="062BAC10"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A416054"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建设项目环境影响登记表</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9191C5C"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201913108200000435</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23619E7C"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309C333"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2019</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10</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15</w:t>
            </w:r>
            <w:r w:rsidRPr="004865EF">
              <w:rPr>
                <w:rFonts w:ascii="Times New Roman" w:eastAsia="宋体" w:hAnsi="Times New Roman" w:cs="Times New Roman" w:hint="eastAsia"/>
                <w:szCs w:val="21"/>
              </w:rPr>
              <w:t>日</w:t>
            </w:r>
          </w:p>
        </w:tc>
      </w:tr>
      <w:tr w:rsidR="004865EF" w:rsidRPr="004865EF" w14:paraId="1349D75C"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54748BEC"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建设工程规划许可证</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127BF79A" w14:textId="0E32F671" w:rsidR="00F51BCD" w:rsidRPr="004865EF" w:rsidRDefault="00F51BCD"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建字第</w:t>
            </w:r>
            <w:r w:rsidRPr="004865EF">
              <w:rPr>
                <w:rFonts w:ascii="Times New Roman" w:eastAsia="宋体" w:hAnsi="Times New Roman" w:cs="Times New Roman"/>
                <w:szCs w:val="21"/>
              </w:rPr>
              <w:t>1310822019SH123</w:t>
            </w:r>
            <w:r w:rsidRPr="004865EF">
              <w:rPr>
                <w:rFonts w:ascii="Times New Roman" w:eastAsia="宋体" w:hAnsi="Times New Roman" w:cs="Times New Roman"/>
                <w:szCs w:val="21"/>
              </w:rPr>
              <w:t>号</w:t>
            </w:r>
          </w:p>
          <w:p w14:paraId="1628B9B9"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lastRenderedPageBreak/>
              <w:t>建字第</w:t>
            </w:r>
            <w:r w:rsidRPr="004865EF">
              <w:rPr>
                <w:rFonts w:ascii="Times New Roman" w:eastAsia="宋体" w:hAnsi="Times New Roman" w:cs="Times New Roman" w:hint="eastAsia"/>
                <w:szCs w:val="21"/>
              </w:rPr>
              <w:t>1</w:t>
            </w:r>
            <w:r w:rsidRPr="004865EF">
              <w:rPr>
                <w:rFonts w:ascii="Times New Roman" w:eastAsia="宋体" w:hAnsi="Times New Roman" w:cs="Times New Roman"/>
                <w:szCs w:val="21"/>
              </w:rPr>
              <w:t>310822019SH124</w:t>
            </w:r>
            <w:r w:rsidRPr="004865EF">
              <w:rPr>
                <w:rFonts w:ascii="Times New Roman" w:eastAsia="宋体" w:hAnsi="Times New Roman" w:cs="Times New Roman" w:hint="eastAsia"/>
                <w:szCs w:val="21"/>
              </w:rPr>
              <w:t>号</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3369B1A5" w14:textId="77777777" w:rsidR="00923754" w:rsidRPr="004865EF" w:rsidRDefault="00923754" w:rsidP="00A66425">
            <w:pPr>
              <w:rPr>
                <w:rFonts w:ascii="Times New Roman" w:eastAsia="宋体" w:hAnsi="Times New Roman" w:cs="Times New Roman"/>
                <w:szCs w:val="21"/>
              </w:rPr>
            </w:pPr>
            <w:proofErr w:type="gramStart"/>
            <w:r w:rsidRPr="004865EF">
              <w:rPr>
                <w:rFonts w:ascii="Times New Roman" w:eastAsia="宋体" w:hAnsi="Times New Roman" w:cs="Times New Roman" w:hint="eastAsia"/>
                <w:szCs w:val="21"/>
              </w:rPr>
              <w:lastRenderedPageBreak/>
              <w:t>燕郊高新区</w:t>
            </w:r>
            <w:proofErr w:type="gramEnd"/>
            <w:r w:rsidRPr="004865EF">
              <w:rPr>
                <w:rFonts w:ascii="Times New Roman" w:eastAsia="宋体" w:hAnsi="Times New Roman" w:cs="Times New Roman" w:hint="eastAsia"/>
                <w:szCs w:val="21"/>
              </w:rPr>
              <w:t>住房和城乡建设局</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8D0CCB2"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w:t>
            </w:r>
            <w:r w:rsidRPr="004865EF">
              <w:rPr>
                <w:rFonts w:ascii="Times New Roman" w:eastAsia="宋体" w:hAnsi="Times New Roman" w:cs="Times New Roman"/>
                <w:szCs w:val="21"/>
              </w:rPr>
              <w:t>019</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1</w:t>
            </w:r>
            <w:r w:rsidRPr="004865EF">
              <w:rPr>
                <w:rFonts w:ascii="Times New Roman" w:eastAsia="宋体" w:hAnsi="Times New Roman" w:cs="Times New Roman"/>
                <w:szCs w:val="21"/>
              </w:rPr>
              <w:t>0</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1</w:t>
            </w:r>
            <w:r w:rsidRPr="004865EF">
              <w:rPr>
                <w:rFonts w:ascii="Times New Roman" w:eastAsia="宋体" w:hAnsi="Times New Roman" w:cs="Times New Roman"/>
                <w:szCs w:val="21"/>
              </w:rPr>
              <w:t>4</w:t>
            </w:r>
            <w:r w:rsidRPr="004865EF">
              <w:rPr>
                <w:rFonts w:ascii="Times New Roman" w:eastAsia="宋体" w:hAnsi="Times New Roman" w:cs="Times New Roman" w:hint="eastAsia"/>
                <w:szCs w:val="21"/>
              </w:rPr>
              <w:t>日</w:t>
            </w:r>
          </w:p>
        </w:tc>
      </w:tr>
      <w:tr w:rsidR="004865EF" w:rsidRPr="004865EF" w14:paraId="302E7D7F"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12D7A8FC"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lastRenderedPageBreak/>
              <w:t>建设工程施工许可证</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5424FA15"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1</w:t>
            </w:r>
            <w:r w:rsidRPr="004865EF">
              <w:rPr>
                <w:rFonts w:ascii="Times New Roman" w:eastAsia="宋体" w:hAnsi="Times New Roman" w:cs="Times New Roman"/>
                <w:szCs w:val="21"/>
              </w:rPr>
              <w:t>31082201910300101</w:t>
            </w:r>
          </w:p>
          <w:p w14:paraId="767A86BD" w14:textId="2AD5714E" w:rsidR="00F51BCD" w:rsidRPr="004865EF" w:rsidRDefault="00F51BCD" w:rsidP="00A66425">
            <w:pPr>
              <w:rPr>
                <w:rFonts w:ascii="Times New Roman" w:eastAsia="宋体" w:hAnsi="Times New Roman" w:cs="Times New Roman"/>
                <w:szCs w:val="21"/>
              </w:rPr>
            </w:pPr>
            <w:r w:rsidRPr="004865EF">
              <w:rPr>
                <w:rFonts w:ascii="Times New Roman" w:eastAsia="宋体" w:hAnsi="Times New Roman" w:cs="Times New Roman"/>
                <w:szCs w:val="21"/>
              </w:rPr>
              <w:t>131082201910300201</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558FED88" w14:textId="77777777" w:rsidR="00923754" w:rsidRPr="004865EF" w:rsidRDefault="00923754" w:rsidP="00A66425">
            <w:pPr>
              <w:rPr>
                <w:rFonts w:ascii="Times New Roman" w:eastAsia="宋体" w:hAnsi="Times New Roman" w:cs="Times New Roman"/>
                <w:szCs w:val="21"/>
              </w:rPr>
            </w:pPr>
            <w:proofErr w:type="gramStart"/>
            <w:r w:rsidRPr="004865EF">
              <w:rPr>
                <w:rFonts w:ascii="Times New Roman" w:eastAsia="宋体" w:hAnsi="Times New Roman" w:cs="Times New Roman" w:hint="eastAsia"/>
                <w:szCs w:val="21"/>
              </w:rPr>
              <w:t>燕郊高新区</w:t>
            </w:r>
            <w:proofErr w:type="gramEnd"/>
            <w:r w:rsidRPr="004865EF">
              <w:rPr>
                <w:rFonts w:ascii="Times New Roman" w:eastAsia="宋体" w:hAnsi="Times New Roman" w:cs="Times New Roman" w:hint="eastAsia"/>
                <w:szCs w:val="21"/>
              </w:rPr>
              <w:t>住房和城乡建设局</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D985167"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w:t>
            </w:r>
            <w:r w:rsidRPr="004865EF">
              <w:rPr>
                <w:rFonts w:ascii="Times New Roman" w:eastAsia="宋体" w:hAnsi="Times New Roman" w:cs="Times New Roman"/>
                <w:szCs w:val="21"/>
              </w:rPr>
              <w:t>019</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1</w:t>
            </w:r>
            <w:r w:rsidRPr="004865EF">
              <w:rPr>
                <w:rFonts w:ascii="Times New Roman" w:eastAsia="宋体" w:hAnsi="Times New Roman" w:cs="Times New Roman"/>
                <w:szCs w:val="21"/>
              </w:rPr>
              <w:t>0</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3</w:t>
            </w:r>
            <w:r w:rsidRPr="004865EF">
              <w:rPr>
                <w:rFonts w:ascii="Times New Roman" w:eastAsia="宋体" w:hAnsi="Times New Roman" w:cs="Times New Roman"/>
                <w:szCs w:val="21"/>
              </w:rPr>
              <w:t>0</w:t>
            </w:r>
            <w:r w:rsidRPr="004865EF">
              <w:rPr>
                <w:rFonts w:ascii="Times New Roman" w:eastAsia="宋体" w:hAnsi="Times New Roman" w:cs="Times New Roman" w:hint="eastAsia"/>
                <w:szCs w:val="21"/>
              </w:rPr>
              <w:t>日</w:t>
            </w:r>
          </w:p>
        </w:tc>
      </w:tr>
      <w:tr w:rsidR="004865EF" w:rsidRPr="004865EF" w14:paraId="63563FF0" w14:textId="77777777" w:rsidTr="00A66425">
        <w:trPr>
          <w:trHeight w:val="397"/>
          <w:jc w:val="center"/>
        </w:trPr>
        <w:tc>
          <w:tcPr>
            <w:tcW w:w="8401" w:type="dxa"/>
            <w:gridSpan w:val="4"/>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4C96BFCD" w14:textId="78174A98" w:rsidR="00923754" w:rsidRPr="004865EF" w:rsidRDefault="00923754" w:rsidP="00A66425">
            <w:pPr>
              <w:jc w:val="left"/>
              <w:rPr>
                <w:rFonts w:ascii="Times New Roman" w:eastAsia="宋体" w:hAnsi="Times New Roman" w:cs="Times New Roman"/>
                <w:b/>
                <w:szCs w:val="21"/>
              </w:rPr>
            </w:pPr>
            <w:r w:rsidRPr="004865EF">
              <w:rPr>
                <w:rFonts w:ascii="Times New Roman" w:eastAsia="宋体" w:hAnsi="Times New Roman" w:cs="Times New Roman" w:hint="eastAsia"/>
                <w:b/>
                <w:szCs w:val="21"/>
              </w:rPr>
              <w:t>四、长沙绿色</w:t>
            </w:r>
            <w:proofErr w:type="gramStart"/>
            <w:r w:rsidRPr="004865EF">
              <w:rPr>
                <w:rFonts w:ascii="Times New Roman" w:eastAsia="宋体" w:hAnsi="Times New Roman" w:cs="Times New Roman" w:hint="eastAsia"/>
                <w:b/>
                <w:szCs w:val="21"/>
              </w:rPr>
              <w:t>云计算</w:t>
            </w:r>
            <w:proofErr w:type="gramEnd"/>
            <w:r w:rsidRPr="004865EF">
              <w:rPr>
                <w:rFonts w:ascii="Times New Roman" w:eastAsia="宋体" w:hAnsi="Times New Roman" w:cs="Times New Roman" w:hint="eastAsia"/>
                <w:b/>
                <w:szCs w:val="21"/>
              </w:rPr>
              <w:t>基地一期项目</w:t>
            </w:r>
          </w:p>
        </w:tc>
      </w:tr>
      <w:tr w:rsidR="004865EF" w:rsidRPr="004865EF" w14:paraId="26071F9E"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53E448E3"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企业投资项目备案告知承诺信息表</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7CD0387"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长高新管发计</w:t>
            </w:r>
            <w:r w:rsidRPr="004865EF">
              <w:rPr>
                <w:rFonts w:ascii="Times New Roman" w:eastAsia="宋体" w:hAnsi="Times New Roman" w:cs="Times New Roman" w:hint="eastAsia"/>
                <w:szCs w:val="21"/>
              </w:rPr>
              <w:t>[2020]136</w:t>
            </w:r>
            <w:r w:rsidRPr="004865EF">
              <w:rPr>
                <w:rFonts w:ascii="Times New Roman" w:eastAsia="宋体" w:hAnsi="Times New Roman" w:cs="Times New Roman" w:hint="eastAsia"/>
                <w:szCs w:val="21"/>
              </w:rPr>
              <w:t>号</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F0D54CC"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长沙市高新区行政审批服务局</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D7AC83D"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2020</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3</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13</w:t>
            </w:r>
            <w:r w:rsidRPr="004865EF">
              <w:rPr>
                <w:rFonts w:ascii="Times New Roman" w:eastAsia="宋体" w:hAnsi="Times New Roman" w:cs="Times New Roman" w:hint="eastAsia"/>
                <w:szCs w:val="21"/>
              </w:rPr>
              <w:t>日</w:t>
            </w:r>
          </w:p>
        </w:tc>
      </w:tr>
      <w:tr w:rsidR="004865EF" w:rsidRPr="004865EF" w14:paraId="0E44439B" w14:textId="77777777" w:rsidTr="00A66425">
        <w:trPr>
          <w:trHeight w:val="397"/>
          <w:jc w:val="center"/>
        </w:trPr>
        <w:tc>
          <w:tcPr>
            <w:tcW w:w="269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7A54B7E0"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建设项目环境影响登记表</w:t>
            </w:r>
          </w:p>
        </w:tc>
        <w:tc>
          <w:tcPr>
            <w:tcW w:w="2575"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1F1F1785"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20204301000200000020</w:t>
            </w:r>
          </w:p>
        </w:tc>
        <w:tc>
          <w:tcPr>
            <w:tcW w:w="1978"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06D608A2"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w:t>
            </w:r>
          </w:p>
        </w:tc>
        <w:tc>
          <w:tcPr>
            <w:tcW w:w="1150" w:type="dxa"/>
            <w:tcBorders>
              <w:top w:val="outset" w:sz="6" w:space="0" w:color="auto"/>
              <w:left w:val="outset" w:sz="6" w:space="0" w:color="auto"/>
              <w:bottom w:val="outset" w:sz="6" w:space="0" w:color="auto"/>
              <w:right w:val="outset" w:sz="6" w:space="0" w:color="auto"/>
            </w:tcBorders>
            <w:shd w:val="clear" w:color="auto" w:fill="auto"/>
            <w:tcMar>
              <w:top w:w="28" w:type="dxa"/>
              <w:left w:w="57" w:type="dxa"/>
              <w:bottom w:w="28" w:type="dxa"/>
              <w:right w:w="57" w:type="dxa"/>
            </w:tcMar>
            <w:vAlign w:val="center"/>
          </w:tcPr>
          <w:p w14:paraId="5C15F4FC" w14:textId="77777777" w:rsidR="00923754" w:rsidRPr="004865EF" w:rsidRDefault="00923754" w:rsidP="00A66425">
            <w:pPr>
              <w:rPr>
                <w:rFonts w:ascii="Times New Roman" w:eastAsia="宋体" w:hAnsi="Times New Roman" w:cs="Times New Roman"/>
                <w:szCs w:val="21"/>
              </w:rPr>
            </w:pPr>
            <w:r w:rsidRPr="004865EF">
              <w:rPr>
                <w:rFonts w:ascii="Times New Roman" w:eastAsia="宋体" w:hAnsi="Times New Roman" w:cs="Times New Roman" w:hint="eastAsia"/>
                <w:szCs w:val="21"/>
              </w:rPr>
              <w:t>2020</w:t>
            </w:r>
            <w:r w:rsidRPr="004865EF">
              <w:rPr>
                <w:rFonts w:ascii="Times New Roman" w:eastAsia="宋体" w:hAnsi="Times New Roman" w:cs="Times New Roman" w:hint="eastAsia"/>
                <w:szCs w:val="21"/>
              </w:rPr>
              <w:t>年</w:t>
            </w:r>
            <w:r w:rsidRPr="004865EF">
              <w:rPr>
                <w:rFonts w:ascii="Times New Roman" w:eastAsia="宋体" w:hAnsi="Times New Roman" w:cs="Times New Roman" w:hint="eastAsia"/>
                <w:szCs w:val="21"/>
              </w:rPr>
              <w:t>3</w:t>
            </w:r>
            <w:r w:rsidRPr="004865EF">
              <w:rPr>
                <w:rFonts w:ascii="Times New Roman" w:eastAsia="宋体" w:hAnsi="Times New Roman" w:cs="Times New Roman" w:hint="eastAsia"/>
                <w:szCs w:val="21"/>
              </w:rPr>
              <w:t>月</w:t>
            </w:r>
            <w:r w:rsidRPr="004865EF">
              <w:rPr>
                <w:rFonts w:ascii="Times New Roman" w:eastAsia="宋体" w:hAnsi="Times New Roman" w:cs="Times New Roman" w:hint="eastAsia"/>
                <w:szCs w:val="21"/>
              </w:rPr>
              <w:t>6</w:t>
            </w:r>
            <w:r w:rsidRPr="004865EF">
              <w:rPr>
                <w:rFonts w:ascii="Times New Roman" w:eastAsia="宋体" w:hAnsi="Times New Roman" w:cs="Times New Roman" w:hint="eastAsia"/>
                <w:szCs w:val="21"/>
              </w:rPr>
              <w:t>日</w:t>
            </w:r>
          </w:p>
        </w:tc>
      </w:tr>
    </w:tbl>
    <w:p w14:paraId="0C89442D" w14:textId="74A6AEE4" w:rsidR="0055336D" w:rsidRPr="004865EF" w:rsidRDefault="00923754" w:rsidP="00E87AF9">
      <w:pPr>
        <w:pStyle w:val="zhengwen"/>
        <w:rPr>
          <w:bCs/>
          <w:kern w:val="0"/>
          <w:szCs w:val="24"/>
          <w:lang w:bidi="en-US"/>
        </w:rPr>
      </w:pPr>
      <w:r w:rsidRPr="004865EF">
        <w:rPr>
          <w:rFonts w:hint="eastAsia"/>
          <w:bCs/>
          <w:kern w:val="0"/>
          <w:lang w:bidi="en-US"/>
        </w:rPr>
        <w:t>房山二期、嘉定二期和</w:t>
      </w:r>
      <w:proofErr w:type="gramStart"/>
      <w:r w:rsidRPr="004865EF">
        <w:rPr>
          <w:rFonts w:hint="eastAsia"/>
          <w:bCs/>
          <w:kern w:val="0"/>
          <w:lang w:bidi="en-US"/>
        </w:rPr>
        <w:t>燕郊</w:t>
      </w:r>
      <w:proofErr w:type="gramEnd"/>
      <w:r w:rsidRPr="004865EF">
        <w:rPr>
          <w:rFonts w:hint="eastAsia"/>
          <w:bCs/>
          <w:kern w:val="0"/>
          <w:lang w:bidi="en-US"/>
        </w:rPr>
        <w:t>三四期</w:t>
      </w:r>
      <w:r w:rsidR="0055336D" w:rsidRPr="004865EF">
        <w:rPr>
          <w:rFonts w:hint="eastAsia"/>
          <w:bCs/>
          <w:kern w:val="0"/>
          <w:szCs w:val="24"/>
          <w:lang w:bidi="en-US"/>
        </w:rPr>
        <w:t>项目均已取得备案及环评证明、建设工程规划许可证和建设工程施工许可证等资质或许可。长沙绿色</w:t>
      </w:r>
      <w:proofErr w:type="gramStart"/>
      <w:r w:rsidR="0055336D" w:rsidRPr="004865EF">
        <w:rPr>
          <w:rFonts w:hint="eastAsia"/>
          <w:bCs/>
          <w:kern w:val="0"/>
          <w:szCs w:val="24"/>
          <w:lang w:bidi="en-US"/>
        </w:rPr>
        <w:t>云计算</w:t>
      </w:r>
      <w:proofErr w:type="gramEnd"/>
      <w:r w:rsidR="0055336D" w:rsidRPr="004865EF">
        <w:rPr>
          <w:rFonts w:hint="eastAsia"/>
          <w:bCs/>
          <w:kern w:val="0"/>
          <w:szCs w:val="24"/>
          <w:lang w:bidi="en-US"/>
        </w:rPr>
        <w:t>基地一期项目已取得备案及环评证明，未来将办理建设规划及施工等相关手续。</w:t>
      </w:r>
    </w:p>
    <w:p w14:paraId="3AE30367" w14:textId="4B966005" w:rsidR="0055336D" w:rsidRPr="004865EF" w:rsidRDefault="0055336D" w:rsidP="00E87AF9">
      <w:pPr>
        <w:pStyle w:val="zhengwen"/>
      </w:pPr>
      <w:r w:rsidRPr="004865EF">
        <w:rPr>
          <w:rFonts w:hint="eastAsia"/>
          <w:bCs/>
          <w:kern w:val="0"/>
          <w:szCs w:val="24"/>
          <w:lang w:bidi="en-US"/>
        </w:rPr>
        <w:t>综上，发行人取得了各</w:t>
      </w:r>
      <w:proofErr w:type="gramStart"/>
      <w:r w:rsidRPr="004865EF">
        <w:rPr>
          <w:rFonts w:hint="eastAsia"/>
          <w:bCs/>
          <w:kern w:val="0"/>
          <w:szCs w:val="24"/>
          <w:lang w:bidi="en-US"/>
        </w:rPr>
        <w:t>募投项目</w:t>
      </w:r>
      <w:proofErr w:type="gramEnd"/>
      <w:r w:rsidRPr="004865EF">
        <w:rPr>
          <w:rFonts w:hint="eastAsia"/>
          <w:bCs/>
          <w:kern w:val="0"/>
          <w:szCs w:val="24"/>
          <w:lang w:bidi="en-US"/>
        </w:rPr>
        <w:t>当前阶段实施所需的全部资质或许可，相关资质或许可均在有效期内</w:t>
      </w:r>
      <w:r w:rsidR="00306C77" w:rsidRPr="004865EF">
        <w:rPr>
          <w:rFonts w:hint="eastAsia"/>
          <w:bCs/>
          <w:kern w:val="0"/>
          <w:szCs w:val="24"/>
          <w:lang w:bidi="en-US"/>
        </w:rPr>
        <w:t>；发行人将根据各</w:t>
      </w:r>
      <w:proofErr w:type="gramStart"/>
      <w:r w:rsidR="00306C77" w:rsidRPr="004865EF">
        <w:rPr>
          <w:rFonts w:hint="eastAsia"/>
          <w:bCs/>
          <w:kern w:val="0"/>
          <w:szCs w:val="24"/>
          <w:lang w:bidi="en-US"/>
        </w:rPr>
        <w:t>募投项目</w:t>
      </w:r>
      <w:proofErr w:type="gramEnd"/>
      <w:r w:rsidR="00306C77" w:rsidRPr="004865EF">
        <w:rPr>
          <w:rFonts w:hint="eastAsia"/>
          <w:bCs/>
          <w:kern w:val="0"/>
          <w:szCs w:val="24"/>
          <w:lang w:bidi="en-US"/>
        </w:rPr>
        <w:t>实际进展及相关法律法规等要求，依法办理</w:t>
      </w:r>
      <w:proofErr w:type="gramStart"/>
      <w:r w:rsidR="00306C77" w:rsidRPr="004865EF">
        <w:rPr>
          <w:rFonts w:hint="eastAsia"/>
          <w:bCs/>
          <w:kern w:val="0"/>
          <w:szCs w:val="24"/>
          <w:lang w:bidi="en-US"/>
        </w:rPr>
        <w:t>募投项目</w:t>
      </w:r>
      <w:proofErr w:type="gramEnd"/>
      <w:r w:rsidR="00306C77" w:rsidRPr="004865EF">
        <w:rPr>
          <w:rFonts w:hint="eastAsia"/>
          <w:bCs/>
          <w:kern w:val="0"/>
          <w:szCs w:val="24"/>
          <w:lang w:bidi="en-US"/>
        </w:rPr>
        <w:t>建设后续所需的其他相关资质或许可。</w:t>
      </w:r>
    </w:p>
    <w:p w14:paraId="3186BEB0" w14:textId="77777777" w:rsidR="004E5D7E" w:rsidRPr="004865EF" w:rsidRDefault="004E5D7E" w:rsidP="0066058B">
      <w:pPr>
        <w:pStyle w:val="2"/>
      </w:pPr>
      <w:bookmarkStart w:id="25" w:name="_Toc45708931"/>
      <w:bookmarkStart w:id="26" w:name="_Toc45742509"/>
      <w:r w:rsidRPr="004865EF">
        <w:rPr>
          <w:rFonts w:hint="eastAsia"/>
        </w:rPr>
        <w:t>三</w:t>
      </w:r>
      <w:r w:rsidRPr="004865EF">
        <w:t>、</w:t>
      </w:r>
      <w:r w:rsidRPr="004865EF">
        <w:rPr>
          <w:rFonts w:hint="eastAsia"/>
        </w:rPr>
        <w:t>数据中心建设相关政策变化对公司经营及</w:t>
      </w:r>
      <w:proofErr w:type="gramStart"/>
      <w:r w:rsidRPr="004865EF">
        <w:rPr>
          <w:rFonts w:hint="eastAsia"/>
        </w:rPr>
        <w:t>募投项目</w:t>
      </w:r>
      <w:proofErr w:type="gramEnd"/>
      <w:r w:rsidRPr="004865EF">
        <w:rPr>
          <w:rFonts w:hint="eastAsia"/>
        </w:rPr>
        <w:t>实施的影响。</w:t>
      </w:r>
      <w:bookmarkEnd w:id="25"/>
      <w:bookmarkEnd w:id="26"/>
    </w:p>
    <w:p w14:paraId="194E24F4" w14:textId="108A09BB" w:rsidR="004E5D7E" w:rsidRPr="004865EF" w:rsidRDefault="004E5D7E" w:rsidP="004E5D7E">
      <w:pPr>
        <w:pStyle w:val="zhengwen"/>
        <w:ind w:firstLine="482"/>
        <w:rPr>
          <w:b/>
          <w:bCs/>
        </w:rPr>
      </w:pPr>
      <w:r w:rsidRPr="004865EF">
        <w:rPr>
          <w:rFonts w:hint="eastAsia"/>
          <w:b/>
          <w:bCs/>
        </w:rPr>
        <w:t>（一）</w:t>
      </w:r>
      <w:r w:rsidRPr="004865EF">
        <w:rPr>
          <w:b/>
          <w:bCs/>
        </w:rPr>
        <w:t>数据中心建设相关政策变化情况</w:t>
      </w:r>
    </w:p>
    <w:p w14:paraId="65EC7543" w14:textId="77777777" w:rsidR="004E5D7E" w:rsidRPr="004865EF" w:rsidRDefault="004E5D7E" w:rsidP="004E5D7E">
      <w:pPr>
        <w:pStyle w:val="zhengwen"/>
      </w:pPr>
      <w:r w:rsidRPr="004865EF">
        <w:t>2015</w:t>
      </w:r>
      <w:r w:rsidRPr="004865EF">
        <w:t>年</w:t>
      </w:r>
      <w:r w:rsidRPr="004865EF">
        <w:t>1</w:t>
      </w:r>
      <w:r w:rsidRPr="004865EF">
        <w:t>月，国务院发布《关于促进云计算创新发展培育信息产业新业态的意见》（国发</w:t>
      </w:r>
      <w:r w:rsidRPr="004865EF">
        <w:t>[2015]5</w:t>
      </w:r>
      <w:r w:rsidRPr="004865EF">
        <w:t>号），指出</w:t>
      </w:r>
      <w:proofErr w:type="gramStart"/>
      <w:r w:rsidRPr="004865EF">
        <w:t>云计算</w:t>
      </w:r>
      <w:proofErr w:type="gramEnd"/>
      <w:r w:rsidRPr="004865EF">
        <w:t>是推动信息技术能力实现按需供给、促进信息技术和数据资源充分利用的全新业态，是信息化发展的重大变革和必然趋势，并明确了新建</w:t>
      </w:r>
      <w:proofErr w:type="gramStart"/>
      <w:r w:rsidRPr="004865EF">
        <w:t>大型云计算</w:t>
      </w:r>
      <w:proofErr w:type="gramEnd"/>
      <w:r w:rsidRPr="004865EF">
        <w:t>数据中心能源利用效率（</w:t>
      </w:r>
      <w:r w:rsidRPr="004865EF">
        <w:t>PUE</w:t>
      </w:r>
      <w:r w:rsidRPr="004865EF">
        <w:t>）值优于</w:t>
      </w:r>
      <w:r w:rsidRPr="004865EF">
        <w:t>1.5</w:t>
      </w:r>
      <w:r w:rsidRPr="004865EF">
        <w:t>的发展目标。北京、上海、河北和湖南等地区根据国务院的指导意见并结合本地区的情况制订了相应的政策，具体政策情况如下：</w:t>
      </w:r>
    </w:p>
    <w:p w14:paraId="3B5B7643" w14:textId="77777777" w:rsidR="004E5D7E" w:rsidRPr="004865EF" w:rsidRDefault="004E5D7E" w:rsidP="004E5D7E">
      <w:pPr>
        <w:pStyle w:val="zhengwen"/>
      </w:pPr>
      <w:r w:rsidRPr="004865EF">
        <w:t>1</w:t>
      </w:r>
      <w:r w:rsidRPr="004865EF">
        <w:t>、北京数据中心建设政策变化</w:t>
      </w:r>
    </w:p>
    <w:p w14:paraId="3ED4C9E6" w14:textId="77777777" w:rsidR="004E5D7E" w:rsidRPr="004865EF" w:rsidRDefault="004E5D7E" w:rsidP="004E5D7E">
      <w:pPr>
        <w:pStyle w:val="zhengwen"/>
      </w:pPr>
      <w:r w:rsidRPr="004865EF">
        <w:rPr>
          <w:rFonts w:hint="eastAsia"/>
        </w:rPr>
        <w:t>201</w:t>
      </w:r>
      <w:r w:rsidRPr="004865EF">
        <w:t>5</w:t>
      </w:r>
      <w:r w:rsidRPr="004865EF">
        <w:rPr>
          <w:rFonts w:hint="eastAsia"/>
        </w:rPr>
        <w:t>年</w:t>
      </w:r>
      <w:r w:rsidRPr="004865EF">
        <w:t>8</w:t>
      </w:r>
      <w:r w:rsidRPr="004865EF">
        <w:rPr>
          <w:rFonts w:hint="eastAsia"/>
        </w:rPr>
        <w:t>月</w:t>
      </w:r>
      <w:r w:rsidRPr="004865EF">
        <w:t>，北京市发布《北京市新增产业的禁止和限制目录》（</w:t>
      </w:r>
      <w:r w:rsidRPr="004865EF">
        <w:t>2015</w:t>
      </w:r>
      <w:r w:rsidRPr="004865EF">
        <w:t>年版），要求全市范围禁止新建和扩建数据处理和存储服务中银行卡中心、数据中心（</w:t>
      </w:r>
      <w:r w:rsidRPr="004865EF">
        <w:t>PUE</w:t>
      </w:r>
      <w:r w:rsidRPr="004865EF">
        <w:t>在</w:t>
      </w:r>
      <w:r w:rsidRPr="004865EF">
        <w:t>1.5</w:t>
      </w:r>
      <w:r w:rsidRPr="004865EF">
        <w:t>以下的</w:t>
      </w:r>
      <w:proofErr w:type="gramStart"/>
      <w:r w:rsidRPr="004865EF">
        <w:t>云计算</w:t>
      </w:r>
      <w:proofErr w:type="gramEnd"/>
      <w:r w:rsidRPr="004865EF">
        <w:t>数据中心除外）；</w:t>
      </w:r>
      <w:proofErr w:type="gramStart"/>
      <w:r w:rsidRPr="004865EF">
        <w:t>城六区</w:t>
      </w:r>
      <w:proofErr w:type="gramEnd"/>
      <w:r w:rsidRPr="004865EF">
        <w:rPr>
          <w:vertAlign w:val="superscript"/>
        </w:rPr>
        <w:footnoteReference w:id="1"/>
      </w:r>
      <w:r w:rsidRPr="004865EF">
        <w:t>禁止新建和扩建数据处理和存储服务中银行卡中心、数据中心。</w:t>
      </w:r>
    </w:p>
    <w:p w14:paraId="04524311" w14:textId="77777777" w:rsidR="004E5D7E" w:rsidRPr="004865EF" w:rsidRDefault="004E5D7E" w:rsidP="004E5D7E">
      <w:pPr>
        <w:pStyle w:val="zhengwen"/>
      </w:pPr>
      <w:r w:rsidRPr="004865EF">
        <w:rPr>
          <w:rFonts w:hint="eastAsia"/>
        </w:rPr>
        <w:t>2018</w:t>
      </w:r>
      <w:r w:rsidRPr="004865EF">
        <w:rPr>
          <w:rFonts w:hint="eastAsia"/>
        </w:rPr>
        <w:t>年</w:t>
      </w:r>
      <w:r w:rsidRPr="004865EF">
        <w:rPr>
          <w:rFonts w:hint="eastAsia"/>
        </w:rPr>
        <w:t>9</w:t>
      </w:r>
      <w:r w:rsidRPr="004865EF">
        <w:rPr>
          <w:rFonts w:hint="eastAsia"/>
        </w:rPr>
        <w:t>月，北京市</w:t>
      </w:r>
      <w:r w:rsidRPr="004865EF">
        <w:t>发布</w:t>
      </w:r>
      <w:r w:rsidRPr="004865EF">
        <w:rPr>
          <w:rFonts w:hint="eastAsia"/>
        </w:rPr>
        <w:t>《北京市新增产业的禁止和限制目录》（</w:t>
      </w:r>
      <w:r w:rsidRPr="004865EF">
        <w:rPr>
          <w:rFonts w:hint="eastAsia"/>
        </w:rPr>
        <w:t>2018</w:t>
      </w:r>
      <w:r w:rsidRPr="004865EF">
        <w:rPr>
          <w:rFonts w:hint="eastAsia"/>
        </w:rPr>
        <w:t>年版），</w:t>
      </w:r>
      <w:r w:rsidRPr="004865EF">
        <w:lastRenderedPageBreak/>
        <w:t>要求全市范围内禁止新建和扩建</w:t>
      </w:r>
      <w:r w:rsidRPr="004865EF">
        <w:rPr>
          <w:rFonts w:hint="eastAsia"/>
        </w:rPr>
        <w:t>互联网数据服务中的数据中心</w:t>
      </w:r>
      <w:r w:rsidRPr="004865EF">
        <w:rPr>
          <w:rFonts w:hint="eastAsia"/>
        </w:rPr>
        <w:t>/</w:t>
      </w:r>
      <w:r w:rsidRPr="004865EF">
        <w:rPr>
          <w:rFonts w:hint="eastAsia"/>
        </w:rPr>
        <w:t>信息处理和存储支持服务中的数据中心</w:t>
      </w:r>
      <w:r w:rsidRPr="004865EF">
        <w:t>（</w:t>
      </w:r>
      <w:r w:rsidRPr="004865EF">
        <w:t>PUE</w:t>
      </w:r>
      <w:r w:rsidRPr="004865EF">
        <w:t>值在</w:t>
      </w:r>
      <w:r w:rsidRPr="004865EF">
        <w:t>1.4</w:t>
      </w:r>
      <w:r w:rsidRPr="004865EF">
        <w:t>以下的</w:t>
      </w:r>
      <w:proofErr w:type="gramStart"/>
      <w:r w:rsidRPr="004865EF">
        <w:t>云计算</w:t>
      </w:r>
      <w:proofErr w:type="gramEnd"/>
      <w:r w:rsidRPr="004865EF">
        <w:t>数据中心除外）；中心城区</w:t>
      </w:r>
      <w:r w:rsidRPr="004865EF">
        <w:rPr>
          <w:vertAlign w:val="superscript"/>
        </w:rPr>
        <w:footnoteReference w:id="2"/>
      </w:r>
      <w:r w:rsidRPr="004865EF">
        <w:t>、北京城市副中心</w:t>
      </w:r>
      <w:r w:rsidRPr="004865EF">
        <w:rPr>
          <w:vertAlign w:val="superscript"/>
        </w:rPr>
        <w:footnoteReference w:id="3"/>
      </w:r>
      <w:r w:rsidRPr="004865EF">
        <w:t>禁止新建和扩建</w:t>
      </w:r>
      <w:r w:rsidRPr="004865EF">
        <w:rPr>
          <w:rFonts w:hint="eastAsia"/>
        </w:rPr>
        <w:t>互联网数据服务中的数据中心</w:t>
      </w:r>
      <w:r w:rsidRPr="004865EF">
        <w:rPr>
          <w:rFonts w:hint="eastAsia"/>
        </w:rPr>
        <w:t>/</w:t>
      </w:r>
      <w:r w:rsidRPr="004865EF">
        <w:rPr>
          <w:rFonts w:hint="eastAsia"/>
        </w:rPr>
        <w:t>信息处理和存储支持服务中的数据中心</w:t>
      </w:r>
      <w:r w:rsidRPr="004865EF">
        <w:t>。</w:t>
      </w:r>
    </w:p>
    <w:p w14:paraId="62E393BA" w14:textId="5AD35E8F" w:rsidR="004E5D7E" w:rsidRPr="004865EF" w:rsidRDefault="004E5D7E" w:rsidP="004E5D7E">
      <w:pPr>
        <w:pStyle w:val="zhengwen"/>
      </w:pPr>
      <w:r w:rsidRPr="004865EF">
        <w:t>2015</w:t>
      </w:r>
      <w:r w:rsidRPr="004865EF">
        <w:t>年版及</w:t>
      </w:r>
      <w:r w:rsidRPr="004865EF">
        <w:t>2018</w:t>
      </w:r>
      <w:r w:rsidRPr="004865EF">
        <w:t>年版《北京市新增产业的禁止和限制目录》（以下简称</w:t>
      </w:r>
      <w:r w:rsidR="00720C0D" w:rsidRPr="004865EF">
        <w:rPr>
          <w:rFonts w:hint="eastAsia"/>
        </w:rPr>
        <w:t>“</w:t>
      </w:r>
      <w:r w:rsidRPr="004865EF">
        <w:t>《目录》</w:t>
      </w:r>
      <w:r w:rsidR="00720C0D" w:rsidRPr="004865EF">
        <w:rPr>
          <w:rFonts w:hint="eastAsia"/>
        </w:rPr>
        <w:t>”</w:t>
      </w:r>
      <w:r w:rsidRPr="004865EF">
        <w:t>）均明确</w:t>
      </w:r>
      <w:r w:rsidR="00720C0D" w:rsidRPr="004865EF">
        <w:rPr>
          <w:rFonts w:hint="eastAsia"/>
        </w:rPr>
        <w:t>“</w:t>
      </w:r>
      <w:r w:rsidRPr="004865EF">
        <w:t>在途项目</w:t>
      </w:r>
      <w:r w:rsidR="00720C0D" w:rsidRPr="004865EF">
        <w:rPr>
          <w:rFonts w:hint="eastAsia"/>
        </w:rPr>
        <w:t>”</w:t>
      </w:r>
      <w:r w:rsidRPr="004865EF">
        <w:t>是指在《目录》发布前，有关审批部门已受理审批或办理完成审批的属于《目录》禁止和限制范围内的项目。在途项目不适用《目录》，但要结合</w:t>
      </w:r>
      <w:proofErr w:type="gramStart"/>
      <w:r w:rsidRPr="004865EF">
        <w:t>疏解非首都</w:t>
      </w:r>
      <w:proofErr w:type="gramEnd"/>
      <w:r w:rsidRPr="004865EF">
        <w:t>功能的要求，根据项目进度，尽可能调整项目功能，优化建设方案。</w:t>
      </w:r>
    </w:p>
    <w:p w14:paraId="4FA73B62" w14:textId="77777777" w:rsidR="004E5D7E" w:rsidRPr="004865EF" w:rsidRDefault="004E5D7E" w:rsidP="004E5D7E">
      <w:pPr>
        <w:pStyle w:val="zhengwen"/>
      </w:pPr>
      <w:r w:rsidRPr="004865EF">
        <w:t>2</w:t>
      </w:r>
      <w:r w:rsidRPr="004865EF">
        <w:t>、上海数据中心政策变化</w:t>
      </w:r>
    </w:p>
    <w:p w14:paraId="5D9DFF42" w14:textId="77777777" w:rsidR="004E5D7E" w:rsidRPr="004865EF" w:rsidRDefault="004E5D7E" w:rsidP="004E5D7E">
      <w:pPr>
        <w:pStyle w:val="zhengwen"/>
      </w:pPr>
      <w:r w:rsidRPr="004865EF">
        <w:t>2018</w:t>
      </w:r>
      <w:r w:rsidRPr="004865EF">
        <w:t>年</w:t>
      </w:r>
      <w:r w:rsidRPr="004865EF">
        <w:t>10</w:t>
      </w:r>
      <w:r w:rsidRPr="004865EF">
        <w:t>月，上海市发布《上海市推进新一代信息基础设施建设助力提升城市能级和核心竞争力三年行动计划（</w:t>
      </w:r>
      <w:r w:rsidRPr="004865EF">
        <w:t>2018-2020</w:t>
      </w:r>
      <w:r w:rsidRPr="004865EF">
        <w:t>年）》，明确</w:t>
      </w:r>
      <w:r w:rsidRPr="004865EF">
        <w:rPr>
          <w:rFonts w:hint="eastAsia"/>
        </w:rPr>
        <w:t>推进数据中心布局和加速器体系建设。</w:t>
      </w:r>
      <w:r w:rsidRPr="004865EF">
        <w:t>要求</w:t>
      </w:r>
      <w:r w:rsidRPr="004865EF">
        <w:rPr>
          <w:rFonts w:hint="eastAsia"/>
        </w:rPr>
        <w:t>统筹空间、规模、用能，加强长三角区域协同，布局高端、绿色数据中心，新建机架控制在</w:t>
      </w:r>
      <w:r w:rsidRPr="004865EF">
        <w:rPr>
          <w:rFonts w:hint="eastAsia"/>
        </w:rPr>
        <w:t>6</w:t>
      </w:r>
      <w:r w:rsidRPr="004865EF">
        <w:rPr>
          <w:rFonts w:hint="eastAsia"/>
        </w:rPr>
        <w:t>万个，总规模控制在</w:t>
      </w:r>
      <w:r w:rsidRPr="004865EF">
        <w:rPr>
          <w:rFonts w:hint="eastAsia"/>
        </w:rPr>
        <w:t>16</w:t>
      </w:r>
      <w:r w:rsidRPr="004865EF">
        <w:rPr>
          <w:rFonts w:hint="eastAsia"/>
        </w:rPr>
        <w:t>万个。推动数据中心节能技改和结构调整，存量改造数据中心</w:t>
      </w:r>
      <w:r w:rsidRPr="004865EF">
        <w:rPr>
          <w:rFonts w:hint="eastAsia"/>
        </w:rPr>
        <w:t>PUE</w:t>
      </w:r>
      <w:r w:rsidRPr="004865EF">
        <w:rPr>
          <w:rFonts w:hint="eastAsia"/>
        </w:rPr>
        <w:t>不高于</w:t>
      </w:r>
      <w:r w:rsidRPr="004865EF">
        <w:rPr>
          <w:rFonts w:hint="eastAsia"/>
        </w:rPr>
        <w:t>1.4</w:t>
      </w:r>
      <w:r w:rsidRPr="004865EF">
        <w:rPr>
          <w:rFonts w:hint="eastAsia"/>
        </w:rPr>
        <w:t>，新建数据中心</w:t>
      </w:r>
      <w:r w:rsidRPr="004865EF">
        <w:rPr>
          <w:rFonts w:hint="eastAsia"/>
        </w:rPr>
        <w:t>PUE</w:t>
      </w:r>
      <w:r w:rsidRPr="004865EF">
        <w:rPr>
          <w:rFonts w:hint="eastAsia"/>
        </w:rPr>
        <w:t>限制在</w:t>
      </w:r>
      <w:r w:rsidRPr="004865EF">
        <w:rPr>
          <w:rFonts w:hint="eastAsia"/>
        </w:rPr>
        <w:t>1.3</w:t>
      </w:r>
      <w:r w:rsidRPr="004865EF">
        <w:rPr>
          <w:rFonts w:hint="eastAsia"/>
        </w:rPr>
        <w:t>以下。</w:t>
      </w:r>
    </w:p>
    <w:p w14:paraId="11566CF5" w14:textId="77777777" w:rsidR="004E5D7E" w:rsidRPr="004865EF" w:rsidRDefault="004E5D7E" w:rsidP="004E5D7E">
      <w:pPr>
        <w:pStyle w:val="zhengwen"/>
      </w:pPr>
      <w:r w:rsidRPr="004865EF">
        <w:t>3</w:t>
      </w:r>
      <w:r w:rsidRPr="004865EF">
        <w:t>、河北省数据中心政策</w:t>
      </w:r>
    </w:p>
    <w:p w14:paraId="3B9EAEA6" w14:textId="77777777" w:rsidR="004E5D7E" w:rsidRPr="004865EF" w:rsidRDefault="004E5D7E" w:rsidP="004E5D7E">
      <w:pPr>
        <w:pStyle w:val="zhengwen"/>
      </w:pPr>
      <w:r w:rsidRPr="004865EF">
        <w:t>2015</w:t>
      </w:r>
      <w:r w:rsidRPr="004865EF">
        <w:t>年</w:t>
      </w:r>
      <w:r w:rsidRPr="004865EF">
        <w:t>5</w:t>
      </w:r>
      <w:r w:rsidRPr="004865EF">
        <w:t>月，河北省人民政府印发《关于促进云计算创新发展培育信息产业新业态的实施意见》（冀政发〔</w:t>
      </w:r>
      <w:r w:rsidRPr="004865EF">
        <w:t>2015</w:t>
      </w:r>
      <w:r w:rsidRPr="004865EF">
        <w:t>〕</w:t>
      </w:r>
      <w:r w:rsidRPr="004865EF">
        <w:t>20</w:t>
      </w:r>
      <w:r w:rsidRPr="004865EF">
        <w:t>号），明确新建</w:t>
      </w:r>
      <w:proofErr w:type="gramStart"/>
      <w:r w:rsidRPr="004865EF">
        <w:t>大型云计算</w:t>
      </w:r>
      <w:proofErr w:type="gramEnd"/>
      <w:r w:rsidRPr="004865EF">
        <w:t>数据中心能源利用效率（</w:t>
      </w:r>
      <w:r w:rsidRPr="004865EF">
        <w:t>PUE</w:t>
      </w:r>
      <w:r w:rsidRPr="004865EF">
        <w:t>）值优于</w:t>
      </w:r>
      <w:r w:rsidRPr="004865EF">
        <w:t>1.5</w:t>
      </w:r>
      <w:r w:rsidRPr="004865EF">
        <w:t>的发展目标。</w:t>
      </w:r>
    </w:p>
    <w:p w14:paraId="519EE042" w14:textId="77777777" w:rsidR="004E5D7E" w:rsidRPr="004865EF" w:rsidRDefault="004E5D7E" w:rsidP="004E5D7E">
      <w:pPr>
        <w:pStyle w:val="zhengwen"/>
      </w:pPr>
      <w:r w:rsidRPr="004865EF">
        <w:t>4</w:t>
      </w:r>
      <w:r w:rsidRPr="004865EF">
        <w:t>、湖南省数据中心政策</w:t>
      </w:r>
    </w:p>
    <w:p w14:paraId="570E2887" w14:textId="12C50D2B" w:rsidR="004E5D7E" w:rsidRPr="004865EF" w:rsidRDefault="004E5D7E" w:rsidP="004E5D7E">
      <w:pPr>
        <w:pStyle w:val="zhengwen"/>
      </w:pPr>
      <w:r w:rsidRPr="004865EF">
        <w:t>2017</w:t>
      </w:r>
      <w:r w:rsidRPr="004865EF">
        <w:t>年</w:t>
      </w:r>
      <w:r w:rsidRPr="004865EF">
        <w:t>10</w:t>
      </w:r>
      <w:r w:rsidRPr="004865EF">
        <w:t>月，湖南省人民政府印发《湖南省</w:t>
      </w:r>
      <w:r w:rsidR="00720C0D" w:rsidRPr="004865EF">
        <w:rPr>
          <w:rFonts w:hint="eastAsia"/>
        </w:rPr>
        <w:t>“</w:t>
      </w:r>
      <w:r w:rsidR="00E6271C" w:rsidRPr="004865EF">
        <w:rPr>
          <w:rFonts w:hint="eastAsia"/>
        </w:rPr>
        <w:t>十三五</w:t>
      </w:r>
      <w:r w:rsidR="00720C0D" w:rsidRPr="004865EF">
        <w:rPr>
          <w:rFonts w:hint="eastAsia"/>
        </w:rPr>
        <w:t>”</w:t>
      </w:r>
      <w:r w:rsidRPr="004865EF">
        <w:t>节能减排综合工作方案》，明确进一步推广云计算技术应用，新建</w:t>
      </w:r>
      <w:proofErr w:type="gramStart"/>
      <w:r w:rsidRPr="004865EF">
        <w:t>大型云计算</w:t>
      </w:r>
      <w:proofErr w:type="gramEnd"/>
      <w:r w:rsidRPr="004865EF">
        <w:t>数据中心能源利用效率（</w:t>
      </w:r>
      <w:r w:rsidRPr="004865EF">
        <w:t>PUE</w:t>
      </w:r>
      <w:r w:rsidRPr="004865EF">
        <w:t>）值优于</w:t>
      </w:r>
      <w:r w:rsidRPr="004865EF">
        <w:t>1.5</w:t>
      </w:r>
      <w:r w:rsidRPr="004865EF">
        <w:t>。</w:t>
      </w:r>
    </w:p>
    <w:p w14:paraId="5535BA1A" w14:textId="77777777" w:rsidR="004E5D7E" w:rsidRPr="004865EF" w:rsidRDefault="004E5D7E" w:rsidP="004E5D7E">
      <w:pPr>
        <w:pStyle w:val="zhengwen"/>
        <w:ind w:firstLine="482"/>
        <w:rPr>
          <w:b/>
          <w:bCs/>
        </w:rPr>
      </w:pPr>
      <w:r w:rsidRPr="004865EF">
        <w:rPr>
          <w:rFonts w:hint="eastAsia"/>
          <w:b/>
          <w:bCs/>
        </w:rPr>
        <w:t>（二）</w:t>
      </w:r>
      <w:r w:rsidRPr="004865EF">
        <w:rPr>
          <w:b/>
          <w:bCs/>
        </w:rPr>
        <w:t>数据中心建设相关政策变化对公司经营及</w:t>
      </w:r>
      <w:proofErr w:type="gramStart"/>
      <w:r w:rsidRPr="004865EF">
        <w:rPr>
          <w:b/>
          <w:bCs/>
        </w:rPr>
        <w:t>募投项目</w:t>
      </w:r>
      <w:proofErr w:type="gramEnd"/>
      <w:r w:rsidRPr="004865EF">
        <w:rPr>
          <w:b/>
          <w:bCs/>
        </w:rPr>
        <w:t>实施的影响</w:t>
      </w:r>
    </w:p>
    <w:p w14:paraId="09316957" w14:textId="15BE7414" w:rsidR="004E5D7E" w:rsidRPr="004865EF" w:rsidRDefault="004E5D7E" w:rsidP="00E87AF9">
      <w:pPr>
        <w:pStyle w:val="zhengwen"/>
        <w:rPr>
          <w:bCs/>
        </w:rPr>
      </w:pPr>
      <w:r w:rsidRPr="004865EF">
        <w:rPr>
          <w:rFonts w:hint="eastAsia"/>
          <w:bCs/>
        </w:rPr>
        <w:lastRenderedPageBreak/>
        <w:t>发行人</w:t>
      </w:r>
      <w:proofErr w:type="gramStart"/>
      <w:r w:rsidRPr="004865EF">
        <w:rPr>
          <w:rFonts w:hint="eastAsia"/>
          <w:bCs/>
        </w:rPr>
        <w:t>募投项目</w:t>
      </w:r>
      <w:proofErr w:type="gramEnd"/>
      <w:r w:rsidRPr="004865EF">
        <w:rPr>
          <w:rFonts w:hint="eastAsia"/>
          <w:bCs/>
        </w:rPr>
        <w:t>的</w:t>
      </w:r>
      <w:r w:rsidRPr="004865EF">
        <w:rPr>
          <w:bCs/>
        </w:rPr>
        <w:t>PUE</w:t>
      </w:r>
      <w:r w:rsidRPr="004865EF">
        <w:rPr>
          <w:rFonts w:hint="eastAsia"/>
          <w:bCs/>
        </w:rPr>
        <w:t>和建设情况如下：</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164"/>
        <w:gridCol w:w="1134"/>
        <w:gridCol w:w="858"/>
        <w:gridCol w:w="2072"/>
        <w:gridCol w:w="1701"/>
      </w:tblGrid>
      <w:tr w:rsidR="004865EF" w:rsidRPr="004865EF" w14:paraId="473C1395" w14:textId="77777777" w:rsidTr="00A66425">
        <w:trPr>
          <w:trHeight w:val="397"/>
          <w:jc w:val="center"/>
        </w:trPr>
        <w:tc>
          <w:tcPr>
            <w:tcW w:w="666" w:type="dxa"/>
            <w:shd w:val="clear" w:color="auto" w:fill="auto"/>
            <w:noWrap/>
            <w:vAlign w:val="center"/>
          </w:tcPr>
          <w:p w14:paraId="47A2E5AD"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hint="eastAsia"/>
                <w:bCs/>
                <w:szCs w:val="21"/>
              </w:rPr>
              <w:t>序号</w:t>
            </w:r>
          </w:p>
        </w:tc>
        <w:tc>
          <w:tcPr>
            <w:tcW w:w="2164" w:type="dxa"/>
            <w:shd w:val="clear" w:color="auto" w:fill="auto"/>
            <w:noWrap/>
            <w:vAlign w:val="center"/>
          </w:tcPr>
          <w:p w14:paraId="4F520B18"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hint="eastAsia"/>
                <w:bCs/>
                <w:szCs w:val="21"/>
              </w:rPr>
              <w:t>数据中心</w:t>
            </w:r>
          </w:p>
        </w:tc>
        <w:tc>
          <w:tcPr>
            <w:tcW w:w="1134" w:type="dxa"/>
            <w:shd w:val="clear" w:color="auto" w:fill="auto"/>
            <w:noWrap/>
            <w:vAlign w:val="center"/>
          </w:tcPr>
          <w:p w14:paraId="19806B1E" w14:textId="77777777" w:rsidR="004E5D7E" w:rsidRPr="004865EF" w:rsidRDefault="004E5D7E" w:rsidP="004E5D7E">
            <w:pPr>
              <w:widowControl/>
              <w:jc w:val="center"/>
              <w:textAlignment w:val="center"/>
              <w:rPr>
                <w:rFonts w:ascii="Times New Roman" w:eastAsia="宋体" w:hAnsi="Times New Roman" w:cs="Times New Roman"/>
                <w:bCs/>
                <w:szCs w:val="21"/>
              </w:rPr>
            </w:pPr>
            <w:r w:rsidRPr="004865EF">
              <w:rPr>
                <w:rFonts w:ascii="Times New Roman" w:eastAsia="宋体" w:hAnsi="Times New Roman" w:cs="Times New Roman" w:hint="eastAsia"/>
                <w:bCs/>
                <w:szCs w:val="21"/>
                <w:lang w:bidi="ar"/>
              </w:rPr>
              <w:t>公司</w:t>
            </w:r>
          </w:p>
        </w:tc>
        <w:tc>
          <w:tcPr>
            <w:tcW w:w="858" w:type="dxa"/>
            <w:shd w:val="clear" w:color="auto" w:fill="auto"/>
            <w:noWrap/>
            <w:vAlign w:val="center"/>
          </w:tcPr>
          <w:p w14:paraId="6E9A17BE"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PUE</w:t>
            </w:r>
          </w:p>
        </w:tc>
        <w:tc>
          <w:tcPr>
            <w:tcW w:w="2072" w:type="dxa"/>
            <w:shd w:val="clear" w:color="auto" w:fill="auto"/>
            <w:noWrap/>
            <w:vAlign w:val="center"/>
          </w:tcPr>
          <w:p w14:paraId="288DB68E"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hint="eastAsia"/>
                <w:bCs/>
                <w:szCs w:val="21"/>
              </w:rPr>
              <w:t>备案时间</w:t>
            </w:r>
          </w:p>
        </w:tc>
        <w:tc>
          <w:tcPr>
            <w:tcW w:w="1701" w:type="dxa"/>
            <w:shd w:val="clear" w:color="auto" w:fill="auto"/>
            <w:noWrap/>
            <w:vAlign w:val="center"/>
          </w:tcPr>
          <w:p w14:paraId="5FA13A07"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hint="eastAsia"/>
                <w:bCs/>
                <w:szCs w:val="21"/>
              </w:rPr>
              <w:t>所在地点</w:t>
            </w:r>
          </w:p>
        </w:tc>
      </w:tr>
      <w:tr w:rsidR="004865EF" w:rsidRPr="004865EF" w14:paraId="05BBFE89" w14:textId="77777777" w:rsidTr="00A66425">
        <w:trPr>
          <w:trHeight w:val="397"/>
          <w:jc w:val="center"/>
        </w:trPr>
        <w:tc>
          <w:tcPr>
            <w:tcW w:w="666" w:type="dxa"/>
            <w:shd w:val="clear" w:color="auto" w:fill="auto"/>
            <w:noWrap/>
            <w:vAlign w:val="center"/>
          </w:tcPr>
          <w:p w14:paraId="66C80A53"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1</w:t>
            </w:r>
          </w:p>
        </w:tc>
        <w:tc>
          <w:tcPr>
            <w:tcW w:w="2164" w:type="dxa"/>
            <w:shd w:val="clear" w:color="auto" w:fill="auto"/>
            <w:noWrap/>
            <w:vAlign w:val="center"/>
          </w:tcPr>
          <w:p w14:paraId="23411222" w14:textId="77777777" w:rsidR="004E5D7E" w:rsidRPr="004865EF" w:rsidRDefault="004E5D7E" w:rsidP="00A66425">
            <w:pPr>
              <w:widowControl/>
              <w:jc w:val="left"/>
              <w:rPr>
                <w:rFonts w:ascii="Times New Roman" w:eastAsia="宋体" w:hAnsi="Times New Roman" w:cs="Times New Roman"/>
                <w:bCs/>
                <w:szCs w:val="21"/>
              </w:rPr>
            </w:pPr>
            <w:r w:rsidRPr="004865EF">
              <w:rPr>
                <w:rFonts w:ascii="Times New Roman" w:eastAsia="宋体" w:hAnsi="Times New Roman" w:cs="Times New Roman" w:hint="eastAsia"/>
                <w:bCs/>
                <w:szCs w:val="21"/>
              </w:rPr>
              <w:t>北京房山绿色</w:t>
            </w:r>
            <w:proofErr w:type="gramStart"/>
            <w:r w:rsidRPr="004865EF">
              <w:rPr>
                <w:rFonts w:ascii="Times New Roman" w:eastAsia="宋体" w:hAnsi="Times New Roman" w:cs="Times New Roman" w:hint="eastAsia"/>
                <w:bCs/>
                <w:szCs w:val="21"/>
              </w:rPr>
              <w:t>云计算</w:t>
            </w:r>
            <w:proofErr w:type="gramEnd"/>
            <w:r w:rsidRPr="004865EF">
              <w:rPr>
                <w:rFonts w:ascii="Times New Roman" w:eastAsia="宋体" w:hAnsi="Times New Roman" w:cs="Times New Roman" w:hint="eastAsia"/>
                <w:bCs/>
                <w:szCs w:val="21"/>
              </w:rPr>
              <w:t>数据中心二期项目</w:t>
            </w:r>
          </w:p>
        </w:tc>
        <w:tc>
          <w:tcPr>
            <w:tcW w:w="1134" w:type="dxa"/>
            <w:shd w:val="clear" w:color="auto" w:fill="auto"/>
            <w:noWrap/>
            <w:vAlign w:val="center"/>
          </w:tcPr>
          <w:p w14:paraId="12615F1F" w14:textId="77777777" w:rsidR="004E5D7E" w:rsidRPr="004865EF" w:rsidRDefault="004E5D7E" w:rsidP="004E5D7E">
            <w:pPr>
              <w:widowControl/>
              <w:jc w:val="center"/>
              <w:textAlignment w:val="center"/>
              <w:rPr>
                <w:rFonts w:ascii="Times New Roman" w:eastAsia="宋体" w:hAnsi="Times New Roman" w:cs="Times New Roman"/>
                <w:bCs/>
                <w:szCs w:val="21"/>
              </w:rPr>
            </w:pPr>
            <w:proofErr w:type="gramStart"/>
            <w:r w:rsidRPr="004865EF">
              <w:rPr>
                <w:rFonts w:ascii="Times New Roman" w:eastAsia="宋体" w:hAnsi="Times New Roman" w:cs="Times New Roman" w:hint="eastAsia"/>
                <w:bCs/>
                <w:szCs w:val="21"/>
                <w:lang w:bidi="ar"/>
              </w:rPr>
              <w:t>德信致远</w:t>
            </w:r>
            <w:proofErr w:type="gramEnd"/>
          </w:p>
        </w:tc>
        <w:tc>
          <w:tcPr>
            <w:tcW w:w="858" w:type="dxa"/>
            <w:shd w:val="clear" w:color="auto" w:fill="auto"/>
            <w:noWrap/>
            <w:vAlign w:val="center"/>
          </w:tcPr>
          <w:p w14:paraId="3C8AE7A7"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1.30</w:t>
            </w:r>
          </w:p>
        </w:tc>
        <w:tc>
          <w:tcPr>
            <w:tcW w:w="2072" w:type="dxa"/>
            <w:shd w:val="clear" w:color="auto" w:fill="auto"/>
            <w:noWrap/>
            <w:vAlign w:val="center"/>
          </w:tcPr>
          <w:p w14:paraId="37E5BEC5"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2016</w:t>
            </w:r>
            <w:r w:rsidRPr="004865EF">
              <w:rPr>
                <w:rFonts w:ascii="Times New Roman" w:eastAsia="宋体" w:hAnsi="Times New Roman" w:cs="Times New Roman" w:hint="eastAsia"/>
                <w:bCs/>
                <w:szCs w:val="21"/>
              </w:rPr>
              <w:t>年</w:t>
            </w:r>
            <w:r w:rsidRPr="004865EF">
              <w:rPr>
                <w:rFonts w:ascii="Times New Roman" w:eastAsia="宋体" w:hAnsi="Times New Roman" w:cs="Times New Roman"/>
                <w:bCs/>
                <w:szCs w:val="21"/>
              </w:rPr>
              <w:t>9</w:t>
            </w:r>
            <w:r w:rsidRPr="004865EF">
              <w:rPr>
                <w:rFonts w:ascii="Times New Roman" w:eastAsia="宋体" w:hAnsi="Times New Roman" w:cs="Times New Roman" w:hint="eastAsia"/>
                <w:bCs/>
                <w:szCs w:val="21"/>
              </w:rPr>
              <w:t>月</w:t>
            </w:r>
            <w:r w:rsidRPr="004865EF">
              <w:rPr>
                <w:rFonts w:ascii="Times New Roman" w:eastAsia="宋体" w:hAnsi="Times New Roman" w:cs="Times New Roman"/>
                <w:bCs/>
                <w:szCs w:val="21"/>
              </w:rPr>
              <w:t>26</w:t>
            </w:r>
            <w:r w:rsidRPr="004865EF">
              <w:rPr>
                <w:rFonts w:ascii="Times New Roman" w:eastAsia="宋体" w:hAnsi="Times New Roman" w:cs="Times New Roman" w:hint="eastAsia"/>
                <w:bCs/>
                <w:szCs w:val="21"/>
              </w:rPr>
              <w:t>日</w:t>
            </w:r>
          </w:p>
        </w:tc>
        <w:tc>
          <w:tcPr>
            <w:tcW w:w="1701" w:type="dxa"/>
            <w:shd w:val="clear" w:color="auto" w:fill="auto"/>
            <w:noWrap/>
            <w:vAlign w:val="center"/>
          </w:tcPr>
          <w:p w14:paraId="03D461E3"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hint="eastAsia"/>
                <w:bCs/>
                <w:szCs w:val="21"/>
              </w:rPr>
              <w:t>北京市房山区</w:t>
            </w:r>
          </w:p>
        </w:tc>
      </w:tr>
      <w:tr w:rsidR="004865EF" w:rsidRPr="004865EF" w14:paraId="6C4DDA12" w14:textId="77777777" w:rsidTr="00A66425">
        <w:trPr>
          <w:trHeight w:val="397"/>
          <w:jc w:val="center"/>
        </w:trPr>
        <w:tc>
          <w:tcPr>
            <w:tcW w:w="666" w:type="dxa"/>
            <w:shd w:val="clear" w:color="auto" w:fill="auto"/>
            <w:noWrap/>
            <w:vAlign w:val="center"/>
          </w:tcPr>
          <w:p w14:paraId="182082AC"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2</w:t>
            </w:r>
          </w:p>
        </w:tc>
        <w:tc>
          <w:tcPr>
            <w:tcW w:w="2164" w:type="dxa"/>
            <w:shd w:val="clear" w:color="auto" w:fill="auto"/>
            <w:noWrap/>
            <w:vAlign w:val="center"/>
          </w:tcPr>
          <w:p w14:paraId="3241BD1A" w14:textId="77777777" w:rsidR="004E5D7E" w:rsidRPr="004865EF" w:rsidRDefault="004E5D7E" w:rsidP="00A66425">
            <w:pPr>
              <w:widowControl/>
              <w:jc w:val="left"/>
              <w:rPr>
                <w:rFonts w:ascii="Times New Roman" w:eastAsia="宋体" w:hAnsi="Times New Roman" w:cs="Times New Roman"/>
                <w:bCs/>
                <w:szCs w:val="21"/>
              </w:rPr>
            </w:pPr>
            <w:r w:rsidRPr="004865EF">
              <w:rPr>
                <w:rFonts w:ascii="Times New Roman" w:eastAsia="宋体" w:hAnsi="Times New Roman" w:cs="Times New Roman" w:hint="eastAsia"/>
                <w:bCs/>
                <w:szCs w:val="21"/>
              </w:rPr>
              <w:t>上海嘉定绿色</w:t>
            </w:r>
            <w:proofErr w:type="gramStart"/>
            <w:r w:rsidRPr="004865EF">
              <w:rPr>
                <w:rFonts w:ascii="Times New Roman" w:eastAsia="宋体" w:hAnsi="Times New Roman" w:cs="Times New Roman" w:hint="eastAsia"/>
                <w:bCs/>
                <w:szCs w:val="21"/>
              </w:rPr>
              <w:t>云计算</w:t>
            </w:r>
            <w:proofErr w:type="gramEnd"/>
            <w:r w:rsidRPr="004865EF">
              <w:rPr>
                <w:rFonts w:ascii="Times New Roman" w:eastAsia="宋体" w:hAnsi="Times New Roman" w:cs="Times New Roman" w:hint="eastAsia"/>
                <w:bCs/>
                <w:szCs w:val="21"/>
              </w:rPr>
              <w:t>基地二期项目</w:t>
            </w:r>
          </w:p>
        </w:tc>
        <w:tc>
          <w:tcPr>
            <w:tcW w:w="1134" w:type="dxa"/>
            <w:shd w:val="clear" w:color="auto" w:fill="auto"/>
            <w:noWrap/>
            <w:vAlign w:val="center"/>
          </w:tcPr>
          <w:p w14:paraId="1F006643" w14:textId="77777777" w:rsidR="004E5D7E" w:rsidRPr="004865EF" w:rsidRDefault="004E5D7E" w:rsidP="004E5D7E">
            <w:pPr>
              <w:widowControl/>
              <w:jc w:val="center"/>
              <w:textAlignment w:val="center"/>
              <w:rPr>
                <w:rFonts w:ascii="Times New Roman" w:eastAsia="宋体" w:hAnsi="Times New Roman" w:cs="Times New Roman"/>
                <w:bCs/>
                <w:szCs w:val="21"/>
              </w:rPr>
            </w:pPr>
            <w:r w:rsidRPr="004865EF">
              <w:rPr>
                <w:rFonts w:ascii="Times New Roman" w:eastAsia="宋体" w:hAnsi="Times New Roman" w:cs="Times New Roman" w:hint="eastAsia"/>
                <w:bCs/>
                <w:szCs w:val="21"/>
                <w:lang w:bidi="ar"/>
              </w:rPr>
              <w:t>上海中可</w:t>
            </w:r>
          </w:p>
        </w:tc>
        <w:tc>
          <w:tcPr>
            <w:tcW w:w="858" w:type="dxa"/>
            <w:shd w:val="clear" w:color="auto" w:fill="auto"/>
            <w:noWrap/>
            <w:vAlign w:val="center"/>
          </w:tcPr>
          <w:p w14:paraId="6D5FEDAE"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1.30</w:t>
            </w:r>
          </w:p>
        </w:tc>
        <w:tc>
          <w:tcPr>
            <w:tcW w:w="2072" w:type="dxa"/>
            <w:shd w:val="clear" w:color="auto" w:fill="auto"/>
            <w:noWrap/>
            <w:vAlign w:val="center"/>
          </w:tcPr>
          <w:p w14:paraId="142E2825"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2019</w:t>
            </w:r>
            <w:r w:rsidRPr="004865EF">
              <w:rPr>
                <w:rFonts w:ascii="Times New Roman" w:eastAsia="宋体" w:hAnsi="Times New Roman" w:cs="Times New Roman" w:hint="eastAsia"/>
                <w:bCs/>
                <w:szCs w:val="21"/>
              </w:rPr>
              <w:t>年</w:t>
            </w:r>
            <w:r w:rsidRPr="004865EF">
              <w:rPr>
                <w:rFonts w:ascii="Times New Roman" w:eastAsia="宋体" w:hAnsi="Times New Roman" w:cs="Times New Roman"/>
                <w:bCs/>
                <w:szCs w:val="21"/>
              </w:rPr>
              <w:t>10</w:t>
            </w:r>
            <w:r w:rsidRPr="004865EF">
              <w:rPr>
                <w:rFonts w:ascii="Times New Roman" w:eastAsia="宋体" w:hAnsi="Times New Roman" w:cs="Times New Roman" w:hint="eastAsia"/>
                <w:bCs/>
                <w:szCs w:val="21"/>
              </w:rPr>
              <w:t>月</w:t>
            </w:r>
            <w:r w:rsidRPr="004865EF">
              <w:rPr>
                <w:rFonts w:ascii="Times New Roman" w:eastAsia="宋体" w:hAnsi="Times New Roman" w:cs="Times New Roman"/>
                <w:bCs/>
                <w:szCs w:val="21"/>
              </w:rPr>
              <w:t>22</w:t>
            </w:r>
            <w:r w:rsidRPr="004865EF">
              <w:rPr>
                <w:rFonts w:ascii="Times New Roman" w:eastAsia="宋体" w:hAnsi="Times New Roman" w:cs="Times New Roman" w:hint="eastAsia"/>
                <w:bCs/>
                <w:szCs w:val="21"/>
              </w:rPr>
              <w:t>日</w:t>
            </w:r>
          </w:p>
        </w:tc>
        <w:tc>
          <w:tcPr>
            <w:tcW w:w="1701" w:type="dxa"/>
            <w:shd w:val="clear" w:color="auto" w:fill="auto"/>
            <w:noWrap/>
            <w:vAlign w:val="center"/>
          </w:tcPr>
          <w:p w14:paraId="49C6D7B3"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hint="eastAsia"/>
                <w:bCs/>
                <w:szCs w:val="21"/>
              </w:rPr>
              <w:t>上海市嘉定区</w:t>
            </w:r>
          </w:p>
        </w:tc>
      </w:tr>
      <w:tr w:rsidR="004865EF" w:rsidRPr="004865EF" w14:paraId="285D642F" w14:textId="77777777" w:rsidTr="00A66425">
        <w:trPr>
          <w:trHeight w:val="397"/>
          <w:jc w:val="center"/>
        </w:trPr>
        <w:tc>
          <w:tcPr>
            <w:tcW w:w="666" w:type="dxa"/>
            <w:shd w:val="clear" w:color="auto" w:fill="auto"/>
            <w:noWrap/>
            <w:vAlign w:val="center"/>
          </w:tcPr>
          <w:p w14:paraId="01B3E1E6"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3</w:t>
            </w:r>
          </w:p>
        </w:tc>
        <w:tc>
          <w:tcPr>
            <w:tcW w:w="2164" w:type="dxa"/>
            <w:shd w:val="clear" w:color="auto" w:fill="auto"/>
            <w:noWrap/>
            <w:vAlign w:val="center"/>
          </w:tcPr>
          <w:p w14:paraId="6CEDE3AF" w14:textId="77777777" w:rsidR="004E5D7E" w:rsidRPr="004865EF" w:rsidRDefault="004E5D7E" w:rsidP="00A66425">
            <w:pPr>
              <w:widowControl/>
              <w:jc w:val="left"/>
              <w:rPr>
                <w:rFonts w:ascii="Times New Roman" w:eastAsia="宋体" w:hAnsi="Times New Roman" w:cs="Times New Roman"/>
                <w:bCs/>
                <w:szCs w:val="21"/>
              </w:rPr>
            </w:pPr>
            <w:r w:rsidRPr="004865EF">
              <w:rPr>
                <w:rFonts w:ascii="Times New Roman" w:eastAsia="宋体" w:hAnsi="Times New Roman" w:cs="Times New Roman" w:hint="eastAsia"/>
                <w:bCs/>
                <w:szCs w:val="21"/>
              </w:rPr>
              <w:t>燕郊绿色</w:t>
            </w:r>
            <w:proofErr w:type="gramStart"/>
            <w:r w:rsidRPr="004865EF">
              <w:rPr>
                <w:rFonts w:ascii="Times New Roman" w:eastAsia="宋体" w:hAnsi="Times New Roman" w:cs="Times New Roman" w:hint="eastAsia"/>
                <w:bCs/>
                <w:szCs w:val="21"/>
              </w:rPr>
              <w:t>云计算</w:t>
            </w:r>
            <w:proofErr w:type="gramEnd"/>
            <w:r w:rsidRPr="004865EF">
              <w:rPr>
                <w:rFonts w:ascii="Times New Roman" w:eastAsia="宋体" w:hAnsi="Times New Roman" w:cs="Times New Roman" w:hint="eastAsia"/>
                <w:bCs/>
                <w:szCs w:val="21"/>
              </w:rPr>
              <w:t>基地三四期项目</w:t>
            </w:r>
          </w:p>
        </w:tc>
        <w:tc>
          <w:tcPr>
            <w:tcW w:w="1134" w:type="dxa"/>
            <w:shd w:val="clear" w:color="auto" w:fill="auto"/>
            <w:noWrap/>
            <w:vAlign w:val="center"/>
          </w:tcPr>
          <w:p w14:paraId="7D449414" w14:textId="77777777" w:rsidR="004E5D7E" w:rsidRPr="004865EF" w:rsidRDefault="004E5D7E" w:rsidP="004E5D7E">
            <w:pPr>
              <w:widowControl/>
              <w:jc w:val="center"/>
              <w:textAlignment w:val="center"/>
              <w:rPr>
                <w:rFonts w:ascii="Times New Roman" w:eastAsia="宋体" w:hAnsi="Times New Roman" w:cs="Times New Roman"/>
                <w:bCs/>
                <w:szCs w:val="21"/>
              </w:rPr>
            </w:pPr>
            <w:r w:rsidRPr="004865EF">
              <w:rPr>
                <w:rFonts w:ascii="Times New Roman" w:eastAsia="宋体" w:hAnsi="Times New Roman" w:cs="Times New Roman" w:hint="eastAsia"/>
                <w:bCs/>
                <w:szCs w:val="21"/>
                <w:lang w:bidi="ar"/>
              </w:rPr>
              <w:t>智达云创</w:t>
            </w:r>
          </w:p>
        </w:tc>
        <w:tc>
          <w:tcPr>
            <w:tcW w:w="858" w:type="dxa"/>
            <w:shd w:val="clear" w:color="auto" w:fill="auto"/>
            <w:noWrap/>
            <w:vAlign w:val="center"/>
          </w:tcPr>
          <w:p w14:paraId="4AF1BC93"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1.40</w:t>
            </w:r>
          </w:p>
        </w:tc>
        <w:tc>
          <w:tcPr>
            <w:tcW w:w="2072" w:type="dxa"/>
            <w:shd w:val="clear" w:color="auto" w:fill="auto"/>
            <w:noWrap/>
            <w:vAlign w:val="center"/>
          </w:tcPr>
          <w:p w14:paraId="36DC303D"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2019</w:t>
            </w:r>
            <w:r w:rsidRPr="004865EF">
              <w:rPr>
                <w:rFonts w:ascii="Times New Roman" w:eastAsia="宋体" w:hAnsi="Times New Roman" w:cs="Times New Roman" w:hint="eastAsia"/>
                <w:bCs/>
                <w:szCs w:val="21"/>
              </w:rPr>
              <w:t>年</w:t>
            </w:r>
            <w:r w:rsidRPr="004865EF">
              <w:rPr>
                <w:rFonts w:ascii="Times New Roman" w:eastAsia="宋体" w:hAnsi="Times New Roman" w:cs="Times New Roman"/>
                <w:bCs/>
                <w:szCs w:val="21"/>
              </w:rPr>
              <w:t>10</w:t>
            </w:r>
            <w:r w:rsidRPr="004865EF">
              <w:rPr>
                <w:rFonts w:ascii="Times New Roman" w:eastAsia="宋体" w:hAnsi="Times New Roman" w:cs="Times New Roman" w:hint="eastAsia"/>
                <w:bCs/>
                <w:szCs w:val="21"/>
              </w:rPr>
              <w:t>月</w:t>
            </w:r>
            <w:r w:rsidRPr="004865EF">
              <w:rPr>
                <w:rFonts w:ascii="Times New Roman" w:eastAsia="宋体" w:hAnsi="Times New Roman" w:cs="Times New Roman"/>
                <w:bCs/>
                <w:szCs w:val="21"/>
              </w:rPr>
              <w:t>14</w:t>
            </w:r>
            <w:r w:rsidRPr="004865EF">
              <w:rPr>
                <w:rFonts w:ascii="Times New Roman" w:eastAsia="宋体" w:hAnsi="Times New Roman" w:cs="Times New Roman" w:hint="eastAsia"/>
                <w:bCs/>
                <w:szCs w:val="21"/>
              </w:rPr>
              <w:t>日</w:t>
            </w:r>
          </w:p>
        </w:tc>
        <w:tc>
          <w:tcPr>
            <w:tcW w:w="1701" w:type="dxa"/>
            <w:shd w:val="clear" w:color="auto" w:fill="auto"/>
            <w:noWrap/>
            <w:vAlign w:val="center"/>
          </w:tcPr>
          <w:p w14:paraId="38337006"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hint="eastAsia"/>
                <w:bCs/>
                <w:szCs w:val="21"/>
              </w:rPr>
              <w:t>河北省廊坊市</w:t>
            </w:r>
          </w:p>
        </w:tc>
      </w:tr>
      <w:tr w:rsidR="004865EF" w:rsidRPr="004865EF" w14:paraId="7AFF2EF6" w14:textId="77777777" w:rsidTr="00A66425">
        <w:trPr>
          <w:trHeight w:val="397"/>
          <w:jc w:val="center"/>
        </w:trPr>
        <w:tc>
          <w:tcPr>
            <w:tcW w:w="666" w:type="dxa"/>
            <w:shd w:val="clear" w:color="auto" w:fill="auto"/>
            <w:noWrap/>
            <w:vAlign w:val="center"/>
          </w:tcPr>
          <w:p w14:paraId="21D915ED"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4</w:t>
            </w:r>
          </w:p>
        </w:tc>
        <w:tc>
          <w:tcPr>
            <w:tcW w:w="2164" w:type="dxa"/>
            <w:shd w:val="clear" w:color="auto" w:fill="auto"/>
            <w:noWrap/>
            <w:vAlign w:val="center"/>
          </w:tcPr>
          <w:p w14:paraId="202AD714" w14:textId="77777777" w:rsidR="004E5D7E" w:rsidRPr="004865EF" w:rsidRDefault="004E5D7E" w:rsidP="00A66425">
            <w:pPr>
              <w:widowControl/>
              <w:jc w:val="left"/>
              <w:rPr>
                <w:rFonts w:ascii="Times New Roman" w:eastAsia="宋体" w:hAnsi="Times New Roman" w:cs="Times New Roman"/>
                <w:bCs/>
                <w:szCs w:val="21"/>
              </w:rPr>
            </w:pPr>
            <w:r w:rsidRPr="004865EF">
              <w:rPr>
                <w:rFonts w:ascii="Times New Roman" w:eastAsia="宋体" w:hAnsi="Times New Roman" w:cs="Times New Roman" w:hint="eastAsia"/>
                <w:bCs/>
                <w:szCs w:val="21"/>
              </w:rPr>
              <w:t>长沙绿色</w:t>
            </w:r>
            <w:proofErr w:type="gramStart"/>
            <w:r w:rsidRPr="004865EF">
              <w:rPr>
                <w:rFonts w:ascii="Times New Roman" w:eastAsia="宋体" w:hAnsi="Times New Roman" w:cs="Times New Roman" w:hint="eastAsia"/>
                <w:bCs/>
                <w:szCs w:val="21"/>
              </w:rPr>
              <w:t>云计算</w:t>
            </w:r>
            <w:proofErr w:type="gramEnd"/>
            <w:r w:rsidRPr="004865EF">
              <w:rPr>
                <w:rFonts w:ascii="Times New Roman" w:eastAsia="宋体" w:hAnsi="Times New Roman" w:cs="Times New Roman" w:hint="eastAsia"/>
                <w:bCs/>
                <w:szCs w:val="21"/>
              </w:rPr>
              <w:t>基地一期项目</w:t>
            </w:r>
          </w:p>
        </w:tc>
        <w:tc>
          <w:tcPr>
            <w:tcW w:w="1134" w:type="dxa"/>
            <w:shd w:val="clear" w:color="auto" w:fill="auto"/>
            <w:noWrap/>
            <w:vAlign w:val="center"/>
          </w:tcPr>
          <w:p w14:paraId="2689D3AA" w14:textId="77777777" w:rsidR="004E5D7E" w:rsidRPr="004865EF" w:rsidRDefault="004E5D7E" w:rsidP="004E5D7E">
            <w:pPr>
              <w:widowControl/>
              <w:jc w:val="center"/>
              <w:textAlignment w:val="center"/>
              <w:rPr>
                <w:rFonts w:ascii="Times New Roman" w:eastAsia="宋体" w:hAnsi="Times New Roman" w:cs="Times New Roman"/>
                <w:bCs/>
                <w:szCs w:val="21"/>
              </w:rPr>
            </w:pPr>
            <w:r w:rsidRPr="004865EF">
              <w:rPr>
                <w:rFonts w:ascii="Times New Roman" w:eastAsia="宋体" w:hAnsi="Times New Roman" w:cs="Times New Roman" w:hint="eastAsia"/>
                <w:bCs/>
                <w:szCs w:val="21"/>
                <w:lang w:bidi="ar"/>
              </w:rPr>
              <w:t>光环长沙</w:t>
            </w:r>
          </w:p>
        </w:tc>
        <w:tc>
          <w:tcPr>
            <w:tcW w:w="858" w:type="dxa"/>
            <w:shd w:val="clear" w:color="auto" w:fill="auto"/>
            <w:noWrap/>
            <w:vAlign w:val="center"/>
          </w:tcPr>
          <w:p w14:paraId="1089D97B"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1.40</w:t>
            </w:r>
          </w:p>
        </w:tc>
        <w:tc>
          <w:tcPr>
            <w:tcW w:w="2072" w:type="dxa"/>
            <w:shd w:val="clear" w:color="auto" w:fill="auto"/>
            <w:noWrap/>
            <w:vAlign w:val="center"/>
          </w:tcPr>
          <w:p w14:paraId="13690A6B"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bCs/>
                <w:szCs w:val="21"/>
              </w:rPr>
              <w:t>2020</w:t>
            </w:r>
            <w:r w:rsidRPr="004865EF">
              <w:rPr>
                <w:rFonts w:ascii="Times New Roman" w:eastAsia="宋体" w:hAnsi="Times New Roman" w:cs="Times New Roman" w:hint="eastAsia"/>
                <w:bCs/>
                <w:szCs w:val="21"/>
              </w:rPr>
              <w:t>年</w:t>
            </w:r>
            <w:r w:rsidRPr="004865EF">
              <w:rPr>
                <w:rFonts w:ascii="Times New Roman" w:eastAsia="宋体" w:hAnsi="Times New Roman" w:cs="Times New Roman"/>
                <w:bCs/>
                <w:szCs w:val="21"/>
              </w:rPr>
              <w:t>3</w:t>
            </w:r>
            <w:r w:rsidRPr="004865EF">
              <w:rPr>
                <w:rFonts w:ascii="Times New Roman" w:eastAsia="宋体" w:hAnsi="Times New Roman" w:cs="Times New Roman" w:hint="eastAsia"/>
                <w:bCs/>
                <w:szCs w:val="21"/>
              </w:rPr>
              <w:t>月</w:t>
            </w:r>
            <w:r w:rsidRPr="004865EF">
              <w:rPr>
                <w:rFonts w:ascii="Times New Roman" w:eastAsia="宋体" w:hAnsi="Times New Roman" w:cs="Times New Roman"/>
                <w:bCs/>
                <w:szCs w:val="21"/>
              </w:rPr>
              <w:t>13</w:t>
            </w:r>
            <w:r w:rsidRPr="004865EF">
              <w:rPr>
                <w:rFonts w:ascii="Times New Roman" w:eastAsia="宋体" w:hAnsi="Times New Roman" w:cs="Times New Roman" w:hint="eastAsia"/>
                <w:bCs/>
                <w:szCs w:val="21"/>
              </w:rPr>
              <w:t>日</w:t>
            </w:r>
          </w:p>
        </w:tc>
        <w:tc>
          <w:tcPr>
            <w:tcW w:w="1701" w:type="dxa"/>
            <w:shd w:val="clear" w:color="auto" w:fill="auto"/>
            <w:noWrap/>
            <w:vAlign w:val="center"/>
          </w:tcPr>
          <w:p w14:paraId="3FC17054" w14:textId="77777777" w:rsidR="004E5D7E" w:rsidRPr="004865EF" w:rsidRDefault="004E5D7E" w:rsidP="004E5D7E">
            <w:pPr>
              <w:widowControl/>
              <w:jc w:val="center"/>
              <w:rPr>
                <w:rFonts w:ascii="Times New Roman" w:eastAsia="宋体" w:hAnsi="Times New Roman" w:cs="Times New Roman"/>
                <w:bCs/>
                <w:szCs w:val="21"/>
              </w:rPr>
            </w:pPr>
            <w:r w:rsidRPr="004865EF">
              <w:rPr>
                <w:rFonts w:ascii="Times New Roman" w:eastAsia="宋体" w:hAnsi="Times New Roman" w:cs="Times New Roman" w:hint="eastAsia"/>
                <w:bCs/>
                <w:szCs w:val="21"/>
              </w:rPr>
              <w:t>湖南省长沙市</w:t>
            </w:r>
          </w:p>
        </w:tc>
      </w:tr>
    </w:tbl>
    <w:p w14:paraId="2AB99B83" w14:textId="77777777" w:rsidR="004E5D7E" w:rsidRPr="004865EF" w:rsidRDefault="004E5D7E" w:rsidP="00E87AF9">
      <w:pPr>
        <w:pStyle w:val="zhengwen"/>
        <w:rPr>
          <w:bCs/>
        </w:rPr>
      </w:pPr>
      <w:r w:rsidRPr="004865EF">
        <w:rPr>
          <w:rFonts w:hint="eastAsia"/>
          <w:bCs/>
        </w:rPr>
        <w:t>其中北京房山绿色</w:t>
      </w:r>
      <w:proofErr w:type="gramStart"/>
      <w:r w:rsidRPr="004865EF">
        <w:rPr>
          <w:rFonts w:hint="eastAsia"/>
          <w:bCs/>
        </w:rPr>
        <w:t>云计算</w:t>
      </w:r>
      <w:proofErr w:type="gramEnd"/>
      <w:r w:rsidRPr="004865EF">
        <w:rPr>
          <w:rFonts w:hint="eastAsia"/>
          <w:bCs/>
        </w:rPr>
        <w:t>数据中心二期项目备案时间为</w:t>
      </w:r>
      <w:r w:rsidRPr="004865EF">
        <w:rPr>
          <w:bCs/>
        </w:rPr>
        <w:t>2016</w:t>
      </w:r>
      <w:r w:rsidRPr="004865EF">
        <w:rPr>
          <w:rFonts w:hint="eastAsia"/>
          <w:bCs/>
        </w:rPr>
        <w:t>年</w:t>
      </w:r>
      <w:r w:rsidRPr="004865EF">
        <w:rPr>
          <w:bCs/>
        </w:rPr>
        <w:t>9</w:t>
      </w:r>
      <w:r w:rsidRPr="004865EF">
        <w:rPr>
          <w:rFonts w:hint="eastAsia"/>
          <w:bCs/>
        </w:rPr>
        <w:t>月</w:t>
      </w:r>
      <w:r w:rsidRPr="004865EF">
        <w:rPr>
          <w:bCs/>
        </w:rPr>
        <w:t>26</w:t>
      </w:r>
      <w:r w:rsidRPr="004865EF">
        <w:rPr>
          <w:rFonts w:hint="eastAsia"/>
          <w:bCs/>
        </w:rPr>
        <w:t>日，</w:t>
      </w:r>
      <w:r w:rsidRPr="004865EF">
        <w:rPr>
          <w:bCs/>
        </w:rPr>
        <w:t>PUE</w:t>
      </w:r>
      <w:r w:rsidRPr="004865EF">
        <w:rPr>
          <w:rFonts w:hint="eastAsia"/>
          <w:bCs/>
        </w:rPr>
        <w:t>值为</w:t>
      </w:r>
      <w:r w:rsidRPr="004865EF">
        <w:rPr>
          <w:bCs/>
        </w:rPr>
        <w:t>1.30</w:t>
      </w:r>
      <w:r w:rsidRPr="004865EF">
        <w:rPr>
          <w:rFonts w:hint="eastAsia"/>
          <w:bCs/>
        </w:rPr>
        <w:t>，建设地点位于北京市房山区，根据《北京市新增产业的禁止和限制目录》（</w:t>
      </w:r>
      <w:r w:rsidRPr="004865EF">
        <w:rPr>
          <w:bCs/>
        </w:rPr>
        <w:t>2015</w:t>
      </w:r>
      <w:r w:rsidRPr="004865EF">
        <w:rPr>
          <w:rFonts w:hint="eastAsia"/>
          <w:bCs/>
        </w:rPr>
        <w:t>年版）及《北京市新增产业的禁止和限制目录》（</w:t>
      </w:r>
      <w:r w:rsidRPr="004865EF">
        <w:rPr>
          <w:bCs/>
        </w:rPr>
        <w:t>2018</w:t>
      </w:r>
      <w:r w:rsidRPr="004865EF">
        <w:rPr>
          <w:rFonts w:hint="eastAsia"/>
          <w:bCs/>
        </w:rPr>
        <w:t>年版）的规定，房山区不</w:t>
      </w:r>
      <w:proofErr w:type="gramStart"/>
      <w:r w:rsidRPr="004865EF">
        <w:rPr>
          <w:rFonts w:hint="eastAsia"/>
          <w:bCs/>
        </w:rPr>
        <w:t>属于城六区</w:t>
      </w:r>
      <w:proofErr w:type="gramEnd"/>
      <w:r w:rsidRPr="004865EF">
        <w:rPr>
          <w:rFonts w:hint="eastAsia"/>
          <w:bCs/>
        </w:rPr>
        <w:t>、中心城区或北京城市副中心，且其</w:t>
      </w:r>
      <w:r w:rsidRPr="004865EF">
        <w:rPr>
          <w:bCs/>
        </w:rPr>
        <w:t>PUE</w:t>
      </w:r>
      <w:r w:rsidRPr="004865EF">
        <w:rPr>
          <w:rFonts w:hint="eastAsia"/>
          <w:bCs/>
        </w:rPr>
        <w:t>值低于</w:t>
      </w:r>
      <w:r w:rsidRPr="004865EF">
        <w:rPr>
          <w:bCs/>
        </w:rPr>
        <w:t>1.40</w:t>
      </w:r>
      <w:r w:rsidRPr="004865EF">
        <w:rPr>
          <w:rFonts w:hint="eastAsia"/>
          <w:bCs/>
        </w:rPr>
        <w:t>，该项目不属于被禁止新建或扩建的项目，也不属于有关审批部门已受理审批或办理完成审批的属于《目录》禁止和限制范围内的项目。</w:t>
      </w:r>
    </w:p>
    <w:p w14:paraId="2D8FCC14" w14:textId="4677D83D" w:rsidR="004E5D7E" w:rsidRPr="004865EF" w:rsidRDefault="004E5D7E" w:rsidP="00E87AF9">
      <w:pPr>
        <w:pStyle w:val="zhengwen"/>
        <w:rPr>
          <w:bCs/>
        </w:rPr>
      </w:pPr>
      <w:r w:rsidRPr="004865EF">
        <w:rPr>
          <w:rFonts w:hint="eastAsia"/>
          <w:bCs/>
        </w:rPr>
        <w:t>上海嘉定绿色</w:t>
      </w:r>
      <w:proofErr w:type="gramStart"/>
      <w:r w:rsidRPr="004865EF">
        <w:rPr>
          <w:rFonts w:hint="eastAsia"/>
          <w:bCs/>
        </w:rPr>
        <w:t>云计算</w:t>
      </w:r>
      <w:proofErr w:type="gramEnd"/>
      <w:r w:rsidRPr="004865EF">
        <w:rPr>
          <w:rFonts w:hint="eastAsia"/>
          <w:bCs/>
        </w:rPr>
        <w:t>基地二期项目的备案时间为</w:t>
      </w:r>
      <w:r w:rsidRPr="004865EF">
        <w:rPr>
          <w:bCs/>
        </w:rPr>
        <w:t>2019</w:t>
      </w:r>
      <w:r w:rsidRPr="004865EF">
        <w:rPr>
          <w:rFonts w:hint="eastAsia"/>
          <w:bCs/>
        </w:rPr>
        <w:t>年</w:t>
      </w:r>
      <w:r w:rsidRPr="004865EF">
        <w:rPr>
          <w:bCs/>
        </w:rPr>
        <w:t>10</w:t>
      </w:r>
      <w:r w:rsidRPr="004865EF">
        <w:rPr>
          <w:rFonts w:hint="eastAsia"/>
          <w:bCs/>
        </w:rPr>
        <w:t>月</w:t>
      </w:r>
      <w:r w:rsidRPr="004865EF">
        <w:rPr>
          <w:bCs/>
        </w:rPr>
        <w:t>22</w:t>
      </w:r>
      <w:r w:rsidRPr="004865EF">
        <w:rPr>
          <w:rFonts w:hint="eastAsia"/>
          <w:bCs/>
        </w:rPr>
        <w:t>日，根据</w:t>
      </w:r>
      <w:r w:rsidRPr="004865EF">
        <w:rPr>
          <w:bCs/>
        </w:rPr>
        <w:t>2018</w:t>
      </w:r>
      <w:r w:rsidRPr="004865EF">
        <w:rPr>
          <w:rFonts w:hint="eastAsia"/>
          <w:bCs/>
        </w:rPr>
        <w:t>年</w:t>
      </w:r>
      <w:r w:rsidRPr="004865EF">
        <w:rPr>
          <w:bCs/>
        </w:rPr>
        <w:t>10</w:t>
      </w:r>
      <w:r w:rsidRPr="004865EF">
        <w:rPr>
          <w:rFonts w:hint="eastAsia"/>
          <w:bCs/>
        </w:rPr>
        <w:t>月发布的《上海市推进新一代信息基础设施建设助力提升城市能级和核心竞争力三年行动计划（</w:t>
      </w:r>
      <w:r w:rsidRPr="004865EF">
        <w:rPr>
          <w:bCs/>
        </w:rPr>
        <w:t>2018-2020</w:t>
      </w:r>
      <w:r w:rsidRPr="004865EF">
        <w:rPr>
          <w:rFonts w:hint="eastAsia"/>
          <w:bCs/>
        </w:rPr>
        <w:t>年）》的规定，存量改造数据中心</w:t>
      </w:r>
      <w:r w:rsidRPr="004865EF">
        <w:rPr>
          <w:bCs/>
        </w:rPr>
        <w:t>PUE</w:t>
      </w:r>
      <w:r w:rsidRPr="004865EF">
        <w:rPr>
          <w:rFonts w:hint="eastAsia"/>
          <w:bCs/>
        </w:rPr>
        <w:t>不高于</w:t>
      </w:r>
      <w:r w:rsidRPr="004865EF">
        <w:rPr>
          <w:bCs/>
        </w:rPr>
        <w:t>1.4</w:t>
      </w:r>
      <w:r w:rsidRPr="004865EF">
        <w:rPr>
          <w:rFonts w:hint="eastAsia"/>
          <w:bCs/>
        </w:rPr>
        <w:t>，新建数据中心</w:t>
      </w:r>
      <w:r w:rsidRPr="004865EF">
        <w:rPr>
          <w:bCs/>
        </w:rPr>
        <w:t>PUE</w:t>
      </w:r>
      <w:r w:rsidRPr="004865EF">
        <w:rPr>
          <w:rFonts w:hint="eastAsia"/>
          <w:bCs/>
        </w:rPr>
        <w:t>限制在</w:t>
      </w:r>
      <w:r w:rsidRPr="004865EF">
        <w:rPr>
          <w:bCs/>
        </w:rPr>
        <w:t>1.3</w:t>
      </w:r>
      <w:r w:rsidRPr="004865EF">
        <w:rPr>
          <w:rFonts w:hint="eastAsia"/>
          <w:bCs/>
        </w:rPr>
        <w:t>以下。根据《上海市经济信息化委关于支持新建互联网数据中心项目用能指标的通知》，上海嘉定绿色</w:t>
      </w:r>
      <w:proofErr w:type="gramStart"/>
      <w:r w:rsidRPr="004865EF">
        <w:rPr>
          <w:rFonts w:hint="eastAsia"/>
          <w:bCs/>
        </w:rPr>
        <w:t>云计算</w:t>
      </w:r>
      <w:proofErr w:type="gramEnd"/>
      <w:r w:rsidRPr="004865EF">
        <w:rPr>
          <w:rFonts w:hint="eastAsia"/>
          <w:bCs/>
        </w:rPr>
        <w:t>基地二期项目属于新建数据中心，该项目的</w:t>
      </w:r>
      <w:r w:rsidRPr="004865EF">
        <w:rPr>
          <w:bCs/>
        </w:rPr>
        <w:t>PUE</w:t>
      </w:r>
      <w:r w:rsidRPr="004865EF">
        <w:rPr>
          <w:rFonts w:hint="eastAsia"/>
          <w:bCs/>
        </w:rPr>
        <w:t>值为</w:t>
      </w:r>
      <w:r w:rsidRPr="004865EF">
        <w:rPr>
          <w:bCs/>
        </w:rPr>
        <w:t>1.30</w:t>
      </w:r>
      <w:r w:rsidRPr="004865EF">
        <w:rPr>
          <w:rFonts w:hint="eastAsia"/>
          <w:bCs/>
        </w:rPr>
        <w:t>，符合上海市对于新建数据中心的政策要求。</w:t>
      </w:r>
    </w:p>
    <w:p w14:paraId="0094ECCB" w14:textId="7EAF861B" w:rsidR="004E5D7E" w:rsidRPr="004865EF" w:rsidRDefault="004E5D7E" w:rsidP="00E87AF9">
      <w:pPr>
        <w:pStyle w:val="zhengwen"/>
        <w:rPr>
          <w:bCs/>
        </w:rPr>
      </w:pPr>
      <w:r w:rsidRPr="004865EF">
        <w:rPr>
          <w:rFonts w:hint="eastAsia"/>
          <w:bCs/>
        </w:rPr>
        <w:t>燕郊绿色</w:t>
      </w:r>
      <w:proofErr w:type="gramStart"/>
      <w:r w:rsidRPr="004865EF">
        <w:rPr>
          <w:rFonts w:hint="eastAsia"/>
          <w:bCs/>
        </w:rPr>
        <w:t>云计算</w:t>
      </w:r>
      <w:proofErr w:type="gramEnd"/>
      <w:r w:rsidRPr="004865EF">
        <w:rPr>
          <w:rFonts w:hint="eastAsia"/>
          <w:bCs/>
        </w:rPr>
        <w:t>基地三四期项目的备案时间为</w:t>
      </w:r>
      <w:r w:rsidRPr="004865EF">
        <w:rPr>
          <w:bCs/>
        </w:rPr>
        <w:t>2019</w:t>
      </w:r>
      <w:r w:rsidRPr="004865EF">
        <w:rPr>
          <w:rFonts w:hint="eastAsia"/>
          <w:bCs/>
        </w:rPr>
        <w:t>年</w:t>
      </w:r>
      <w:r w:rsidRPr="004865EF">
        <w:rPr>
          <w:bCs/>
        </w:rPr>
        <w:t>10</w:t>
      </w:r>
      <w:r w:rsidRPr="004865EF">
        <w:rPr>
          <w:rFonts w:hint="eastAsia"/>
          <w:bCs/>
        </w:rPr>
        <w:t>月</w:t>
      </w:r>
      <w:r w:rsidRPr="004865EF">
        <w:rPr>
          <w:bCs/>
        </w:rPr>
        <w:t>14</w:t>
      </w:r>
      <w:r w:rsidRPr="004865EF">
        <w:rPr>
          <w:rFonts w:hint="eastAsia"/>
          <w:bCs/>
        </w:rPr>
        <w:t>日，根据《关于促进云计算创新发展培育信息产业新业态的实施意见》（冀政发〔</w:t>
      </w:r>
      <w:r w:rsidRPr="004865EF">
        <w:rPr>
          <w:bCs/>
        </w:rPr>
        <w:t>2015</w:t>
      </w:r>
      <w:r w:rsidRPr="004865EF">
        <w:rPr>
          <w:rFonts w:hint="eastAsia"/>
          <w:bCs/>
        </w:rPr>
        <w:t>〕</w:t>
      </w:r>
      <w:r w:rsidRPr="004865EF">
        <w:rPr>
          <w:bCs/>
        </w:rPr>
        <w:t>20</w:t>
      </w:r>
      <w:r w:rsidRPr="004865EF">
        <w:rPr>
          <w:rFonts w:hint="eastAsia"/>
          <w:bCs/>
        </w:rPr>
        <w:t>号），新建</w:t>
      </w:r>
      <w:proofErr w:type="gramStart"/>
      <w:r w:rsidRPr="004865EF">
        <w:rPr>
          <w:rFonts w:hint="eastAsia"/>
          <w:bCs/>
        </w:rPr>
        <w:t>大型云计算</w:t>
      </w:r>
      <w:proofErr w:type="gramEnd"/>
      <w:r w:rsidRPr="004865EF">
        <w:rPr>
          <w:rFonts w:hint="eastAsia"/>
          <w:bCs/>
        </w:rPr>
        <w:t>数据中心能源利用效率（</w:t>
      </w:r>
      <w:r w:rsidRPr="004865EF">
        <w:rPr>
          <w:bCs/>
        </w:rPr>
        <w:t>PUE</w:t>
      </w:r>
      <w:r w:rsidRPr="004865EF">
        <w:rPr>
          <w:rFonts w:hint="eastAsia"/>
          <w:bCs/>
        </w:rPr>
        <w:t>）值优于</w:t>
      </w:r>
      <w:r w:rsidRPr="004865EF">
        <w:rPr>
          <w:bCs/>
        </w:rPr>
        <w:t>1.5</w:t>
      </w:r>
      <w:r w:rsidRPr="004865EF">
        <w:rPr>
          <w:rFonts w:hint="eastAsia"/>
          <w:bCs/>
        </w:rPr>
        <w:t>的发展目标，燕郊绿色</w:t>
      </w:r>
      <w:proofErr w:type="gramStart"/>
      <w:r w:rsidRPr="004865EF">
        <w:rPr>
          <w:rFonts w:hint="eastAsia"/>
          <w:bCs/>
        </w:rPr>
        <w:t>云计算</w:t>
      </w:r>
      <w:proofErr w:type="gramEnd"/>
      <w:r w:rsidRPr="004865EF">
        <w:rPr>
          <w:rFonts w:hint="eastAsia"/>
          <w:bCs/>
        </w:rPr>
        <w:t>基地三四期项目数据新建数据中心，该项目的</w:t>
      </w:r>
      <w:r w:rsidRPr="004865EF">
        <w:rPr>
          <w:bCs/>
        </w:rPr>
        <w:t>PUE</w:t>
      </w:r>
      <w:r w:rsidRPr="004865EF">
        <w:rPr>
          <w:rFonts w:hint="eastAsia"/>
          <w:bCs/>
        </w:rPr>
        <w:t>值为</w:t>
      </w:r>
      <w:r w:rsidRPr="004865EF">
        <w:rPr>
          <w:bCs/>
        </w:rPr>
        <w:t>1.40</w:t>
      </w:r>
      <w:r w:rsidRPr="004865EF">
        <w:rPr>
          <w:rFonts w:hint="eastAsia"/>
          <w:bCs/>
        </w:rPr>
        <w:t>，符合河北省有关政策要求。</w:t>
      </w:r>
    </w:p>
    <w:p w14:paraId="6C4CCCD5" w14:textId="2EB8B3DE" w:rsidR="004E5D7E" w:rsidRPr="004865EF" w:rsidRDefault="004E5D7E" w:rsidP="00E87AF9">
      <w:pPr>
        <w:pStyle w:val="zhengwen"/>
        <w:rPr>
          <w:bCs/>
        </w:rPr>
      </w:pPr>
      <w:r w:rsidRPr="004865EF">
        <w:rPr>
          <w:rFonts w:hint="eastAsia"/>
          <w:bCs/>
        </w:rPr>
        <w:t>长沙绿色</w:t>
      </w:r>
      <w:proofErr w:type="gramStart"/>
      <w:r w:rsidRPr="004865EF">
        <w:rPr>
          <w:rFonts w:hint="eastAsia"/>
          <w:bCs/>
        </w:rPr>
        <w:t>云计算</w:t>
      </w:r>
      <w:proofErr w:type="gramEnd"/>
      <w:r w:rsidRPr="004865EF">
        <w:rPr>
          <w:rFonts w:hint="eastAsia"/>
          <w:bCs/>
        </w:rPr>
        <w:t>基地一期项目的备案时间为</w:t>
      </w:r>
      <w:r w:rsidRPr="004865EF">
        <w:rPr>
          <w:bCs/>
        </w:rPr>
        <w:t>2020</w:t>
      </w:r>
      <w:r w:rsidRPr="004865EF">
        <w:rPr>
          <w:rFonts w:hint="eastAsia"/>
          <w:bCs/>
        </w:rPr>
        <w:t>年</w:t>
      </w:r>
      <w:r w:rsidRPr="004865EF">
        <w:rPr>
          <w:bCs/>
        </w:rPr>
        <w:t>3</w:t>
      </w:r>
      <w:r w:rsidRPr="004865EF">
        <w:rPr>
          <w:rFonts w:hint="eastAsia"/>
          <w:bCs/>
        </w:rPr>
        <w:t>月</w:t>
      </w:r>
      <w:r w:rsidRPr="004865EF">
        <w:rPr>
          <w:bCs/>
        </w:rPr>
        <w:t>13</w:t>
      </w:r>
      <w:r w:rsidRPr="004865EF">
        <w:rPr>
          <w:rFonts w:hint="eastAsia"/>
          <w:bCs/>
        </w:rPr>
        <w:t>日，根据</w:t>
      </w:r>
      <w:r w:rsidRPr="004865EF">
        <w:rPr>
          <w:bCs/>
        </w:rPr>
        <w:t>2017</w:t>
      </w:r>
      <w:r w:rsidRPr="004865EF">
        <w:rPr>
          <w:rFonts w:hint="eastAsia"/>
          <w:bCs/>
        </w:rPr>
        <w:t>年《湖南省</w:t>
      </w:r>
      <w:r w:rsidR="00720C0D" w:rsidRPr="004865EF">
        <w:rPr>
          <w:rFonts w:hint="eastAsia"/>
          <w:bCs/>
        </w:rPr>
        <w:t>“</w:t>
      </w:r>
      <w:r w:rsidR="00E6271C" w:rsidRPr="004865EF">
        <w:rPr>
          <w:rFonts w:hint="eastAsia"/>
          <w:bCs/>
        </w:rPr>
        <w:t>十三五</w:t>
      </w:r>
      <w:r w:rsidR="00720C0D" w:rsidRPr="004865EF">
        <w:rPr>
          <w:rFonts w:hint="eastAsia"/>
          <w:bCs/>
        </w:rPr>
        <w:t>”</w:t>
      </w:r>
      <w:r w:rsidRPr="004865EF">
        <w:rPr>
          <w:rFonts w:hint="eastAsia"/>
          <w:bCs/>
        </w:rPr>
        <w:t>节能减排综合工作方案》的要求，新建</w:t>
      </w:r>
      <w:proofErr w:type="gramStart"/>
      <w:r w:rsidRPr="004865EF">
        <w:rPr>
          <w:rFonts w:hint="eastAsia"/>
          <w:bCs/>
        </w:rPr>
        <w:t>大型云计算</w:t>
      </w:r>
      <w:proofErr w:type="gramEnd"/>
      <w:r w:rsidRPr="004865EF">
        <w:rPr>
          <w:rFonts w:hint="eastAsia"/>
          <w:bCs/>
        </w:rPr>
        <w:t>数据中心能源利用效率（</w:t>
      </w:r>
      <w:r w:rsidRPr="004865EF">
        <w:rPr>
          <w:bCs/>
        </w:rPr>
        <w:t>PUE</w:t>
      </w:r>
      <w:r w:rsidRPr="004865EF">
        <w:rPr>
          <w:rFonts w:hint="eastAsia"/>
          <w:bCs/>
        </w:rPr>
        <w:t>）值优于</w:t>
      </w:r>
      <w:r w:rsidRPr="004865EF">
        <w:rPr>
          <w:bCs/>
        </w:rPr>
        <w:t>1.5</w:t>
      </w:r>
      <w:r w:rsidRPr="004865EF">
        <w:rPr>
          <w:rFonts w:hint="eastAsia"/>
          <w:bCs/>
        </w:rPr>
        <w:t>，长沙绿色</w:t>
      </w:r>
      <w:proofErr w:type="gramStart"/>
      <w:r w:rsidRPr="004865EF">
        <w:rPr>
          <w:rFonts w:hint="eastAsia"/>
          <w:bCs/>
        </w:rPr>
        <w:t>云计算</w:t>
      </w:r>
      <w:proofErr w:type="gramEnd"/>
      <w:r w:rsidRPr="004865EF">
        <w:rPr>
          <w:rFonts w:hint="eastAsia"/>
          <w:bCs/>
        </w:rPr>
        <w:t>基地一期项目属于新建数据中心，该项目的</w:t>
      </w:r>
      <w:r w:rsidRPr="004865EF">
        <w:rPr>
          <w:bCs/>
        </w:rPr>
        <w:t>PUE</w:t>
      </w:r>
      <w:r w:rsidRPr="004865EF">
        <w:rPr>
          <w:rFonts w:hint="eastAsia"/>
          <w:bCs/>
        </w:rPr>
        <w:t>值为</w:t>
      </w:r>
      <w:r w:rsidRPr="004865EF">
        <w:rPr>
          <w:bCs/>
        </w:rPr>
        <w:t>1.40</w:t>
      </w:r>
      <w:r w:rsidRPr="004865EF">
        <w:rPr>
          <w:rFonts w:hint="eastAsia"/>
          <w:bCs/>
        </w:rPr>
        <w:t>，符合湖南省有关政策要求。</w:t>
      </w:r>
    </w:p>
    <w:p w14:paraId="595B0436" w14:textId="77777777" w:rsidR="004E5D7E" w:rsidRPr="004865EF" w:rsidRDefault="004E5D7E" w:rsidP="00E87AF9">
      <w:pPr>
        <w:pStyle w:val="zhengwen"/>
        <w:rPr>
          <w:bCs/>
        </w:rPr>
      </w:pPr>
      <w:r w:rsidRPr="004865EF">
        <w:rPr>
          <w:rFonts w:hint="eastAsia"/>
          <w:bCs/>
        </w:rPr>
        <w:lastRenderedPageBreak/>
        <w:t>发行人位于北京和上海的</w:t>
      </w:r>
      <w:proofErr w:type="gramStart"/>
      <w:r w:rsidRPr="004865EF">
        <w:rPr>
          <w:rFonts w:hint="eastAsia"/>
          <w:bCs/>
        </w:rPr>
        <w:t>募投项目</w:t>
      </w:r>
      <w:proofErr w:type="gramEnd"/>
      <w:r w:rsidRPr="004865EF">
        <w:rPr>
          <w:rFonts w:hint="eastAsia"/>
          <w:bCs/>
        </w:rPr>
        <w:t>设计</w:t>
      </w:r>
      <w:r w:rsidRPr="004865EF">
        <w:rPr>
          <w:bCs/>
        </w:rPr>
        <w:t>PUE</w:t>
      </w:r>
      <w:r w:rsidRPr="004865EF">
        <w:rPr>
          <w:rFonts w:hint="eastAsia"/>
          <w:bCs/>
        </w:rPr>
        <w:t>值均为</w:t>
      </w:r>
      <w:r w:rsidRPr="004865EF">
        <w:rPr>
          <w:bCs/>
        </w:rPr>
        <w:t>1.30</w:t>
      </w:r>
      <w:r w:rsidRPr="004865EF">
        <w:rPr>
          <w:rFonts w:hint="eastAsia"/>
          <w:bCs/>
        </w:rPr>
        <w:t>，位于河北及湖南的</w:t>
      </w:r>
      <w:proofErr w:type="gramStart"/>
      <w:r w:rsidRPr="004865EF">
        <w:rPr>
          <w:rFonts w:hint="eastAsia"/>
          <w:bCs/>
        </w:rPr>
        <w:t>募投项目</w:t>
      </w:r>
      <w:proofErr w:type="gramEnd"/>
      <w:r w:rsidRPr="004865EF">
        <w:rPr>
          <w:rFonts w:hint="eastAsia"/>
          <w:bCs/>
        </w:rPr>
        <w:t>设计</w:t>
      </w:r>
      <w:r w:rsidRPr="004865EF">
        <w:rPr>
          <w:bCs/>
        </w:rPr>
        <w:t>PUE</w:t>
      </w:r>
      <w:r w:rsidRPr="004865EF">
        <w:rPr>
          <w:rFonts w:hint="eastAsia"/>
          <w:bCs/>
        </w:rPr>
        <w:t>值为均</w:t>
      </w:r>
      <w:r w:rsidRPr="004865EF">
        <w:rPr>
          <w:bCs/>
        </w:rPr>
        <w:t>1.40</w:t>
      </w:r>
      <w:r w:rsidRPr="004865EF">
        <w:rPr>
          <w:rFonts w:hint="eastAsia"/>
          <w:bCs/>
        </w:rPr>
        <w:t>，</w:t>
      </w:r>
      <w:proofErr w:type="gramStart"/>
      <w:r w:rsidRPr="004865EF">
        <w:rPr>
          <w:rFonts w:hint="eastAsia"/>
          <w:bCs/>
        </w:rPr>
        <w:t>募投项目</w:t>
      </w:r>
      <w:proofErr w:type="gramEnd"/>
      <w:r w:rsidRPr="004865EF">
        <w:rPr>
          <w:rFonts w:hint="eastAsia"/>
          <w:bCs/>
        </w:rPr>
        <w:t>设计</w:t>
      </w:r>
      <w:r w:rsidRPr="004865EF">
        <w:rPr>
          <w:bCs/>
        </w:rPr>
        <w:t>PUE</w:t>
      </w:r>
      <w:r w:rsidRPr="004865EF">
        <w:rPr>
          <w:rFonts w:hint="eastAsia"/>
          <w:bCs/>
        </w:rPr>
        <w:t>值及建设地点均符合相关政策要求，未违反北京市、上海市、河北省、湖南省关于新增数据中心的限制性要求，符合各地有关数据中心建设的政策要求，相关数据中心建设政策的变化不会对本次</w:t>
      </w:r>
      <w:proofErr w:type="gramStart"/>
      <w:r w:rsidRPr="004865EF">
        <w:rPr>
          <w:rFonts w:hint="eastAsia"/>
          <w:bCs/>
        </w:rPr>
        <w:t>募投项目</w:t>
      </w:r>
      <w:proofErr w:type="gramEnd"/>
      <w:r w:rsidRPr="004865EF">
        <w:rPr>
          <w:rFonts w:hint="eastAsia"/>
          <w:bCs/>
        </w:rPr>
        <w:t>的实施及运营产生重大不利影响。</w:t>
      </w:r>
    </w:p>
    <w:p w14:paraId="13BD622A" w14:textId="7ED92170" w:rsidR="004E5D7E" w:rsidRPr="004865EF" w:rsidRDefault="004E5D7E" w:rsidP="004E5D7E">
      <w:pPr>
        <w:pStyle w:val="zhengwen"/>
      </w:pPr>
      <w:r w:rsidRPr="004865EF">
        <w:t>根据发行人的说明，发行人作为在数据中心领域深耕多年的数据中心服务提供商，发行人已建设运营了多个数据中心项目，积累了较强的设计和运维经验。发行人采用标准化、模块化的建设理念，并对数据中心能耗进行精细</w:t>
      </w:r>
      <w:proofErr w:type="gramStart"/>
      <w:r w:rsidRPr="004865EF">
        <w:t>化成本</w:t>
      </w:r>
      <w:proofErr w:type="gramEnd"/>
      <w:r w:rsidRPr="004865EF">
        <w:t>管理。在生产经营及</w:t>
      </w:r>
      <w:proofErr w:type="gramStart"/>
      <w:r w:rsidRPr="004865EF">
        <w:t>募投项目</w:t>
      </w:r>
      <w:proofErr w:type="gramEnd"/>
      <w:r w:rsidRPr="004865EF">
        <w:t>实施中，发行人将进一步坚持提高电能使用效率、降低项目运营能耗成本的原则，确保数据中心的实施和运营符合国家及当地相关产业政策的要求。</w:t>
      </w:r>
    </w:p>
    <w:p w14:paraId="636B90DD" w14:textId="2B51554D" w:rsidR="004E5D7E" w:rsidRPr="004865EF" w:rsidRDefault="004E5D7E" w:rsidP="004E5D7E">
      <w:pPr>
        <w:pStyle w:val="zhengwen"/>
      </w:pPr>
      <w:r w:rsidRPr="004865EF">
        <w:t>综上，数据中心建设相关政策变化不会对公司的经营及</w:t>
      </w:r>
      <w:proofErr w:type="gramStart"/>
      <w:r w:rsidRPr="004865EF">
        <w:t>募投项目</w:t>
      </w:r>
      <w:proofErr w:type="gramEnd"/>
      <w:r w:rsidRPr="004865EF">
        <w:t>的实施产生重大不利影响。</w:t>
      </w:r>
    </w:p>
    <w:p w14:paraId="24ED0857" w14:textId="36232703" w:rsidR="001C1B0D" w:rsidRPr="004865EF" w:rsidRDefault="001C1B0D" w:rsidP="0066058B">
      <w:pPr>
        <w:pStyle w:val="2"/>
      </w:pPr>
      <w:r w:rsidRPr="004865EF">
        <w:rPr>
          <w:rFonts w:hint="eastAsia"/>
        </w:rPr>
        <w:t>四、中介机构核查意见</w:t>
      </w:r>
    </w:p>
    <w:p w14:paraId="3F030792" w14:textId="77777777" w:rsidR="00B2262D" w:rsidRPr="004865EF" w:rsidRDefault="00B2262D" w:rsidP="00494620">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b/>
          <w:bCs/>
          <w:sz w:val="24"/>
          <w:szCs w:val="22"/>
        </w:rPr>
        <w:t>（一）</w:t>
      </w:r>
      <w:r w:rsidRPr="004865EF">
        <w:rPr>
          <w:rFonts w:ascii="Times New Roman" w:eastAsia="宋体" w:hAnsi="Times New Roman" w:cs="Times New Roman" w:hint="eastAsia"/>
          <w:b/>
          <w:bCs/>
          <w:sz w:val="24"/>
          <w:szCs w:val="22"/>
        </w:rPr>
        <w:t>核查程序</w:t>
      </w:r>
    </w:p>
    <w:p w14:paraId="0B6AE970" w14:textId="77777777" w:rsidR="001C1B0D" w:rsidRPr="004865EF" w:rsidRDefault="001C1B0D" w:rsidP="001C1B0D">
      <w:pPr>
        <w:pStyle w:val="zhengwen"/>
      </w:pPr>
      <w:r w:rsidRPr="004865EF">
        <w:rPr>
          <w:rFonts w:hint="eastAsia"/>
        </w:rPr>
        <w:t>针对上述问题，保荐机构及发行人律师履行了以下核查程序：</w:t>
      </w:r>
    </w:p>
    <w:p w14:paraId="1E564089" w14:textId="77777777" w:rsidR="001C1B0D" w:rsidRPr="004865EF" w:rsidRDefault="001C1B0D" w:rsidP="001C1B0D">
      <w:pPr>
        <w:pStyle w:val="zhengwen"/>
      </w:pPr>
      <w:r w:rsidRPr="004865EF">
        <w:t>1</w:t>
      </w:r>
      <w:r w:rsidRPr="004865EF">
        <w:t>、查阅发行人</w:t>
      </w:r>
      <w:proofErr w:type="gramStart"/>
      <w:r w:rsidRPr="004865EF">
        <w:t>募投项目</w:t>
      </w:r>
      <w:proofErr w:type="gramEnd"/>
      <w:r w:rsidRPr="004865EF">
        <w:t>立项备案、环评备案登记及建设许可证；</w:t>
      </w:r>
    </w:p>
    <w:p w14:paraId="6DF69A0A" w14:textId="77777777" w:rsidR="001C1B0D" w:rsidRPr="004865EF" w:rsidRDefault="001C1B0D" w:rsidP="001C1B0D">
      <w:pPr>
        <w:pStyle w:val="zhengwen"/>
      </w:pPr>
      <w:r w:rsidRPr="004865EF">
        <w:t>2</w:t>
      </w:r>
      <w:r w:rsidRPr="004865EF">
        <w:t>、查阅《企业投资项目核准和备案管理条例》、《企业投资项目事中事后监管办法》、《建设项目环境影响登记表备案管理办法》；</w:t>
      </w:r>
    </w:p>
    <w:p w14:paraId="28805C68" w14:textId="79045658" w:rsidR="001C1B0D" w:rsidRPr="004865EF" w:rsidRDefault="001C1B0D" w:rsidP="001C1B0D">
      <w:pPr>
        <w:pStyle w:val="zhengwen"/>
      </w:pPr>
      <w:r w:rsidRPr="004865EF">
        <w:t>3</w:t>
      </w:r>
      <w:r w:rsidRPr="004865EF">
        <w:t>、查阅《关于促进云计算创新发展培育信息产业新业态的意见》（国发</w:t>
      </w:r>
      <w:r w:rsidRPr="004865EF">
        <w:t>[2015]5</w:t>
      </w:r>
      <w:r w:rsidRPr="004865EF">
        <w:t>号）、《北京市新增产业的禁止和限制目录》（</w:t>
      </w:r>
      <w:r w:rsidRPr="004865EF">
        <w:t>2015</w:t>
      </w:r>
      <w:r w:rsidRPr="004865EF">
        <w:t>年版和</w:t>
      </w:r>
      <w:r w:rsidRPr="004865EF">
        <w:t>2018</w:t>
      </w:r>
      <w:r w:rsidRPr="004865EF">
        <w:t>年版）、《上海市推进新一代信息基础设施建设助力提升城市能级和核心竞争力三年行动计划（</w:t>
      </w:r>
      <w:r w:rsidRPr="004865EF">
        <w:t>2018-2020</w:t>
      </w:r>
      <w:r w:rsidRPr="004865EF">
        <w:t>年）》、《关于促进云计算创新发展培育信息产业新业态的实施意见》（冀政发〔</w:t>
      </w:r>
      <w:r w:rsidRPr="004865EF">
        <w:t>2015</w:t>
      </w:r>
      <w:r w:rsidRPr="004865EF">
        <w:t>〕</w:t>
      </w:r>
      <w:r w:rsidRPr="004865EF">
        <w:t>20</w:t>
      </w:r>
      <w:r w:rsidRPr="004865EF">
        <w:t>号）、《湖南省</w:t>
      </w:r>
      <w:r w:rsidR="00720C0D" w:rsidRPr="004865EF">
        <w:rPr>
          <w:rFonts w:hint="eastAsia"/>
        </w:rPr>
        <w:t>“十三五”节</w:t>
      </w:r>
      <w:r w:rsidRPr="004865EF">
        <w:t>能减排综合工作方案》；</w:t>
      </w:r>
    </w:p>
    <w:p w14:paraId="305A0D14" w14:textId="70419CE0" w:rsidR="001C1B0D" w:rsidRPr="004865EF" w:rsidRDefault="001C1B0D" w:rsidP="001C1B0D">
      <w:pPr>
        <w:pStyle w:val="zhengwen"/>
      </w:pPr>
      <w:r w:rsidRPr="004865EF">
        <w:t>4</w:t>
      </w:r>
      <w:r w:rsidRPr="004865EF">
        <w:t>、取得发行人的有关说明。</w:t>
      </w:r>
    </w:p>
    <w:p w14:paraId="4284B97C" w14:textId="140574AF" w:rsidR="001C1B0D" w:rsidRPr="004865EF" w:rsidRDefault="001C1B0D" w:rsidP="00A66425">
      <w:pPr>
        <w:adjustRightInd w:val="0"/>
        <w:snapToGrid w:val="0"/>
        <w:spacing w:beforeLines="50" w:before="120" w:afterLines="50" w:after="120" w:line="360" w:lineRule="auto"/>
        <w:ind w:firstLineChars="200" w:firstLine="482"/>
        <w:rPr>
          <w:b/>
          <w:bCs/>
        </w:rPr>
      </w:pPr>
      <w:r w:rsidRPr="004865EF">
        <w:rPr>
          <w:rFonts w:ascii="Times New Roman" w:eastAsia="宋体" w:hAnsi="Times New Roman" w:cs="Times New Roman" w:hint="eastAsia"/>
          <w:b/>
          <w:bCs/>
          <w:sz w:val="24"/>
          <w:szCs w:val="22"/>
        </w:rPr>
        <w:t>（二）核查结论</w:t>
      </w:r>
    </w:p>
    <w:p w14:paraId="30A1638D" w14:textId="22811DF2" w:rsidR="004E5D7E" w:rsidRPr="004865EF" w:rsidRDefault="001C1B0D" w:rsidP="001C1B0D">
      <w:pPr>
        <w:pStyle w:val="zhengwen"/>
      </w:pPr>
      <w:r w:rsidRPr="004865EF">
        <w:rPr>
          <w:rFonts w:hint="eastAsia"/>
        </w:rPr>
        <w:t>经核查，保荐机构及发行人律师认为：</w:t>
      </w:r>
      <w:r w:rsidRPr="004865EF">
        <w:t xml:space="preserve"> </w:t>
      </w:r>
    </w:p>
    <w:p w14:paraId="3A74D5F7" w14:textId="77777777" w:rsidR="004E5D7E" w:rsidRPr="004865EF" w:rsidRDefault="004E5D7E" w:rsidP="004E5D7E">
      <w:pPr>
        <w:pStyle w:val="zhengwen"/>
      </w:pPr>
      <w:r w:rsidRPr="004865EF">
        <w:rPr>
          <w:rFonts w:hint="eastAsia"/>
        </w:rPr>
        <w:lastRenderedPageBreak/>
        <w:t>1</w:t>
      </w:r>
      <w:r w:rsidRPr="004865EF">
        <w:rPr>
          <w:rFonts w:hint="eastAsia"/>
        </w:rPr>
        <w:t>、上海嘉定绿色</w:t>
      </w:r>
      <w:proofErr w:type="gramStart"/>
      <w:r w:rsidRPr="004865EF">
        <w:rPr>
          <w:rFonts w:hint="eastAsia"/>
        </w:rPr>
        <w:t>云计算</w:t>
      </w:r>
      <w:proofErr w:type="gramEnd"/>
      <w:r w:rsidRPr="004865EF">
        <w:rPr>
          <w:rFonts w:hint="eastAsia"/>
        </w:rPr>
        <w:t>基地二期项目剩余用</w:t>
      </w:r>
      <w:proofErr w:type="gramStart"/>
      <w:r w:rsidRPr="004865EF">
        <w:rPr>
          <w:rFonts w:hint="eastAsia"/>
        </w:rPr>
        <w:t>能指标</w:t>
      </w:r>
      <w:proofErr w:type="gramEnd"/>
      <w:r w:rsidRPr="004865EF">
        <w:rPr>
          <w:rFonts w:hint="eastAsia"/>
        </w:rPr>
        <w:t>获取预计不存在障碍，如果该项目未来无法及时获取剩余用能指标，可能会对</w:t>
      </w:r>
      <w:proofErr w:type="gramStart"/>
      <w:r w:rsidRPr="004865EF">
        <w:rPr>
          <w:rFonts w:hint="eastAsia"/>
        </w:rPr>
        <w:t>募投项目</w:t>
      </w:r>
      <w:proofErr w:type="gramEnd"/>
      <w:r w:rsidRPr="004865EF">
        <w:rPr>
          <w:rFonts w:hint="eastAsia"/>
        </w:rPr>
        <w:t>的实施进度和效益造成一定影响。</w:t>
      </w:r>
    </w:p>
    <w:p w14:paraId="2F4131FC" w14:textId="3011210A" w:rsidR="004E5D7E" w:rsidRPr="004865EF" w:rsidRDefault="004E5D7E" w:rsidP="004E5D7E">
      <w:pPr>
        <w:pStyle w:val="zhengwen"/>
      </w:pPr>
      <w:r w:rsidRPr="004865EF">
        <w:rPr>
          <w:rFonts w:hint="eastAsia"/>
        </w:rPr>
        <w:t>2</w:t>
      </w:r>
      <w:r w:rsidRPr="004865EF">
        <w:rPr>
          <w:rFonts w:hint="eastAsia"/>
        </w:rPr>
        <w:t>、</w:t>
      </w:r>
      <w:r w:rsidRPr="004865EF">
        <w:t>发行人取得了各</w:t>
      </w:r>
      <w:proofErr w:type="gramStart"/>
      <w:r w:rsidRPr="004865EF">
        <w:t>募投项目</w:t>
      </w:r>
      <w:proofErr w:type="gramEnd"/>
      <w:r w:rsidR="0023308A" w:rsidRPr="004865EF">
        <w:rPr>
          <w:rFonts w:hint="eastAsia"/>
        </w:rPr>
        <w:t>当前阶段</w:t>
      </w:r>
      <w:r w:rsidRPr="004865EF">
        <w:t>实施所需的全部资质及许可，相关资质、许可均在有效期内；</w:t>
      </w:r>
      <w:r w:rsidR="00306C77" w:rsidRPr="004865EF">
        <w:rPr>
          <w:rFonts w:hint="eastAsia"/>
        </w:rPr>
        <w:t>发行人将根据各</w:t>
      </w:r>
      <w:proofErr w:type="gramStart"/>
      <w:r w:rsidR="00306C77" w:rsidRPr="004865EF">
        <w:rPr>
          <w:rFonts w:hint="eastAsia"/>
        </w:rPr>
        <w:t>募投项目</w:t>
      </w:r>
      <w:proofErr w:type="gramEnd"/>
      <w:r w:rsidR="00306C77" w:rsidRPr="004865EF">
        <w:rPr>
          <w:rFonts w:hint="eastAsia"/>
        </w:rPr>
        <w:t>实际进展及相关法律法规等要求，依法办理</w:t>
      </w:r>
      <w:proofErr w:type="gramStart"/>
      <w:r w:rsidR="00306C77" w:rsidRPr="004865EF">
        <w:rPr>
          <w:rFonts w:hint="eastAsia"/>
        </w:rPr>
        <w:t>募投项目</w:t>
      </w:r>
      <w:proofErr w:type="gramEnd"/>
      <w:r w:rsidR="00306C77" w:rsidRPr="004865EF">
        <w:rPr>
          <w:rFonts w:hint="eastAsia"/>
        </w:rPr>
        <w:t>建设后续所需的其他相关资质或许可。</w:t>
      </w:r>
    </w:p>
    <w:p w14:paraId="73274E6F" w14:textId="77777777" w:rsidR="004E5D7E" w:rsidRPr="004865EF" w:rsidRDefault="004E5D7E" w:rsidP="004E5D7E">
      <w:pPr>
        <w:pStyle w:val="zhengwen"/>
      </w:pPr>
      <w:r w:rsidRPr="004865EF">
        <w:t>3</w:t>
      </w:r>
      <w:r w:rsidRPr="004865EF">
        <w:rPr>
          <w:rFonts w:hint="eastAsia"/>
        </w:rPr>
        <w:t>、</w:t>
      </w:r>
      <w:r w:rsidRPr="004865EF">
        <w:t>数据中心建设相关政策变化不会对公司经营及</w:t>
      </w:r>
      <w:proofErr w:type="gramStart"/>
      <w:r w:rsidRPr="004865EF">
        <w:t>募投项目</w:t>
      </w:r>
      <w:proofErr w:type="gramEnd"/>
      <w:r w:rsidRPr="004865EF">
        <w:t>的实施产生重大不利影响</w:t>
      </w:r>
      <w:r w:rsidRPr="004865EF">
        <w:rPr>
          <w:rFonts w:hint="eastAsia"/>
        </w:rPr>
        <w:t>。</w:t>
      </w:r>
    </w:p>
    <w:p w14:paraId="506885DC" w14:textId="6568EEEC" w:rsidR="00F47173" w:rsidRPr="004865EF" w:rsidRDefault="008065F6" w:rsidP="00A66425">
      <w:pPr>
        <w:pStyle w:val="2"/>
      </w:pPr>
      <w:r w:rsidRPr="004865EF">
        <w:rPr>
          <w:rFonts w:hint="eastAsia"/>
        </w:rPr>
        <w:t>五</w:t>
      </w:r>
      <w:r w:rsidRPr="004865EF">
        <w:t>、</w:t>
      </w:r>
      <w:r w:rsidR="00944B39" w:rsidRPr="004865EF">
        <w:rPr>
          <w:rFonts w:hint="eastAsia"/>
        </w:rPr>
        <w:t>补充披露</w:t>
      </w:r>
    </w:p>
    <w:p w14:paraId="1EABA7EC" w14:textId="0F2545C1" w:rsidR="00944B39" w:rsidRPr="004865EF" w:rsidRDefault="00944B39" w:rsidP="00944B39">
      <w:pPr>
        <w:pStyle w:val="zhengwen"/>
      </w:pPr>
      <w:r w:rsidRPr="004865EF">
        <w:rPr>
          <w:rFonts w:hint="eastAsia"/>
        </w:rPr>
        <w:t>发行人已在募集说明书</w:t>
      </w:r>
      <w:r w:rsidR="00720C0D" w:rsidRPr="004865EF">
        <w:rPr>
          <w:rFonts w:hint="eastAsia"/>
        </w:rPr>
        <w:t>“</w:t>
      </w:r>
      <w:r w:rsidRPr="004865EF">
        <w:rPr>
          <w:rFonts w:hint="eastAsia"/>
        </w:rPr>
        <w:t>第三节</w:t>
      </w:r>
      <w:r w:rsidRPr="004865EF">
        <w:rPr>
          <w:rFonts w:hint="eastAsia"/>
        </w:rPr>
        <w:t xml:space="preserve"> </w:t>
      </w:r>
      <w:r w:rsidRPr="004865EF">
        <w:rPr>
          <w:rFonts w:hint="eastAsia"/>
        </w:rPr>
        <w:t>董事会关于本次募集资金使用的可行性分析</w:t>
      </w:r>
      <w:r w:rsidR="00720C0D" w:rsidRPr="004865EF">
        <w:rPr>
          <w:rFonts w:hint="eastAsia"/>
        </w:rPr>
        <w:t>”</w:t>
      </w:r>
      <w:r w:rsidRPr="004865EF">
        <w:rPr>
          <w:rFonts w:hint="eastAsia"/>
        </w:rPr>
        <w:t>之</w:t>
      </w:r>
      <w:r w:rsidR="00720C0D" w:rsidRPr="004865EF">
        <w:rPr>
          <w:rFonts w:hint="eastAsia"/>
        </w:rPr>
        <w:t>“</w:t>
      </w:r>
      <w:r w:rsidRPr="004865EF">
        <w:rPr>
          <w:rFonts w:hint="eastAsia"/>
        </w:rPr>
        <w:t>二、本次募集资金投资项目的可行性分析</w:t>
      </w:r>
      <w:r w:rsidR="00720C0D" w:rsidRPr="004865EF">
        <w:rPr>
          <w:rFonts w:hint="eastAsia"/>
        </w:rPr>
        <w:t>”</w:t>
      </w:r>
      <w:r w:rsidRPr="004865EF">
        <w:rPr>
          <w:rFonts w:hint="eastAsia"/>
        </w:rPr>
        <w:t>之</w:t>
      </w:r>
      <w:r w:rsidR="00720C0D" w:rsidRPr="004865EF">
        <w:rPr>
          <w:rFonts w:hint="eastAsia"/>
        </w:rPr>
        <w:t>“</w:t>
      </w:r>
      <w:r w:rsidRPr="004865EF">
        <w:rPr>
          <w:rFonts w:hint="eastAsia"/>
        </w:rPr>
        <w:t>（一）云计算数据中心</w:t>
      </w:r>
      <w:r w:rsidR="00720C0D" w:rsidRPr="004865EF">
        <w:rPr>
          <w:rFonts w:hint="eastAsia"/>
        </w:rPr>
        <w:t>”</w:t>
      </w:r>
      <w:r w:rsidR="00BD2E28" w:rsidRPr="004865EF">
        <w:rPr>
          <w:rFonts w:hint="eastAsia"/>
        </w:rPr>
        <w:t>之</w:t>
      </w:r>
      <w:r w:rsidR="00720C0D" w:rsidRPr="004865EF">
        <w:rPr>
          <w:rFonts w:hint="eastAsia"/>
        </w:rPr>
        <w:t>“</w:t>
      </w:r>
      <w:r w:rsidR="00BD2E28" w:rsidRPr="004865EF">
        <w:rPr>
          <w:rFonts w:hint="eastAsia"/>
        </w:rPr>
        <w:t>1</w:t>
      </w:r>
      <w:r w:rsidR="00BD2E28" w:rsidRPr="004865EF">
        <w:rPr>
          <w:rFonts w:hint="eastAsia"/>
        </w:rPr>
        <w:t>、</w:t>
      </w:r>
      <w:r w:rsidR="00BD2E28" w:rsidRPr="004865EF">
        <w:t>项目基本情况</w:t>
      </w:r>
      <w:r w:rsidR="00720C0D" w:rsidRPr="004865EF">
        <w:rPr>
          <w:rFonts w:hint="eastAsia"/>
        </w:rPr>
        <w:t>”</w:t>
      </w:r>
      <w:r w:rsidR="00BD2E28" w:rsidRPr="004865EF">
        <w:rPr>
          <w:rFonts w:hint="eastAsia"/>
        </w:rPr>
        <w:t>补充披露了上海嘉定绿色</w:t>
      </w:r>
      <w:proofErr w:type="gramStart"/>
      <w:r w:rsidR="00BD2E28" w:rsidRPr="004865EF">
        <w:rPr>
          <w:rFonts w:hint="eastAsia"/>
        </w:rPr>
        <w:t>云计算</w:t>
      </w:r>
      <w:proofErr w:type="gramEnd"/>
      <w:r w:rsidR="00BD2E28" w:rsidRPr="004865EF">
        <w:rPr>
          <w:rFonts w:hint="eastAsia"/>
        </w:rPr>
        <w:t>基地二期项目剩余用</w:t>
      </w:r>
      <w:proofErr w:type="gramStart"/>
      <w:r w:rsidR="00BD2E28" w:rsidRPr="004865EF">
        <w:rPr>
          <w:rFonts w:hint="eastAsia"/>
        </w:rPr>
        <w:t>能指标</w:t>
      </w:r>
      <w:proofErr w:type="gramEnd"/>
      <w:r w:rsidR="00BD2E28" w:rsidRPr="004865EF">
        <w:rPr>
          <w:rFonts w:hint="eastAsia"/>
        </w:rPr>
        <w:t>的申请计划</w:t>
      </w:r>
      <w:r w:rsidRPr="004865EF">
        <w:rPr>
          <w:rFonts w:hint="eastAsia"/>
        </w:rPr>
        <w:t>情况。</w:t>
      </w:r>
    </w:p>
    <w:p w14:paraId="27C07035" w14:textId="228DBC37" w:rsidR="00BD2E28" w:rsidRPr="004865EF" w:rsidRDefault="00BD2E28" w:rsidP="00494620">
      <w:pPr>
        <w:pStyle w:val="zhengwen"/>
      </w:pPr>
      <w:r w:rsidRPr="004865EF">
        <w:rPr>
          <w:rFonts w:hint="eastAsia"/>
        </w:rPr>
        <w:t>发行人已在募集说明书</w:t>
      </w:r>
      <w:r w:rsidR="00720C0D" w:rsidRPr="004865EF">
        <w:rPr>
          <w:rFonts w:hint="eastAsia"/>
        </w:rPr>
        <w:t>“</w:t>
      </w:r>
      <w:r w:rsidRPr="004865EF">
        <w:rPr>
          <w:rFonts w:hint="eastAsia"/>
        </w:rPr>
        <w:t>第三节</w:t>
      </w:r>
      <w:r w:rsidRPr="004865EF">
        <w:rPr>
          <w:rFonts w:hint="eastAsia"/>
        </w:rPr>
        <w:t xml:space="preserve"> </w:t>
      </w:r>
      <w:r w:rsidRPr="004865EF">
        <w:rPr>
          <w:rFonts w:hint="eastAsia"/>
        </w:rPr>
        <w:t>董事会关于本次募集资金使用的可行性分析</w:t>
      </w:r>
      <w:r w:rsidR="00720C0D" w:rsidRPr="004865EF">
        <w:rPr>
          <w:rFonts w:hint="eastAsia"/>
        </w:rPr>
        <w:t>”</w:t>
      </w:r>
      <w:r w:rsidRPr="004865EF">
        <w:rPr>
          <w:rFonts w:hint="eastAsia"/>
        </w:rPr>
        <w:t>之</w:t>
      </w:r>
      <w:r w:rsidR="00720C0D" w:rsidRPr="004865EF">
        <w:rPr>
          <w:rFonts w:hint="eastAsia"/>
        </w:rPr>
        <w:t>“</w:t>
      </w:r>
      <w:r w:rsidRPr="004865EF">
        <w:rPr>
          <w:rFonts w:hint="eastAsia"/>
        </w:rPr>
        <w:t>二、本次募集资金投资项目的可行性分析</w:t>
      </w:r>
      <w:r w:rsidR="00720C0D" w:rsidRPr="004865EF">
        <w:rPr>
          <w:rFonts w:hint="eastAsia"/>
        </w:rPr>
        <w:t>”</w:t>
      </w:r>
      <w:r w:rsidRPr="004865EF">
        <w:rPr>
          <w:rFonts w:hint="eastAsia"/>
        </w:rPr>
        <w:t>之</w:t>
      </w:r>
      <w:r w:rsidR="00720C0D" w:rsidRPr="004865EF">
        <w:rPr>
          <w:rFonts w:hint="eastAsia"/>
        </w:rPr>
        <w:t>“</w:t>
      </w:r>
      <w:r w:rsidRPr="004865EF">
        <w:rPr>
          <w:rFonts w:hint="eastAsia"/>
        </w:rPr>
        <w:t>（一）云计算数据中心</w:t>
      </w:r>
      <w:r w:rsidR="00720C0D" w:rsidRPr="004865EF">
        <w:rPr>
          <w:rFonts w:hint="eastAsia"/>
        </w:rPr>
        <w:t>”</w:t>
      </w:r>
      <w:r w:rsidRPr="004865EF">
        <w:rPr>
          <w:rFonts w:hint="eastAsia"/>
        </w:rPr>
        <w:t>之</w:t>
      </w:r>
      <w:r w:rsidR="00720C0D" w:rsidRPr="004865EF">
        <w:rPr>
          <w:rFonts w:hint="eastAsia"/>
        </w:rPr>
        <w:t>“</w:t>
      </w:r>
      <w:r w:rsidRPr="004865EF">
        <w:rPr>
          <w:bCs/>
          <w:szCs w:val="24"/>
        </w:rPr>
        <w:t>7</w:t>
      </w:r>
      <w:r w:rsidRPr="004865EF">
        <w:rPr>
          <w:rFonts w:hint="eastAsia"/>
          <w:bCs/>
          <w:szCs w:val="24"/>
        </w:rPr>
        <w:t>、</w:t>
      </w:r>
      <w:r w:rsidRPr="004865EF">
        <w:rPr>
          <w:bCs/>
          <w:szCs w:val="24"/>
        </w:rPr>
        <w:t>立项、土地、环保等报批事项</w:t>
      </w:r>
      <w:r w:rsidR="00720C0D" w:rsidRPr="004865EF">
        <w:rPr>
          <w:rFonts w:hint="eastAsia"/>
        </w:rPr>
        <w:t>”</w:t>
      </w:r>
      <w:r w:rsidRPr="004865EF">
        <w:rPr>
          <w:rFonts w:hint="eastAsia"/>
        </w:rPr>
        <w:t>补充披露各</w:t>
      </w:r>
      <w:proofErr w:type="gramStart"/>
      <w:r w:rsidRPr="004865EF">
        <w:rPr>
          <w:rFonts w:hint="eastAsia"/>
        </w:rPr>
        <w:t>募投项目</w:t>
      </w:r>
      <w:proofErr w:type="gramEnd"/>
      <w:r w:rsidRPr="004865EF">
        <w:rPr>
          <w:rFonts w:hint="eastAsia"/>
        </w:rPr>
        <w:t>已取得实施所需的全部资质或许可。</w:t>
      </w:r>
    </w:p>
    <w:p w14:paraId="2FC97D74" w14:textId="793DE2EE" w:rsidR="00BD2E28" w:rsidRPr="004865EF" w:rsidRDefault="00BD2E28" w:rsidP="00494620">
      <w:pPr>
        <w:pStyle w:val="zhengwen"/>
      </w:pPr>
      <w:r w:rsidRPr="004865EF">
        <w:rPr>
          <w:rFonts w:hint="eastAsia"/>
        </w:rPr>
        <w:t>发行人已在募集说明书</w:t>
      </w:r>
      <w:r w:rsidR="00720C0D" w:rsidRPr="004865EF">
        <w:rPr>
          <w:rFonts w:hint="eastAsia"/>
        </w:rPr>
        <w:t>“</w:t>
      </w:r>
      <w:r w:rsidRPr="004865EF">
        <w:rPr>
          <w:rFonts w:hint="eastAsia"/>
        </w:rPr>
        <w:t>第三节</w:t>
      </w:r>
      <w:r w:rsidRPr="004865EF">
        <w:t xml:space="preserve"> </w:t>
      </w:r>
      <w:r w:rsidRPr="004865EF">
        <w:t>董事会关于本次募集资金使用的可行性分析</w:t>
      </w:r>
      <w:r w:rsidR="00720C0D" w:rsidRPr="004865EF">
        <w:rPr>
          <w:rFonts w:hint="eastAsia"/>
        </w:rPr>
        <w:t>”之“二、本次募集资金投资项目的可行性分析”之“</w:t>
      </w:r>
      <w:r w:rsidRPr="004865EF">
        <w:t>（一）云计算数据中心</w:t>
      </w:r>
      <w:r w:rsidR="00720C0D" w:rsidRPr="004865EF">
        <w:rPr>
          <w:rFonts w:hint="eastAsia"/>
        </w:rPr>
        <w:t>”</w:t>
      </w:r>
      <w:r w:rsidRPr="004865EF">
        <w:t>补充披露了</w:t>
      </w:r>
      <w:r w:rsidRPr="004865EF">
        <w:rPr>
          <w:rFonts w:hint="eastAsia"/>
        </w:rPr>
        <w:t>数据中心建设相关政策变化对公司经营及</w:t>
      </w:r>
      <w:proofErr w:type="gramStart"/>
      <w:r w:rsidRPr="004865EF">
        <w:rPr>
          <w:rFonts w:hint="eastAsia"/>
        </w:rPr>
        <w:t>募投项目</w:t>
      </w:r>
      <w:proofErr w:type="gramEnd"/>
      <w:r w:rsidRPr="004865EF">
        <w:rPr>
          <w:rFonts w:hint="eastAsia"/>
        </w:rPr>
        <w:t>实施的影响</w:t>
      </w:r>
      <w:r w:rsidRPr="004865EF">
        <w:t>。</w:t>
      </w:r>
    </w:p>
    <w:p w14:paraId="3A55B924" w14:textId="62E4756C" w:rsidR="00944B39" w:rsidRPr="004865EF" w:rsidRDefault="00944B39" w:rsidP="00494620">
      <w:pPr>
        <w:pStyle w:val="zhengwen"/>
      </w:pPr>
      <w:r w:rsidRPr="004865EF">
        <w:rPr>
          <w:rFonts w:hint="eastAsia"/>
        </w:rPr>
        <w:t>发行人已在募集说明书</w:t>
      </w:r>
      <w:r w:rsidR="00720C0D" w:rsidRPr="004865EF">
        <w:rPr>
          <w:rFonts w:hint="eastAsia"/>
        </w:rPr>
        <w:t>“</w:t>
      </w:r>
      <w:r w:rsidRPr="004865EF">
        <w:rPr>
          <w:rFonts w:hint="eastAsia"/>
        </w:rPr>
        <w:t>第六节</w:t>
      </w:r>
      <w:r w:rsidRPr="004865EF">
        <w:t xml:space="preserve"> </w:t>
      </w:r>
      <w:r w:rsidRPr="004865EF">
        <w:t>与本次发行相关的风险因素</w:t>
      </w:r>
      <w:r w:rsidR="00720C0D" w:rsidRPr="004865EF">
        <w:rPr>
          <w:rFonts w:hint="eastAsia"/>
        </w:rPr>
        <w:t>”</w:t>
      </w:r>
      <w:r w:rsidRPr="004865EF">
        <w:rPr>
          <w:rFonts w:hint="eastAsia"/>
        </w:rPr>
        <w:t>之</w:t>
      </w:r>
      <w:r w:rsidR="00720C0D" w:rsidRPr="004865EF">
        <w:rPr>
          <w:rFonts w:hint="eastAsia"/>
        </w:rPr>
        <w:t>“</w:t>
      </w:r>
      <w:r w:rsidRPr="004865EF">
        <w:rPr>
          <w:rFonts w:hint="eastAsia"/>
        </w:rPr>
        <w:t>三、业务经营与管理风险</w:t>
      </w:r>
      <w:r w:rsidR="00720C0D" w:rsidRPr="004865EF">
        <w:rPr>
          <w:rFonts w:hint="eastAsia"/>
        </w:rPr>
        <w:t>”</w:t>
      </w:r>
      <w:r w:rsidRPr="004865EF">
        <w:rPr>
          <w:rFonts w:hint="eastAsia"/>
        </w:rPr>
        <w:t>补充披露</w:t>
      </w:r>
      <w:proofErr w:type="gramStart"/>
      <w:r w:rsidRPr="004865EF">
        <w:rPr>
          <w:rFonts w:hint="eastAsia"/>
        </w:rPr>
        <w:t>募投项目</w:t>
      </w:r>
      <w:proofErr w:type="gramEnd"/>
      <w:r w:rsidRPr="004865EF">
        <w:rPr>
          <w:rFonts w:hint="eastAsia"/>
        </w:rPr>
        <w:t>剩余用</w:t>
      </w:r>
      <w:proofErr w:type="gramStart"/>
      <w:r w:rsidRPr="004865EF">
        <w:rPr>
          <w:rFonts w:hint="eastAsia"/>
        </w:rPr>
        <w:t>能指标</w:t>
      </w:r>
      <w:proofErr w:type="gramEnd"/>
      <w:r w:rsidRPr="004865EF">
        <w:rPr>
          <w:rFonts w:hint="eastAsia"/>
        </w:rPr>
        <w:t>无法及时取得的风险。</w:t>
      </w:r>
    </w:p>
    <w:p w14:paraId="019A7CA0" w14:textId="77777777" w:rsidR="00944B39" w:rsidRPr="004865EF" w:rsidRDefault="00944B39" w:rsidP="00602FC1">
      <w:pPr>
        <w:pStyle w:val="zhengwen"/>
      </w:pPr>
    </w:p>
    <w:p w14:paraId="39F1016F" w14:textId="3F80C0A6" w:rsidR="00B4309A" w:rsidRPr="004865EF" w:rsidRDefault="00B4309A" w:rsidP="00181621">
      <w:pPr>
        <w:pStyle w:val="1"/>
        <w:spacing w:before="120"/>
      </w:pPr>
      <w:bookmarkStart w:id="27" w:name="_Toc46013715"/>
      <w:bookmarkStart w:id="28" w:name="_Toc47020540"/>
      <w:r w:rsidRPr="004865EF">
        <w:rPr>
          <w:rFonts w:hint="eastAsia"/>
        </w:rPr>
        <w:t>问题</w:t>
      </w:r>
      <w:r w:rsidRPr="004865EF">
        <w:t>6</w:t>
      </w:r>
      <w:r w:rsidR="0063025B" w:rsidRPr="004865EF">
        <w:t>.</w:t>
      </w:r>
      <w:r w:rsidR="0063025B" w:rsidRPr="004865EF">
        <w:rPr>
          <w:rFonts w:hint="eastAsia"/>
        </w:rPr>
        <w:t>关于未决诉讼</w:t>
      </w:r>
      <w:bookmarkEnd w:id="27"/>
      <w:bookmarkEnd w:id="28"/>
    </w:p>
    <w:p w14:paraId="6D7D5B61" w14:textId="2495C2AC" w:rsidR="00602FC1" w:rsidRPr="004865EF" w:rsidRDefault="00602FC1"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hint="eastAsia"/>
          <w:b/>
          <w:sz w:val="24"/>
        </w:rPr>
        <w:t>发行人存在尚未了结的诉讼事项。</w:t>
      </w:r>
    </w:p>
    <w:p w14:paraId="7D2788DA" w14:textId="77777777" w:rsidR="00602FC1" w:rsidRPr="004865EF" w:rsidRDefault="00602FC1" w:rsidP="00A66425">
      <w:pPr>
        <w:pStyle w:val="-"/>
        <w:spacing w:beforeLines="50" w:before="120" w:line="360" w:lineRule="auto"/>
        <w:ind w:firstLineChars="200" w:firstLine="482"/>
        <w:rPr>
          <w:rFonts w:ascii="黑体" w:eastAsia="黑体" w:hAnsi="黑体"/>
          <w:b/>
        </w:rPr>
      </w:pPr>
      <w:r w:rsidRPr="004865EF">
        <w:rPr>
          <w:rFonts w:ascii="黑体" w:eastAsia="黑体" w:hAnsi="黑体" w:hint="eastAsia"/>
          <w:b/>
          <w:sz w:val="24"/>
        </w:rPr>
        <w:t>请发行人补充披露相关诉讼的基本案情和受理情况，主要诉讼请求，判决结果及执行情况，是否涉及公司核心专利、商标、技术或者主要产品，以及对</w:t>
      </w:r>
      <w:r w:rsidRPr="004865EF">
        <w:rPr>
          <w:rFonts w:ascii="黑体" w:eastAsia="黑体" w:hAnsi="黑体" w:hint="eastAsia"/>
          <w:b/>
          <w:sz w:val="24"/>
        </w:rPr>
        <w:lastRenderedPageBreak/>
        <w:t>公司生产经营、财务状况、未来发展的影响。</w:t>
      </w:r>
    </w:p>
    <w:p w14:paraId="70BA13B2" w14:textId="77777777" w:rsidR="00602FC1" w:rsidRPr="004865EF" w:rsidRDefault="00602FC1" w:rsidP="00A66425">
      <w:pPr>
        <w:pStyle w:val="-"/>
        <w:spacing w:beforeLines="50" w:before="120" w:line="360" w:lineRule="auto"/>
        <w:ind w:firstLineChars="200" w:firstLine="482"/>
        <w:rPr>
          <w:rFonts w:ascii="黑体" w:eastAsia="黑体" w:hAnsi="黑体"/>
          <w:b/>
        </w:rPr>
      </w:pPr>
      <w:r w:rsidRPr="004865EF">
        <w:rPr>
          <w:rFonts w:ascii="黑体" w:eastAsia="黑体" w:hAnsi="黑体" w:hint="eastAsia"/>
          <w:b/>
          <w:sz w:val="24"/>
        </w:rPr>
        <w:t>请保荐人及发行人律师核查并发表明确意见。</w:t>
      </w:r>
    </w:p>
    <w:p w14:paraId="7106E354" w14:textId="22D24B25" w:rsidR="00861548" w:rsidRPr="004865EF" w:rsidRDefault="00F47173">
      <w:pPr>
        <w:pStyle w:val="zhengwen"/>
      </w:pPr>
      <w:r w:rsidRPr="004865EF">
        <w:rPr>
          <w:rFonts w:hint="eastAsia"/>
        </w:rPr>
        <w:t>【回复】</w:t>
      </w:r>
    </w:p>
    <w:p w14:paraId="7DA6755B" w14:textId="3C7F99DD" w:rsidR="00BF64DE" w:rsidRPr="004865EF" w:rsidRDefault="00BF64DE" w:rsidP="0066058B">
      <w:pPr>
        <w:pStyle w:val="2"/>
      </w:pPr>
      <w:r w:rsidRPr="004865EF">
        <w:rPr>
          <w:rFonts w:hint="eastAsia"/>
        </w:rPr>
        <w:t>一、</w:t>
      </w:r>
      <w:r w:rsidR="009C02C8" w:rsidRPr="004865EF">
        <w:rPr>
          <w:rFonts w:hint="eastAsia"/>
        </w:rPr>
        <w:t>相关诉讼的基本案情和受理情况，主要诉讼请求，判决结果及执行情况</w:t>
      </w:r>
    </w:p>
    <w:p w14:paraId="5D5A7732" w14:textId="6A2C4D17" w:rsidR="00D46441" w:rsidRPr="004865EF" w:rsidRDefault="00D46441" w:rsidP="00E87AF9">
      <w:pPr>
        <w:pStyle w:val="zhengwen"/>
      </w:pPr>
      <w:r w:rsidRPr="004865EF">
        <w:rPr>
          <w:rFonts w:hint="eastAsia"/>
        </w:rPr>
        <w:t>原告北京炎黄盈动科技发展有限责任公司</w:t>
      </w:r>
      <w:r w:rsidR="00B01D05" w:rsidRPr="004865EF">
        <w:rPr>
          <w:rFonts w:hint="eastAsia"/>
        </w:rPr>
        <w:t>（以下简称</w:t>
      </w:r>
      <w:r w:rsidR="00720C0D" w:rsidRPr="004865EF">
        <w:rPr>
          <w:rFonts w:hint="eastAsia"/>
        </w:rPr>
        <w:t>“</w:t>
      </w:r>
      <w:r w:rsidR="00B01D05" w:rsidRPr="004865EF">
        <w:rPr>
          <w:rFonts w:hint="eastAsia"/>
        </w:rPr>
        <w:t>炎黄盈动</w:t>
      </w:r>
      <w:r w:rsidR="00720C0D" w:rsidRPr="004865EF">
        <w:rPr>
          <w:rFonts w:hint="eastAsia"/>
        </w:rPr>
        <w:t>”</w:t>
      </w:r>
      <w:r w:rsidR="00B01D05" w:rsidRPr="004865EF">
        <w:rPr>
          <w:rFonts w:hint="eastAsia"/>
        </w:rPr>
        <w:t>）</w:t>
      </w:r>
      <w:r w:rsidRPr="004865EF">
        <w:rPr>
          <w:rFonts w:hint="eastAsia"/>
        </w:rPr>
        <w:t>于</w:t>
      </w:r>
      <w:r w:rsidRPr="004865EF">
        <w:t>2018</w:t>
      </w:r>
      <w:r w:rsidRPr="004865EF">
        <w:rPr>
          <w:rFonts w:hint="eastAsia"/>
        </w:rPr>
        <w:t>年</w:t>
      </w:r>
      <w:r w:rsidRPr="004865EF">
        <w:t>6</w:t>
      </w:r>
      <w:r w:rsidRPr="004865EF">
        <w:rPr>
          <w:rFonts w:hint="eastAsia"/>
        </w:rPr>
        <w:t>月</w:t>
      </w:r>
      <w:r w:rsidRPr="004865EF">
        <w:t>25</w:t>
      </w:r>
      <w:r w:rsidRPr="004865EF">
        <w:rPr>
          <w:rFonts w:hint="eastAsia"/>
        </w:rPr>
        <w:t>日以发行人和亚马逊通技术服务（北京）有限公司（以下简称</w:t>
      </w:r>
      <w:r w:rsidR="00720C0D" w:rsidRPr="004865EF">
        <w:rPr>
          <w:rFonts w:hint="eastAsia"/>
        </w:rPr>
        <w:t>“</w:t>
      </w:r>
      <w:r w:rsidRPr="004865EF">
        <w:rPr>
          <w:rFonts w:hint="eastAsia"/>
        </w:rPr>
        <w:t>亚马逊通</w:t>
      </w:r>
      <w:r w:rsidR="00720C0D" w:rsidRPr="004865EF">
        <w:rPr>
          <w:rFonts w:hint="eastAsia"/>
        </w:rPr>
        <w:t>”</w:t>
      </w:r>
      <w:r w:rsidRPr="004865EF">
        <w:rPr>
          <w:rFonts w:hint="eastAsia"/>
        </w:rPr>
        <w:t>）侵害商标权为由，向北京市高级人民法院提起诉讼，请求两被告停止商标侵权行为，共同赔偿原告经济损失叁亿元人民币、承担相关费用，并消除影响。</w:t>
      </w:r>
    </w:p>
    <w:p w14:paraId="729BAAFA" w14:textId="3619D766" w:rsidR="00D46441" w:rsidRPr="004865EF" w:rsidRDefault="00D46441" w:rsidP="00E87AF9">
      <w:pPr>
        <w:pStyle w:val="zhengwen"/>
      </w:pPr>
      <w:r w:rsidRPr="004865EF">
        <w:rPr>
          <w:rFonts w:hint="eastAsia"/>
        </w:rPr>
        <w:t>北京市高级人民法院于</w:t>
      </w:r>
      <w:r w:rsidRPr="004865EF">
        <w:t>2020</w:t>
      </w:r>
      <w:r w:rsidRPr="004865EF">
        <w:rPr>
          <w:rFonts w:hint="eastAsia"/>
        </w:rPr>
        <w:t>年</w:t>
      </w:r>
      <w:r w:rsidRPr="004865EF">
        <w:t>5</w:t>
      </w:r>
      <w:r w:rsidRPr="004865EF">
        <w:rPr>
          <w:rFonts w:hint="eastAsia"/>
        </w:rPr>
        <w:t>月</w:t>
      </w:r>
      <w:r w:rsidRPr="004865EF">
        <w:t>6</w:t>
      </w:r>
      <w:r w:rsidRPr="004865EF">
        <w:rPr>
          <w:rFonts w:hint="eastAsia"/>
        </w:rPr>
        <w:t>日</w:t>
      </w:r>
      <w:proofErr w:type="gramStart"/>
      <w:r w:rsidRPr="004865EF">
        <w:rPr>
          <w:rFonts w:hint="eastAsia"/>
        </w:rPr>
        <w:t>作出</w:t>
      </w:r>
      <w:proofErr w:type="gramEnd"/>
      <w:r w:rsidRPr="004865EF">
        <w:rPr>
          <w:rFonts w:hint="eastAsia"/>
        </w:rPr>
        <w:t>一审判决（</w:t>
      </w:r>
      <w:proofErr w:type="gramStart"/>
      <w:r w:rsidRPr="004865EF">
        <w:rPr>
          <w:rFonts w:hint="eastAsia"/>
        </w:rPr>
        <w:t>依法未</w:t>
      </w:r>
      <w:proofErr w:type="gramEnd"/>
      <w:r w:rsidRPr="004865EF">
        <w:rPr>
          <w:rFonts w:hint="eastAsia"/>
        </w:rPr>
        <w:t>生效）：判定发行人与亚马逊通不得在与炎黄盈动相似商品或服务上使用</w:t>
      </w:r>
      <w:r w:rsidR="00720C0D" w:rsidRPr="004865EF">
        <w:rPr>
          <w:rFonts w:hint="eastAsia"/>
        </w:rPr>
        <w:t>“</w:t>
      </w:r>
      <w:r w:rsidRPr="004865EF">
        <w:t>AWS</w:t>
      </w:r>
      <w:r w:rsidR="00720C0D" w:rsidRPr="004865EF">
        <w:rPr>
          <w:rFonts w:hint="eastAsia"/>
        </w:rPr>
        <w:t>”</w:t>
      </w:r>
      <w:r w:rsidRPr="004865EF">
        <w:rPr>
          <w:rFonts w:hint="eastAsia"/>
        </w:rPr>
        <w:t>标志及与其近似的标志；发行人与亚马逊通在判决生效后共同赔偿炎黄盈</w:t>
      </w:r>
      <w:proofErr w:type="gramStart"/>
      <w:r w:rsidRPr="004865EF">
        <w:rPr>
          <w:rFonts w:hint="eastAsia"/>
        </w:rPr>
        <w:t>动</w:t>
      </w:r>
      <w:r w:rsidR="008074FC" w:rsidRPr="004865EF">
        <w:rPr>
          <w:rFonts w:hint="eastAsia"/>
        </w:rPr>
        <w:t>相应</w:t>
      </w:r>
      <w:proofErr w:type="gramEnd"/>
      <w:r w:rsidRPr="004865EF">
        <w:rPr>
          <w:rFonts w:hint="eastAsia"/>
        </w:rPr>
        <w:t>经济损失及合理诉讼费用。发行人不服上述判决，已于</w:t>
      </w:r>
      <w:r w:rsidRPr="004865EF">
        <w:t>2020</w:t>
      </w:r>
      <w:r w:rsidRPr="004865EF">
        <w:rPr>
          <w:rFonts w:hint="eastAsia"/>
        </w:rPr>
        <w:t>年</w:t>
      </w:r>
      <w:r w:rsidRPr="004865EF">
        <w:t>5</w:t>
      </w:r>
      <w:r w:rsidRPr="004865EF">
        <w:rPr>
          <w:rFonts w:hint="eastAsia"/>
        </w:rPr>
        <w:t>月</w:t>
      </w:r>
      <w:r w:rsidRPr="004865EF">
        <w:t>21</w:t>
      </w:r>
      <w:r w:rsidRPr="004865EF">
        <w:rPr>
          <w:rFonts w:hint="eastAsia"/>
        </w:rPr>
        <w:t>日向最高人民法院提起上诉，请求最高人民法院撤销一审判决，驳回原告的全部诉讼请求，本案二审已经被受理，目前处于二审阶段。</w:t>
      </w:r>
    </w:p>
    <w:p w14:paraId="58FB35A6" w14:textId="063E7932" w:rsidR="00D46441" w:rsidRPr="004865EF" w:rsidRDefault="00D360A3" w:rsidP="00E87AF9">
      <w:pPr>
        <w:pStyle w:val="zhengwen"/>
      </w:pPr>
      <w:r w:rsidRPr="004865EF">
        <w:rPr>
          <w:rFonts w:hint="eastAsia"/>
        </w:rPr>
        <w:t>截</w:t>
      </w:r>
      <w:r w:rsidR="009B0153" w:rsidRPr="004865EF">
        <w:rPr>
          <w:rFonts w:hint="eastAsia"/>
        </w:rPr>
        <w:t>至</w:t>
      </w:r>
      <w:r w:rsidRPr="004865EF">
        <w:rPr>
          <w:rFonts w:hint="eastAsia"/>
        </w:rPr>
        <w:t>本问询函回复出具日，本案处于</w:t>
      </w:r>
      <w:r w:rsidR="00D46441" w:rsidRPr="004865EF">
        <w:rPr>
          <w:rFonts w:hint="eastAsia"/>
        </w:rPr>
        <w:t>最高人民法院二审阶段，一审判决</w:t>
      </w:r>
      <w:proofErr w:type="gramStart"/>
      <w:r w:rsidR="00D46441" w:rsidRPr="004865EF">
        <w:rPr>
          <w:rFonts w:hint="eastAsia"/>
        </w:rPr>
        <w:t>依法未</w:t>
      </w:r>
      <w:proofErr w:type="gramEnd"/>
      <w:r w:rsidR="00D46441" w:rsidRPr="004865EF">
        <w:rPr>
          <w:rFonts w:hint="eastAsia"/>
        </w:rPr>
        <w:t>生效，在二审判决</w:t>
      </w:r>
      <w:proofErr w:type="gramStart"/>
      <w:r w:rsidR="00D46441" w:rsidRPr="004865EF">
        <w:rPr>
          <w:rFonts w:hint="eastAsia"/>
        </w:rPr>
        <w:t>作出</w:t>
      </w:r>
      <w:proofErr w:type="gramEnd"/>
      <w:r w:rsidR="00D46441" w:rsidRPr="004865EF">
        <w:rPr>
          <w:rFonts w:hint="eastAsia"/>
        </w:rPr>
        <w:t>之前不涉及判决的执行。</w:t>
      </w:r>
    </w:p>
    <w:p w14:paraId="36BF73E6" w14:textId="03C89878" w:rsidR="00D46441" w:rsidRPr="004865EF" w:rsidRDefault="00D46441" w:rsidP="00A66425">
      <w:pPr>
        <w:pStyle w:val="2"/>
      </w:pPr>
      <w:bookmarkStart w:id="29" w:name="_Toc45708934"/>
      <w:bookmarkStart w:id="30" w:name="_Toc45742512"/>
      <w:r w:rsidRPr="004865EF">
        <w:rPr>
          <w:rFonts w:hint="eastAsia"/>
        </w:rPr>
        <w:t>二、未决诉讼是否涉及发行人核心专利、商标、技术或者主要产品</w:t>
      </w:r>
      <w:bookmarkEnd w:id="29"/>
      <w:bookmarkEnd w:id="30"/>
      <w:r w:rsidRPr="004865EF">
        <w:rPr>
          <w:rFonts w:hint="eastAsia"/>
        </w:rPr>
        <w:t>，以及对公司生产经营、财务状况、未来发展的影响</w:t>
      </w:r>
    </w:p>
    <w:p w14:paraId="69CE1073" w14:textId="4BEAF106" w:rsidR="00D46441" w:rsidRPr="004865EF" w:rsidRDefault="00D46441" w:rsidP="00E87AF9">
      <w:pPr>
        <w:pStyle w:val="zhengwen"/>
      </w:pPr>
      <w:r w:rsidRPr="004865EF">
        <w:rPr>
          <w:rFonts w:hint="eastAsia"/>
        </w:rPr>
        <w:t>发行人主要从事互联网数据中心业务及</w:t>
      </w:r>
      <w:proofErr w:type="gramStart"/>
      <w:r w:rsidRPr="004865EF">
        <w:rPr>
          <w:rFonts w:hint="eastAsia"/>
        </w:rPr>
        <w:t>云计算</w:t>
      </w:r>
      <w:proofErr w:type="gramEnd"/>
      <w:r w:rsidRPr="004865EF">
        <w:rPr>
          <w:rFonts w:hint="eastAsia"/>
        </w:rPr>
        <w:t>业务。基于发行人与亚马逊通的合作关系，发行人依托其在北京及周边地区的基础设施，在中国境内提供并运营北京区域的亚马逊</w:t>
      </w:r>
      <w:proofErr w:type="gramStart"/>
      <w:r w:rsidRPr="004865EF">
        <w:rPr>
          <w:rFonts w:hint="eastAsia"/>
        </w:rPr>
        <w:t>云计算</w:t>
      </w:r>
      <w:proofErr w:type="gramEnd"/>
      <w:r w:rsidRPr="004865EF">
        <w:rPr>
          <w:rFonts w:hint="eastAsia"/>
        </w:rPr>
        <w:t>及相关服务（</w:t>
      </w:r>
      <w:r w:rsidR="00720C0D" w:rsidRPr="004865EF">
        <w:rPr>
          <w:rFonts w:hint="eastAsia"/>
        </w:rPr>
        <w:t>“</w:t>
      </w:r>
      <w:r w:rsidRPr="004865EF">
        <w:t>AWS</w:t>
      </w:r>
      <w:r w:rsidRPr="004865EF">
        <w:rPr>
          <w:rFonts w:hint="eastAsia"/>
        </w:rPr>
        <w:t>云服务</w:t>
      </w:r>
      <w:r w:rsidR="00720C0D" w:rsidRPr="004865EF">
        <w:rPr>
          <w:rFonts w:hint="eastAsia"/>
        </w:rPr>
        <w:t>”</w:t>
      </w:r>
      <w:r w:rsidRPr="004865EF">
        <w:rPr>
          <w:rFonts w:hint="eastAsia"/>
        </w:rPr>
        <w:t>）。该诉讼涉及的</w:t>
      </w:r>
      <w:r w:rsidR="00720C0D" w:rsidRPr="004865EF">
        <w:rPr>
          <w:rFonts w:hint="eastAsia"/>
        </w:rPr>
        <w:t>“</w:t>
      </w:r>
      <w:r w:rsidRPr="004865EF">
        <w:t>AWS</w:t>
      </w:r>
      <w:r w:rsidR="00720C0D" w:rsidRPr="004865EF">
        <w:rPr>
          <w:rFonts w:hint="eastAsia"/>
        </w:rPr>
        <w:t>”</w:t>
      </w:r>
      <w:r w:rsidRPr="004865EF">
        <w:rPr>
          <w:rFonts w:hint="eastAsia"/>
        </w:rPr>
        <w:t>商标系亚马逊通享有的知识产权，由亚马逊通授权发行人在提供</w:t>
      </w:r>
      <w:r w:rsidRPr="004865EF">
        <w:t>AWS</w:t>
      </w:r>
      <w:proofErr w:type="gramStart"/>
      <w:r w:rsidRPr="004865EF">
        <w:rPr>
          <w:rFonts w:hint="eastAsia"/>
        </w:rPr>
        <w:t>云服务</w:t>
      </w:r>
      <w:proofErr w:type="gramEnd"/>
      <w:r w:rsidRPr="004865EF">
        <w:rPr>
          <w:rFonts w:hint="eastAsia"/>
        </w:rPr>
        <w:t>中使用，该诉讼虽与发行人授权运营的</w:t>
      </w:r>
      <w:r w:rsidRPr="004865EF">
        <w:t>AWS</w:t>
      </w:r>
      <w:proofErr w:type="gramStart"/>
      <w:r w:rsidRPr="004865EF">
        <w:rPr>
          <w:rFonts w:hint="eastAsia"/>
        </w:rPr>
        <w:t>云服务</w:t>
      </w:r>
      <w:proofErr w:type="gramEnd"/>
      <w:r w:rsidRPr="004865EF">
        <w:rPr>
          <w:rFonts w:hint="eastAsia"/>
        </w:rPr>
        <w:t>相关，但不涉及发行人的核心专利、商标、技术。发行人作为被授权使用方，即使法院最终在本案中判定发行人和亚马逊通进行损害赔偿，发行人实际需要承担最终赔偿责任的可能性较小。</w:t>
      </w:r>
    </w:p>
    <w:p w14:paraId="047FA56E" w14:textId="77777777" w:rsidR="0051729D" w:rsidRPr="004865EF" w:rsidRDefault="00D46441" w:rsidP="00E87AF9">
      <w:pPr>
        <w:pStyle w:val="zhengwen"/>
      </w:pPr>
      <w:r w:rsidRPr="004865EF">
        <w:rPr>
          <w:rFonts w:hint="eastAsia"/>
        </w:rPr>
        <w:t>此外，即便法院最终在本案中判定发行人和亚马逊通不得在一定范围内继续使用</w:t>
      </w:r>
      <w:r w:rsidR="00720C0D" w:rsidRPr="004865EF">
        <w:rPr>
          <w:rFonts w:hint="eastAsia"/>
        </w:rPr>
        <w:t>“</w:t>
      </w:r>
      <w:r w:rsidRPr="004865EF">
        <w:t>AWS</w:t>
      </w:r>
      <w:r w:rsidR="00720C0D" w:rsidRPr="004865EF">
        <w:rPr>
          <w:rFonts w:hint="eastAsia"/>
        </w:rPr>
        <w:t>”</w:t>
      </w:r>
      <w:r w:rsidRPr="004865EF">
        <w:rPr>
          <w:rFonts w:hint="eastAsia"/>
        </w:rPr>
        <w:t>商标，公司作为被授权使用方而</w:t>
      </w:r>
      <w:proofErr w:type="gramStart"/>
      <w:r w:rsidRPr="004865EF">
        <w:rPr>
          <w:rFonts w:hint="eastAsia"/>
        </w:rPr>
        <w:t>非商标</w:t>
      </w:r>
      <w:proofErr w:type="gramEnd"/>
      <w:r w:rsidRPr="004865EF">
        <w:rPr>
          <w:rFonts w:hint="eastAsia"/>
        </w:rPr>
        <w:t>所有人，仍可与亚马逊通</w:t>
      </w:r>
      <w:r w:rsidRPr="004865EF">
        <w:rPr>
          <w:rFonts w:hint="eastAsia"/>
        </w:rPr>
        <w:lastRenderedPageBreak/>
        <w:t>协商通过使用其他替代标志开展服务，因此，该诉讼预计不会对公司生产经营、财务状况、未来发展造成重大不利影响。</w:t>
      </w:r>
    </w:p>
    <w:p w14:paraId="27F60E58" w14:textId="77777777" w:rsidR="0051729D" w:rsidRPr="004865EF" w:rsidRDefault="00D360A3" w:rsidP="00E87AF9">
      <w:pPr>
        <w:pStyle w:val="zhengwen"/>
        <w:rPr>
          <w:rFonts w:ascii="楷体" w:eastAsia="楷体" w:hAnsi="楷体"/>
        </w:rPr>
      </w:pPr>
      <w:r w:rsidRPr="004865EF">
        <w:rPr>
          <w:rFonts w:hint="eastAsia"/>
        </w:rPr>
        <w:t>综上所</w:t>
      </w:r>
      <w:r w:rsidR="009C02C8" w:rsidRPr="004865EF">
        <w:rPr>
          <w:rFonts w:hint="eastAsia"/>
        </w:rPr>
        <w:t>述，</w:t>
      </w:r>
      <w:r w:rsidRPr="004865EF">
        <w:rPr>
          <w:rFonts w:hint="eastAsia"/>
        </w:rPr>
        <w:t>本案已经北京市高级人民法院一审判决，目前处于最高人民法院二审阶段。该未决诉讼与发行人授权运营的</w:t>
      </w:r>
      <w:r w:rsidRPr="004865EF">
        <w:t>AWS</w:t>
      </w:r>
      <w:proofErr w:type="gramStart"/>
      <w:r w:rsidRPr="004865EF">
        <w:rPr>
          <w:rFonts w:hint="eastAsia"/>
        </w:rPr>
        <w:t>云服务</w:t>
      </w:r>
      <w:proofErr w:type="gramEnd"/>
      <w:r w:rsidRPr="004865EF">
        <w:rPr>
          <w:rFonts w:hint="eastAsia"/>
        </w:rPr>
        <w:t>相关，但不涉及发行人核心专利、商标、技术。发行人作为被授权使用方，即使法院最终在本案中判定发行人和亚马逊通进行损害赔偿，发行人实际需要承担最终赔偿责任的可能性较小。鉴于该案件案情复杂，争议焦点众多，本案的二审判决结果具有不确定性，即使法院最终判决发行人不得继续使用涉案商标，发行人仍可与亚马逊通协商通过使用其他替代标志开展服务。因此，该未决诉讼不会对发行人生产经营、财务状况以及未来发展产生重大不利影响，不会对发行人本次发行造成实质障碍。</w:t>
      </w:r>
    </w:p>
    <w:p w14:paraId="5B111EEF" w14:textId="425DEA65" w:rsidR="00BF64DE" w:rsidRPr="004865EF" w:rsidRDefault="00BF64DE" w:rsidP="0051729D">
      <w:pPr>
        <w:pStyle w:val="2"/>
      </w:pPr>
      <w:r w:rsidRPr="004865EF">
        <w:rPr>
          <w:rFonts w:hint="eastAsia"/>
        </w:rPr>
        <w:t>三、中介机构核查意见</w:t>
      </w:r>
    </w:p>
    <w:p w14:paraId="23D3192E" w14:textId="77777777" w:rsidR="00B2262D" w:rsidRPr="004865EF" w:rsidRDefault="00B2262D" w:rsidP="00494620">
      <w:pPr>
        <w:adjustRightInd w:val="0"/>
        <w:snapToGrid w:val="0"/>
        <w:spacing w:beforeLines="50" w:before="120" w:afterLines="50" w:after="120" w:line="360" w:lineRule="auto"/>
        <w:ind w:firstLineChars="200" w:firstLine="482"/>
        <w:rPr>
          <w:rFonts w:ascii="Times New Roman" w:eastAsia="宋体" w:hAnsi="Times New Roman" w:cs="Times New Roman"/>
          <w:b/>
          <w:bCs/>
          <w:sz w:val="24"/>
          <w:szCs w:val="22"/>
        </w:rPr>
      </w:pPr>
      <w:r w:rsidRPr="004865EF">
        <w:rPr>
          <w:rFonts w:ascii="Times New Roman" w:eastAsia="宋体" w:hAnsi="Times New Roman" w:cs="Times New Roman" w:hint="eastAsia"/>
          <w:b/>
          <w:bCs/>
          <w:sz w:val="24"/>
          <w:szCs w:val="22"/>
        </w:rPr>
        <w:t>（一）核查程序</w:t>
      </w:r>
    </w:p>
    <w:p w14:paraId="3B81119A" w14:textId="77777777" w:rsidR="00BF64DE" w:rsidRPr="004865EF" w:rsidRDefault="00BF64DE">
      <w:pPr>
        <w:pStyle w:val="zhengwen"/>
      </w:pPr>
      <w:r w:rsidRPr="004865EF">
        <w:rPr>
          <w:rFonts w:hint="eastAsia"/>
        </w:rPr>
        <w:t>针对上述问题，保荐机构及发行人律师履行了以下核查程序：</w:t>
      </w:r>
    </w:p>
    <w:p w14:paraId="618D140A" w14:textId="77777777" w:rsidR="00BF64DE" w:rsidRPr="004865EF" w:rsidRDefault="00BF64DE">
      <w:pPr>
        <w:pStyle w:val="zhengwen"/>
      </w:pPr>
      <w:r w:rsidRPr="004865EF">
        <w:t>1</w:t>
      </w:r>
      <w:r w:rsidRPr="004865EF">
        <w:t>、访谈发行人相关负责人员，了解发行人与</w:t>
      </w:r>
      <w:r w:rsidRPr="004865EF">
        <w:rPr>
          <w:rFonts w:hint="eastAsia"/>
        </w:rPr>
        <w:t>炎黄盈</w:t>
      </w:r>
      <w:proofErr w:type="gramStart"/>
      <w:r w:rsidRPr="004865EF">
        <w:rPr>
          <w:rFonts w:hint="eastAsia"/>
        </w:rPr>
        <w:t>动</w:t>
      </w:r>
      <w:r w:rsidRPr="004865EF">
        <w:t>相关</w:t>
      </w:r>
      <w:proofErr w:type="gramEnd"/>
      <w:r w:rsidRPr="004865EF">
        <w:t>案件的具体情况；</w:t>
      </w:r>
    </w:p>
    <w:p w14:paraId="7C46AE54" w14:textId="4296D0AC" w:rsidR="00BF64DE" w:rsidRPr="004865EF" w:rsidRDefault="00BF64DE">
      <w:pPr>
        <w:pStyle w:val="zhengwen"/>
      </w:pPr>
      <w:r w:rsidRPr="004865EF">
        <w:t>2</w:t>
      </w:r>
      <w:r w:rsidRPr="004865EF">
        <w:t>、查阅起诉状</w:t>
      </w:r>
      <w:r w:rsidRPr="004865EF">
        <w:rPr>
          <w:rFonts w:hint="eastAsia"/>
        </w:rPr>
        <w:t>、一审判决书、上诉状</w:t>
      </w:r>
      <w:r w:rsidRPr="004865EF">
        <w:t>等诉讼文件，了解诉讼</w:t>
      </w:r>
      <w:r w:rsidR="00D46441" w:rsidRPr="004865EF">
        <w:rPr>
          <w:rFonts w:hint="eastAsia"/>
        </w:rPr>
        <w:t>相关情况</w:t>
      </w:r>
      <w:r w:rsidRPr="004865EF">
        <w:t>；</w:t>
      </w:r>
    </w:p>
    <w:p w14:paraId="3E9ABF88" w14:textId="782CEEB5" w:rsidR="00BF64DE" w:rsidRPr="004865EF" w:rsidRDefault="00BF64DE">
      <w:pPr>
        <w:pStyle w:val="zhengwen"/>
      </w:pPr>
      <w:r w:rsidRPr="004865EF">
        <w:t>3</w:t>
      </w:r>
      <w:r w:rsidRPr="004865EF">
        <w:t>、访谈相关业务负责人及相关财务人员，核查相关</w:t>
      </w:r>
      <w:r w:rsidRPr="004865EF">
        <w:rPr>
          <w:rFonts w:hint="eastAsia"/>
        </w:rPr>
        <w:t>商标</w:t>
      </w:r>
      <w:r w:rsidRPr="004865EF">
        <w:t>对公司生产经营的影响。</w:t>
      </w:r>
    </w:p>
    <w:p w14:paraId="6ECE9787" w14:textId="3DF2820F" w:rsidR="002016AC" w:rsidRPr="004865EF" w:rsidRDefault="002016AC" w:rsidP="00A66425">
      <w:pPr>
        <w:pStyle w:val="zhengwen"/>
        <w:ind w:firstLine="482"/>
        <w:rPr>
          <w:b/>
        </w:rPr>
      </w:pPr>
      <w:r w:rsidRPr="004865EF">
        <w:rPr>
          <w:rFonts w:hint="eastAsia"/>
          <w:b/>
        </w:rPr>
        <w:t>（二）核查结论</w:t>
      </w:r>
    </w:p>
    <w:p w14:paraId="09C3EDA8" w14:textId="77777777" w:rsidR="00211306" w:rsidRPr="004865EF" w:rsidRDefault="00BF64DE" w:rsidP="00494620">
      <w:pPr>
        <w:pStyle w:val="zhengwen"/>
      </w:pPr>
      <w:r w:rsidRPr="004865EF">
        <w:rPr>
          <w:rFonts w:hint="eastAsia"/>
        </w:rPr>
        <w:t>经核查，保荐机构及发行人律师认为：</w:t>
      </w:r>
    </w:p>
    <w:p w14:paraId="51B2975A" w14:textId="14B4BF25" w:rsidR="00BF64DE" w:rsidRPr="004865EF" w:rsidRDefault="00A35B9A" w:rsidP="00494620">
      <w:pPr>
        <w:pStyle w:val="zhengwen"/>
      </w:pPr>
      <w:r w:rsidRPr="004865EF">
        <w:rPr>
          <w:rFonts w:hint="eastAsia"/>
        </w:rPr>
        <w:t>该</w:t>
      </w:r>
      <w:r w:rsidRPr="004865EF">
        <w:t>未决诉讼</w:t>
      </w:r>
      <w:r w:rsidRPr="004865EF">
        <w:rPr>
          <w:rFonts w:hint="eastAsia"/>
        </w:rPr>
        <w:t>已经北京市高级人民法院一审判决，目前处于最高人民法院二审阶段，一审判决</w:t>
      </w:r>
      <w:proofErr w:type="gramStart"/>
      <w:r w:rsidRPr="004865EF">
        <w:rPr>
          <w:rFonts w:hint="eastAsia"/>
        </w:rPr>
        <w:t>依法未</w:t>
      </w:r>
      <w:proofErr w:type="gramEnd"/>
      <w:r w:rsidRPr="004865EF">
        <w:rPr>
          <w:rFonts w:hint="eastAsia"/>
        </w:rPr>
        <w:t>生效，在二审判决</w:t>
      </w:r>
      <w:proofErr w:type="gramStart"/>
      <w:r w:rsidRPr="004865EF">
        <w:rPr>
          <w:rFonts w:hint="eastAsia"/>
        </w:rPr>
        <w:t>作出</w:t>
      </w:r>
      <w:proofErr w:type="gramEnd"/>
      <w:r w:rsidRPr="004865EF">
        <w:rPr>
          <w:rFonts w:hint="eastAsia"/>
        </w:rPr>
        <w:t>之前不涉及判决的执行</w:t>
      </w:r>
      <w:r w:rsidR="009C02C8" w:rsidRPr="004865EF">
        <w:rPr>
          <w:rFonts w:hint="eastAsia"/>
        </w:rPr>
        <w:t>。该未决诉讼与发行人授权运营的</w:t>
      </w:r>
      <w:r w:rsidR="009C02C8" w:rsidRPr="004865EF">
        <w:t>AWS</w:t>
      </w:r>
      <w:proofErr w:type="gramStart"/>
      <w:r w:rsidR="009C02C8" w:rsidRPr="004865EF">
        <w:t>云服务</w:t>
      </w:r>
      <w:proofErr w:type="gramEnd"/>
      <w:r w:rsidR="009C02C8" w:rsidRPr="004865EF">
        <w:t>相关，但不涉及发行人核心专利、商标、技术。发行人作为被授权使用方，即使法院最终在本案中判定发行人和亚马逊通进行损害赔偿，发行人实际需要承担最终赔偿责任的可能性较小。鉴于该案件案情复杂，争议焦点众多，本案的二审判决结果具有不确定性，即使法院最终判决发行人不得继续使用涉案商标，发行人仍可与亚马逊通协商通过使用其他替代标志开展服务。因此，该未决诉讼不会对发行人生产经营、财务状况以及未来发展产</w:t>
      </w:r>
      <w:r w:rsidR="009C02C8" w:rsidRPr="004865EF">
        <w:lastRenderedPageBreak/>
        <w:t>生重大不利影响，不</w:t>
      </w:r>
      <w:r w:rsidR="009C02C8" w:rsidRPr="004865EF">
        <w:rPr>
          <w:rFonts w:hint="eastAsia"/>
        </w:rPr>
        <w:t>会对发行人本次发行造成实质障碍</w:t>
      </w:r>
      <w:r w:rsidR="00BF64DE" w:rsidRPr="004865EF">
        <w:rPr>
          <w:rFonts w:hint="eastAsia"/>
        </w:rPr>
        <w:t>。</w:t>
      </w:r>
    </w:p>
    <w:p w14:paraId="00992D0E" w14:textId="259D12B2" w:rsidR="00AA080C" w:rsidRPr="004865EF" w:rsidRDefault="008065F6" w:rsidP="00A66425">
      <w:pPr>
        <w:pStyle w:val="2"/>
        <w:ind w:firstLine="480"/>
        <w:rPr>
          <w:b w:val="0"/>
        </w:rPr>
      </w:pPr>
      <w:r w:rsidRPr="004865EF">
        <w:rPr>
          <w:rFonts w:hint="eastAsia"/>
        </w:rPr>
        <w:t>四、</w:t>
      </w:r>
      <w:r w:rsidR="00874038" w:rsidRPr="004865EF">
        <w:rPr>
          <w:rFonts w:hint="eastAsia"/>
        </w:rPr>
        <w:t>补充披露</w:t>
      </w:r>
    </w:p>
    <w:p w14:paraId="769833DF" w14:textId="5C1D941C" w:rsidR="00874038" w:rsidRPr="004865EF" w:rsidRDefault="00874038" w:rsidP="00A66425">
      <w:pPr>
        <w:pStyle w:val="zhengwen"/>
      </w:pPr>
      <w:r w:rsidRPr="004865EF">
        <w:rPr>
          <w:rFonts w:hint="eastAsia"/>
        </w:rPr>
        <w:t>发行人已在募集说明书</w:t>
      </w:r>
      <w:r w:rsidR="00720C0D" w:rsidRPr="004865EF">
        <w:rPr>
          <w:rFonts w:hint="eastAsia"/>
        </w:rPr>
        <w:t>“</w:t>
      </w:r>
      <w:r w:rsidRPr="004865EF">
        <w:rPr>
          <w:rFonts w:hint="eastAsia"/>
        </w:rPr>
        <w:t>第一节</w:t>
      </w:r>
      <w:r w:rsidRPr="004865EF">
        <w:t xml:space="preserve"> </w:t>
      </w:r>
      <w:r w:rsidRPr="004865EF">
        <w:rPr>
          <w:rFonts w:hint="eastAsia"/>
        </w:rPr>
        <w:t>发行人基本情况</w:t>
      </w:r>
      <w:r w:rsidR="00720C0D" w:rsidRPr="004865EF">
        <w:rPr>
          <w:rFonts w:hint="eastAsia"/>
        </w:rPr>
        <w:t>”</w:t>
      </w:r>
      <w:r w:rsidRPr="004865EF">
        <w:rPr>
          <w:rFonts w:hint="eastAsia"/>
        </w:rPr>
        <w:t>之</w:t>
      </w:r>
      <w:r w:rsidR="00720C0D" w:rsidRPr="004865EF">
        <w:rPr>
          <w:rFonts w:hint="eastAsia"/>
        </w:rPr>
        <w:t>“</w:t>
      </w:r>
      <w:r w:rsidRPr="004865EF">
        <w:rPr>
          <w:rFonts w:hint="eastAsia"/>
        </w:rPr>
        <w:t>六、发行人的主要未决诉讼情况</w:t>
      </w:r>
      <w:r w:rsidR="00720C0D" w:rsidRPr="004865EF">
        <w:rPr>
          <w:rFonts w:hint="eastAsia"/>
        </w:rPr>
        <w:t>”</w:t>
      </w:r>
      <w:r w:rsidRPr="004865EF">
        <w:rPr>
          <w:rFonts w:hint="eastAsia"/>
        </w:rPr>
        <w:t>补充披露</w:t>
      </w:r>
      <w:r w:rsidR="00A35B9A" w:rsidRPr="004865EF">
        <w:rPr>
          <w:rFonts w:hint="eastAsia"/>
        </w:rPr>
        <w:t>上述</w:t>
      </w:r>
      <w:r w:rsidRPr="004865EF">
        <w:rPr>
          <w:rFonts w:hint="eastAsia"/>
        </w:rPr>
        <w:t>诉讼的</w:t>
      </w:r>
      <w:r w:rsidR="00A35B9A" w:rsidRPr="004865EF">
        <w:rPr>
          <w:rFonts w:hint="eastAsia"/>
        </w:rPr>
        <w:t>相关</w:t>
      </w:r>
      <w:r w:rsidR="00A35B9A" w:rsidRPr="004865EF">
        <w:t>内容</w:t>
      </w:r>
      <w:r w:rsidRPr="004865EF">
        <w:rPr>
          <w:rFonts w:hint="eastAsia"/>
        </w:rPr>
        <w:t>。</w:t>
      </w:r>
    </w:p>
    <w:p w14:paraId="564EA9BB" w14:textId="77777777" w:rsidR="00F47173" w:rsidRPr="004865EF" w:rsidRDefault="00F47173" w:rsidP="00602FC1">
      <w:pPr>
        <w:pStyle w:val="zhengwen"/>
      </w:pPr>
    </w:p>
    <w:p w14:paraId="02020CEA" w14:textId="0E04FA13" w:rsidR="00B4309A" w:rsidRPr="004865EF" w:rsidRDefault="00B4309A" w:rsidP="00181621">
      <w:pPr>
        <w:pStyle w:val="1"/>
        <w:spacing w:before="120"/>
      </w:pPr>
      <w:bookmarkStart w:id="31" w:name="_Toc46013716"/>
      <w:bookmarkStart w:id="32" w:name="_Toc47020541"/>
      <w:r w:rsidRPr="004865EF">
        <w:rPr>
          <w:rFonts w:hint="eastAsia"/>
        </w:rPr>
        <w:t>问题</w:t>
      </w:r>
      <w:r w:rsidRPr="004865EF">
        <w:t>7</w:t>
      </w:r>
      <w:r w:rsidR="0063025B" w:rsidRPr="004865EF">
        <w:t>.</w:t>
      </w:r>
      <w:r w:rsidR="0063025B" w:rsidRPr="004865EF">
        <w:rPr>
          <w:rFonts w:hint="eastAsia"/>
        </w:rPr>
        <w:t>关于商誉</w:t>
      </w:r>
      <w:bookmarkEnd w:id="31"/>
      <w:bookmarkEnd w:id="32"/>
    </w:p>
    <w:p w14:paraId="334BDCDD" w14:textId="7C05EB28" w:rsidR="00861548" w:rsidRPr="004865EF" w:rsidRDefault="00861548"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hint="eastAsia"/>
          <w:b/>
          <w:sz w:val="24"/>
        </w:rPr>
        <w:t>最近</w:t>
      </w:r>
      <w:proofErr w:type="gramStart"/>
      <w:r w:rsidRPr="004865EF">
        <w:rPr>
          <w:rFonts w:ascii="黑体" w:eastAsia="黑体" w:hAnsi="黑体" w:hint="eastAsia"/>
          <w:b/>
          <w:sz w:val="24"/>
        </w:rPr>
        <w:t>一</w:t>
      </w:r>
      <w:proofErr w:type="gramEnd"/>
      <w:r w:rsidRPr="004865EF">
        <w:rPr>
          <w:rFonts w:ascii="黑体" w:eastAsia="黑体" w:hAnsi="黑体" w:hint="eastAsia"/>
          <w:b/>
          <w:sz w:val="24"/>
        </w:rPr>
        <w:t>期末，公司商誉余额为</w:t>
      </w:r>
      <w:r w:rsidRPr="004865EF">
        <w:rPr>
          <w:rFonts w:ascii="黑体" w:eastAsia="黑体" w:hAnsi="黑体"/>
          <w:b/>
          <w:sz w:val="24"/>
        </w:rPr>
        <w:t>23.98</w:t>
      </w:r>
      <w:r w:rsidRPr="004865EF">
        <w:rPr>
          <w:rFonts w:ascii="黑体" w:eastAsia="黑体" w:hAnsi="黑体" w:hint="eastAsia"/>
          <w:b/>
          <w:sz w:val="24"/>
        </w:rPr>
        <w:t>亿元，主要为收购中</w:t>
      </w:r>
      <w:proofErr w:type="gramStart"/>
      <w:r w:rsidRPr="004865EF">
        <w:rPr>
          <w:rFonts w:ascii="黑体" w:eastAsia="黑体" w:hAnsi="黑体" w:hint="eastAsia"/>
          <w:b/>
          <w:sz w:val="24"/>
        </w:rPr>
        <w:t>金云网和</w:t>
      </w:r>
      <w:proofErr w:type="gramEnd"/>
      <w:r w:rsidRPr="004865EF">
        <w:rPr>
          <w:rFonts w:ascii="黑体" w:eastAsia="黑体" w:hAnsi="黑体" w:hint="eastAsia"/>
          <w:b/>
          <w:sz w:val="24"/>
        </w:rPr>
        <w:t>无双科技产生，根据公司《</w:t>
      </w:r>
      <w:r w:rsidRPr="004865EF">
        <w:rPr>
          <w:rFonts w:ascii="黑体" w:eastAsia="黑体" w:hAnsi="黑体"/>
          <w:b/>
          <w:sz w:val="24"/>
        </w:rPr>
        <w:t>2019</w:t>
      </w:r>
      <w:r w:rsidRPr="004865EF">
        <w:rPr>
          <w:rFonts w:ascii="黑体" w:eastAsia="黑体" w:hAnsi="黑体" w:hint="eastAsia"/>
          <w:b/>
          <w:sz w:val="24"/>
        </w:rPr>
        <w:t>年年度报告》和《关于深圳证券交易所对公司</w:t>
      </w:r>
      <w:r w:rsidRPr="004865EF">
        <w:rPr>
          <w:rFonts w:ascii="黑体" w:eastAsia="黑体" w:hAnsi="黑体"/>
          <w:b/>
          <w:sz w:val="24"/>
        </w:rPr>
        <w:t>2019</w:t>
      </w:r>
      <w:r w:rsidRPr="004865EF">
        <w:rPr>
          <w:rFonts w:ascii="黑体" w:eastAsia="黑体" w:hAnsi="黑体" w:hint="eastAsia"/>
          <w:b/>
          <w:sz w:val="24"/>
        </w:rPr>
        <w:t>年年报问询函的回复公告》，公司</w:t>
      </w:r>
      <w:r w:rsidRPr="004865EF">
        <w:rPr>
          <w:rFonts w:ascii="黑体" w:eastAsia="黑体" w:hAnsi="黑体"/>
          <w:b/>
          <w:sz w:val="24"/>
        </w:rPr>
        <w:t>2019</w:t>
      </w:r>
      <w:r w:rsidRPr="004865EF">
        <w:rPr>
          <w:rFonts w:ascii="黑体" w:eastAsia="黑体" w:hAnsi="黑体" w:hint="eastAsia"/>
          <w:b/>
          <w:sz w:val="24"/>
        </w:rPr>
        <w:t>年</w:t>
      </w:r>
      <w:r w:rsidR="00720C0D" w:rsidRPr="004865EF">
        <w:rPr>
          <w:rFonts w:ascii="黑体" w:eastAsia="黑体" w:hAnsi="黑体" w:hint="eastAsia"/>
          <w:b/>
          <w:sz w:val="24"/>
        </w:rPr>
        <w:t>“</w:t>
      </w:r>
      <w:r w:rsidRPr="004865EF">
        <w:rPr>
          <w:rFonts w:ascii="黑体" w:eastAsia="黑体" w:hAnsi="黑体" w:hint="eastAsia"/>
          <w:b/>
          <w:sz w:val="24"/>
        </w:rPr>
        <w:t>整体经营情况良好，业务持续稳定增长</w:t>
      </w:r>
      <w:r w:rsidR="00720C0D" w:rsidRPr="004865EF">
        <w:rPr>
          <w:rFonts w:ascii="黑体" w:eastAsia="黑体" w:hAnsi="黑体" w:hint="eastAsia"/>
          <w:b/>
          <w:sz w:val="24"/>
        </w:rPr>
        <w:t>”</w:t>
      </w:r>
      <w:r w:rsidRPr="004865EF">
        <w:rPr>
          <w:rFonts w:ascii="黑体" w:eastAsia="黑体" w:hAnsi="黑体" w:hint="eastAsia"/>
          <w:b/>
          <w:sz w:val="24"/>
        </w:rPr>
        <w:t>、</w:t>
      </w:r>
      <w:r w:rsidR="00720C0D" w:rsidRPr="004865EF">
        <w:rPr>
          <w:rFonts w:ascii="黑体" w:eastAsia="黑体" w:hAnsi="黑体" w:hint="eastAsia"/>
          <w:b/>
          <w:sz w:val="24"/>
        </w:rPr>
        <w:t>“</w:t>
      </w:r>
      <w:r w:rsidRPr="004865EF">
        <w:rPr>
          <w:rFonts w:ascii="黑体" w:eastAsia="黑体" w:hAnsi="黑体" w:hint="eastAsia"/>
          <w:b/>
          <w:sz w:val="24"/>
        </w:rPr>
        <w:t>商誉减值测试关键指标的确定过程合理，包含商誉资产组可回收金额的评估结论恰当，公司不存在商誉减值的情况</w:t>
      </w:r>
      <w:r w:rsidR="00720C0D" w:rsidRPr="004865EF">
        <w:rPr>
          <w:rFonts w:ascii="黑体" w:eastAsia="黑体" w:hAnsi="黑体" w:hint="eastAsia"/>
          <w:b/>
          <w:sz w:val="24"/>
        </w:rPr>
        <w:t>”</w:t>
      </w:r>
      <w:r w:rsidRPr="004865EF">
        <w:rPr>
          <w:rFonts w:ascii="黑体" w:eastAsia="黑体" w:hAnsi="黑体" w:hint="eastAsia"/>
          <w:b/>
          <w:sz w:val="24"/>
        </w:rPr>
        <w:t>。此外，</w:t>
      </w:r>
      <w:r w:rsidRPr="004865EF">
        <w:rPr>
          <w:rFonts w:ascii="黑体" w:eastAsia="黑体" w:hAnsi="黑体"/>
          <w:b/>
          <w:sz w:val="24"/>
        </w:rPr>
        <w:t>2018</w:t>
      </w:r>
      <w:r w:rsidRPr="004865EF">
        <w:rPr>
          <w:rFonts w:ascii="黑体" w:eastAsia="黑体" w:hAnsi="黑体" w:hint="eastAsia"/>
          <w:b/>
          <w:sz w:val="24"/>
        </w:rPr>
        <w:t>年公司同</w:t>
      </w:r>
      <w:proofErr w:type="gramStart"/>
      <w:r w:rsidRPr="004865EF">
        <w:rPr>
          <w:rFonts w:ascii="黑体" w:eastAsia="黑体" w:hAnsi="黑体" w:hint="eastAsia"/>
          <w:b/>
          <w:sz w:val="24"/>
        </w:rPr>
        <w:t>一控制</w:t>
      </w:r>
      <w:proofErr w:type="gramEnd"/>
      <w:r w:rsidRPr="004865EF">
        <w:rPr>
          <w:rFonts w:ascii="黑体" w:eastAsia="黑体" w:hAnsi="黑体" w:hint="eastAsia"/>
          <w:b/>
          <w:sz w:val="24"/>
        </w:rPr>
        <w:t>下收购科</w:t>
      </w:r>
      <w:proofErr w:type="gramStart"/>
      <w:r w:rsidRPr="004865EF">
        <w:rPr>
          <w:rFonts w:ascii="黑体" w:eastAsia="黑体" w:hAnsi="黑体" w:hint="eastAsia"/>
          <w:b/>
          <w:sz w:val="24"/>
        </w:rPr>
        <w:t>信盛彩</w:t>
      </w:r>
      <w:proofErr w:type="gramEnd"/>
      <w:r w:rsidRPr="004865EF">
        <w:rPr>
          <w:rFonts w:ascii="黑体" w:eastAsia="黑体" w:hAnsi="黑体"/>
          <w:b/>
          <w:sz w:val="24"/>
        </w:rPr>
        <w:t>85%</w:t>
      </w:r>
      <w:r w:rsidRPr="004865EF">
        <w:rPr>
          <w:rFonts w:ascii="黑体" w:eastAsia="黑体" w:hAnsi="黑体" w:hint="eastAsia"/>
          <w:b/>
          <w:sz w:val="24"/>
        </w:rPr>
        <w:t>股权。</w:t>
      </w:r>
    </w:p>
    <w:p w14:paraId="0064CE66" w14:textId="77777777" w:rsidR="00861548" w:rsidRPr="004865EF" w:rsidRDefault="00861548" w:rsidP="00A66425">
      <w:pPr>
        <w:pStyle w:val="-"/>
        <w:spacing w:beforeLines="50" w:before="120" w:line="360" w:lineRule="auto"/>
        <w:ind w:firstLineChars="200" w:firstLine="482"/>
        <w:rPr>
          <w:rFonts w:ascii="黑体" w:eastAsia="黑体" w:hAnsi="黑体"/>
          <w:b/>
        </w:rPr>
      </w:pPr>
      <w:r w:rsidRPr="004865EF">
        <w:rPr>
          <w:rFonts w:ascii="黑体" w:eastAsia="黑体" w:hAnsi="黑体" w:hint="eastAsia"/>
          <w:b/>
          <w:sz w:val="24"/>
        </w:rPr>
        <w:t>请发行人补充说明是否存在向并购标的业务倾斜、通过显失公允的关联交易或者由关联方承担成本、费用等方式提升并购标的业绩的情形。</w:t>
      </w:r>
    </w:p>
    <w:p w14:paraId="6C3F110F" w14:textId="364ED6CD" w:rsidR="00861548" w:rsidRPr="004865EF" w:rsidRDefault="00861548" w:rsidP="00A66425">
      <w:pPr>
        <w:pStyle w:val="-"/>
        <w:spacing w:beforeLines="50" w:before="120" w:line="360" w:lineRule="auto"/>
        <w:ind w:firstLineChars="200" w:firstLine="482"/>
        <w:rPr>
          <w:rFonts w:ascii="黑体" w:eastAsia="黑体" w:hAnsi="黑体"/>
          <w:b/>
          <w:sz w:val="24"/>
        </w:rPr>
      </w:pPr>
      <w:r w:rsidRPr="004865EF">
        <w:rPr>
          <w:rFonts w:ascii="黑体" w:eastAsia="黑体" w:hAnsi="黑体" w:hint="eastAsia"/>
          <w:b/>
          <w:sz w:val="24"/>
        </w:rPr>
        <w:t>请保荐人核查并发表明确意见。请会计师结合报告期内针对并购子公司实施的审计程序、获取的主要审计证据等对并购子公司的业绩真实性发表明确意见。</w:t>
      </w:r>
    </w:p>
    <w:p w14:paraId="3F7714C5" w14:textId="77777777" w:rsidR="00211306" w:rsidRPr="004865EF" w:rsidRDefault="00211306" w:rsidP="00494620">
      <w:pPr>
        <w:pStyle w:val="zhengwen"/>
      </w:pPr>
      <w:bookmarkStart w:id="33" w:name="_Hlk45747139"/>
      <w:r w:rsidRPr="004865EF">
        <w:rPr>
          <w:rFonts w:hint="eastAsia"/>
        </w:rPr>
        <w:t>【回复】</w:t>
      </w:r>
    </w:p>
    <w:p w14:paraId="20562982" w14:textId="3683ED2E" w:rsidR="00861548" w:rsidRPr="004865EF" w:rsidRDefault="00861548" w:rsidP="0066058B">
      <w:pPr>
        <w:pStyle w:val="2"/>
      </w:pPr>
      <w:r w:rsidRPr="004865EF">
        <w:rPr>
          <w:rFonts w:hint="eastAsia"/>
        </w:rPr>
        <w:t>一、中金云网、无双科技和科</w:t>
      </w:r>
      <w:proofErr w:type="gramStart"/>
      <w:r w:rsidRPr="004865EF">
        <w:rPr>
          <w:rFonts w:hint="eastAsia"/>
        </w:rPr>
        <w:t>信盛彩</w:t>
      </w:r>
      <w:proofErr w:type="gramEnd"/>
      <w:r w:rsidR="00A420F6" w:rsidRPr="004865EF">
        <w:rPr>
          <w:rFonts w:hint="eastAsia"/>
        </w:rPr>
        <w:t>与光环新网及其他关联方之间的</w:t>
      </w:r>
      <w:r w:rsidRPr="004865EF">
        <w:rPr>
          <w:rFonts w:hint="eastAsia"/>
        </w:rPr>
        <w:t>交易情况</w:t>
      </w:r>
    </w:p>
    <w:p w14:paraId="2483229D" w14:textId="7E2EBD19" w:rsidR="00861548" w:rsidRPr="004865EF" w:rsidRDefault="00861548" w:rsidP="00A66425">
      <w:pPr>
        <w:pStyle w:val="zhengwen"/>
        <w:ind w:firstLine="482"/>
        <w:rPr>
          <w:b/>
        </w:rPr>
      </w:pPr>
      <w:r w:rsidRPr="004865EF">
        <w:rPr>
          <w:rFonts w:hint="eastAsia"/>
          <w:b/>
        </w:rPr>
        <w:t>（一）</w:t>
      </w:r>
      <w:r w:rsidRPr="004865EF">
        <w:rPr>
          <w:b/>
        </w:rPr>
        <w:t>2017</w:t>
      </w:r>
      <w:r w:rsidRPr="004865EF">
        <w:rPr>
          <w:rFonts w:hint="eastAsia"/>
          <w:b/>
        </w:rPr>
        <w:t>年</w:t>
      </w:r>
      <w:r w:rsidRPr="004865EF">
        <w:rPr>
          <w:b/>
        </w:rPr>
        <w:t>-2019</w:t>
      </w:r>
      <w:r w:rsidRPr="004865EF">
        <w:rPr>
          <w:rFonts w:hint="eastAsia"/>
          <w:b/>
        </w:rPr>
        <w:t>年中</w:t>
      </w:r>
      <w:proofErr w:type="gramStart"/>
      <w:r w:rsidRPr="004865EF">
        <w:rPr>
          <w:rFonts w:hint="eastAsia"/>
          <w:b/>
        </w:rPr>
        <w:t>金云网与</w:t>
      </w:r>
      <w:proofErr w:type="gramEnd"/>
      <w:r w:rsidR="00A420F6" w:rsidRPr="004865EF">
        <w:rPr>
          <w:rFonts w:ascii="Arial Narrow" w:hAnsi="Arial Narrow"/>
          <w:b/>
        </w:rPr>
        <w:t>光环新网及其他</w:t>
      </w:r>
      <w:r w:rsidR="00A420F6" w:rsidRPr="004865EF">
        <w:rPr>
          <w:rFonts w:ascii="Arial Narrow" w:hAnsi="Arial Narrow" w:hint="eastAsia"/>
          <w:b/>
        </w:rPr>
        <w:t>关联方之间的</w:t>
      </w:r>
      <w:r w:rsidR="00A420F6" w:rsidRPr="004865EF">
        <w:rPr>
          <w:rFonts w:ascii="Arial Narrow" w:hAnsi="Arial Narrow"/>
          <w:b/>
        </w:rPr>
        <w:t>交易情况</w:t>
      </w:r>
    </w:p>
    <w:p w14:paraId="117ED2FB" w14:textId="0565A231" w:rsidR="00BE0111" w:rsidRPr="004865EF" w:rsidRDefault="00BE0111"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1</w:t>
      </w:r>
      <w:r w:rsidRPr="004865EF">
        <w:rPr>
          <w:rFonts w:ascii="Times New Roman" w:eastAsia="宋体" w:hAnsi="Times New Roman" w:cs="Times New Roman" w:hint="eastAsia"/>
          <w:sz w:val="24"/>
        </w:rPr>
        <w:t>、</w:t>
      </w:r>
      <w:r w:rsidR="002F7980" w:rsidRPr="004865EF">
        <w:rPr>
          <w:rFonts w:ascii="Times New Roman" w:eastAsia="宋体" w:hAnsi="Times New Roman" w:cs="Times New Roman" w:hint="eastAsia"/>
          <w:sz w:val="24"/>
        </w:rPr>
        <w:t>内部</w:t>
      </w:r>
      <w:r w:rsidRPr="004865EF">
        <w:rPr>
          <w:rFonts w:ascii="Times New Roman" w:eastAsia="宋体" w:hAnsi="Times New Roman" w:cs="Times New Roman" w:hint="eastAsia"/>
          <w:sz w:val="24"/>
        </w:rPr>
        <w:t>交易金额</w:t>
      </w:r>
    </w:p>
    <w:p w14:paraId="49709C9B" w14:textId="77777777" w:rsidR="00BE0111" w:rsidRPr="004865EF" w:rsidRDefault="00BE0111" w:rsidP="00BE0111">
      <w:pPr>
        <w:widowControl/>
        <w:spacing w:line="360" w:lineRule="auto"/>
        <w:ind w:firstLine="480"/>
        <w:jc w:val="right"/>
        <w:rPr>
          <w:rFonts w:ascii="Times New Roman" w:eastAsia="宋体" w:hAnsi="Times New Roman" w:cs="Times New Roman"/>
          <w:kern w:val="0"/>
          <w:szCs w:val="31"/>
          <w:lang w:val="zh-CN" w:bidi="zh-CN"/>
        </w:rPr>
      </w:pPr>
      <w:r w:rsidRPr="004865EF">
        <w:rPr>
          <w:rFonts w:ascii="Times New Roman" w:eastAsia="宋体" w:hAnsi="Times New Roman" w:cs="Times New Roman"/>
          <w:kern w:val="0"/>
          <w:szCs w:val="31"/>
          <w:lang w:val="zh-CN" w:bidi="zh-CN"/>
        </w:rPr>
        <w:t>单位：万元</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63"/>
        <w:gridCol w:w="1666"/>
        <w:gridCol w:w="1666"/>
        <w:gridCol w:w="1661"/>
      </w:tblGrid>
      <w:tr w:rsidR="004865EF" w:rsidRPr="004865EF" w14:paraId="70976841"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034D3B5" w14:textId="77777777" w:rsidR="00BE0111" w:rsidRPr="004865EF" w:rsidRDefault="00BE0111" w:rsidP="0008265D">
            <w:pPr>
              <w:widowControl/>
              <w:jc w:val="center"/>
              <w:rPr>
                <w:rFonts w:ascii="Times New Roman" w:eastAsia="宋体" w:hAnsi="Times New Roman" w:cs="Times New Roman"/>
                <w:b/>
                <w:bCs/>
                <w:kern w:val="0"/>
                <w:sz w:val="22"/>
                <w:szCs w:val="21"/>
              </w:rPr>
            </w:pPr>
            <w:r w:rsidRPr="004865EF">
              <w:rPr>
                <w:rFonts w:ascii="Times New Roman" w:eastAsia="宋体" w:hAnsi="Times New Roman" w:cs="Times New Roman"/>
                <w:b/>
                <w:bCs/>
                <w:kern w:val="0"/>
                <w:sz w:val="22"/>
                <w:szCs w:val="21"/>
              </w:rPr>
              <w:t>项目</w:t>
            </w:r>
          </w:p>
        </w:tc>
        <w:tc>
          <w:tcPr>
            <w:tcW w:w="985" w:type="pct"/>
            <w:tcBorders>
              <w:top w:val="outset" w:sz="6" w:space="0" w:color="auto"/>
              <w:left w:val="outset" w:sz="6" w:space="0" w:color="auto"/>
              <w:bottom w:val="outset" w:sz="6" w:space="0" w:color="auto"/>
              <w:right w:val="outset" w:sz="6" w:space="0" w:color="auto"/>
            </w:tcBorders>
            <w:shd w:val="clear" w:color="auto" w:fill="FFFFFF"/>
          </w:tcPr>
          <w:p w14:paraId="05AA81BA" w14:textId="77777777" w:rsidR="00BE0111" w:rsidRPr="004865EF" w:rsidRDefault="00BE0111" w:rsidP="0008265D">
            <w:pPr>
              <w:widowControl/>
              <w:wordWrap w:val="0"/>
              <w:jc w:val="center"/>
              <w:rPr>
                <w:rFonts w:ascii="Times New Roman" w:eastAsia="宋体" w:hAnsi="Times New Roman" w:cs="Times New Roman"/>
                <w:b/>
                <w:bCs/>
                <w:kern w:val="0"/>
                <w:sz w:val="22"/>
                <w:szCs w:val="21"/>
              </w:rPr>
            </w:pPr>
            <w:r w:rsidRPr="004865EF">
              <w:rPr>
                <w:rFonts w:ascii="Times New Roman" w:eastAsia="宋体" w:hAnsi="Times New Roman" w:cs="Times New Roman"/>
                <w:b/>
                <w:bCs/>
                <w:kern w:val="0"/>
                <w:sz w:val="22"/>
                <w:szCs w:val="21"/>
              </w:rPr>
              <w:t>2017</w:t>
            </w:r>
            <w:r w:rsidRPr="004865EF">
              <w:rPr>
                <w:rFonts w:ascii="Times New Roman" w:eastAsia="宋体" w:hAnsi="Times New Roman" w:cs="Times New Roman"/>
                <w:b/>
                <w:bCs/>
                <w:kern w:val="0"/>
                <w:sz w:val="22"/>
                <w:szCs w:val="21"/>
              </w:rPr>
              <w:t>年度</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93F6E2C" w14:textId="77777777" w:rsidR="00BE0111" w:rsidRPr="004865EF" w:rsidRDefault="00BE0111" w:rsidP="0008265D">
            <w:pPr>
              <w:widowControl/>
              <w:wordWrap w:val="0"/>
              <w:jc w:val="center"/>
              <w:rPr>
                <w:rFonts w:ascii="Times New Roman" w:eastAsia="宋体" w:hAnsi="Times New Roman" w:cs="Times New Roman"/>
                <w:b/>
                <w:bCs/>
                <w:kern w:val="0"/>
                <w:sz w:val="22"/>
                <w:szCs w:val="21"/>
              </w:rPr>
            </w:pPr>
            <w:r w:rsidRPr="004865EF">
              <w:rPr>
                <w:rFonts w:ascii="Times New Roman" w:eastAsia="宋体" w:hAnsi="Times New Roman" w:cs="Times New Roman"/>
                <w:b/>
                <w:bCs/>
                <w:kern w:val="0"/>
                <w:sz w:val="22"/>
                <w:szCs w:val="21"/>
              </w:rPr>
              <w:t>2018</w:t>
            </w:r>
            <w:r w:rsidRPr="004865EF">
              <w:rPr>
                <w:rFonts w:ascii="Times New Roman" w:eastAsia="宋体" w:hAnsi="Times New Roman" w:cs="Times New Roman"/>
                <w:b/>
                <w:bCs/>
                <w:kern w:val="0"/>
                <w:sz w:val="22"/>
                <w:szCs w:val="21"/>
              </w:rPr>
              <w:t>年度</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1727FA4" w14:textId="77777777" w:rsidR="00BE0111" w:rsidRPr="004865EF" w:rsidRDefault="00BE0111" w:rsidP="0008265D">
            <w:pPr>
              <w:widowControl/>
              <w:wordWrap w:val="0"/>
              <w:jc w:val="center"/>
              <w:rPr>
                <w:rFonts w:ascii="Times New Roman" w:eastAsia="宋体" w:hAnsi="Times New Roman" w:cs="Times New Roman"/>
                <w:b/>
                <w:bCs/>
                <w:kern w:val="0"/>
                <w:sz w:val="22"/>
                <w:szCs w:val="21"/>
              </w:rPr>
            </w:pPr>
            <w:r w:rsidRPr="004865EF">
              <w:rPr>
                <w:rFonts w:ascii="Times New Roman" w:eastAsia="宋体" w:hAnsi="Times New Roman" w:cs="Times New Roman"/>
                <w:b/>
                <w:bCs/>
                <w:kern w:val="0"/>
                <w:sz w:val="22"/>
                <w:szCs w:val="21"/>
              </w:rPr>
              <w:t>2019</w:t>
            </w:r>
            <w:r w:rsidRPr="004865EF">
              <w:rPr>
                <w:rFonts w:ascii="Times New Roman" w:eastAsia="宋体" w:hAnsi="Times New Roman" w:cs="Times New Roman"/>
                <w:b/>
                <w:bCs/>
                <w:kern w:val="0"/>
                <w:sz w:val="22"/>
                <w:szCs w:val="21"/>
              </w:rPr>
              <w:t>年度</w:t>
            </w:r>
          </w:p>
        </w:tc>
      </w:tr>
      <w:tr w:rsidR="004865EF" w:rsidRPr="004865EF" w14:paraId="15DB3A7E" w14:textId="77777777" w:rsidTr="0008265D">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B876FDC" w14:textId="77777777" w:rsidR="00BE0111" w:rsidRPr="004865EF" w:rsidRDefault="00BE0111" w:rsidP="0008265D">
            <w:pPr>
              <w:widowControl/>
              <w:jc w:val="left"/>
              <w:rPr>
                <w:rFonts w:ascii="Times New Roman" w:eastAsia="宋体" w:hAnsi="Times New Roman" w:cs="Times New Roman"/>
                <w:b/>
                <w:bCs/>
                <w:kern w:val="0"/>
                <w:sz w:val="22"/>
                <w:szCs w:val="21"/>
              </w:rPr>
            </w:pPr>
            <w:r w:rsidRPr="004865EF">
              <w:rPr>
                <w:rFonts w:ascii="Times New Roman" w:eastAsia="宋体" w:hAnsi="Times New Roman" w:cs="Times New Roman"/>
                <w:b/>
                <w:bCs/>
                <w:kern w:val="0"/>
                <w:sz w:val="22"/>
                <w:szCs w:val="21"/>
              </w:rPr>
              <w:t>关联方：中金数据系统有限公司（关联关系：子公司关键管理人员控制的企业）</w:t>
            </w:r>
          </w:p>
        </w:tc>
      </w:tr>
      <w:tr w:rsidR="004865EF" w:rsidRPr="004865EF" w14:paraId="1241B3A4"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65FB916" w14:textId="77777777" w:rsidR="00BE0111" w:rsidRPr="004865EF" w:rsidRDefault="00BE0111" w:rsidP="0008265D">
            <w:pPr>
              <w:widowControl/>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tcPr>
          <w:p w14:paraId="714C3524" w14:textId="77777777" w:rsidR="00BE0111" w:rsidRPr="004865EF" w:rsidRDefault="00BE0111" w:rsidP="0008265D">
            <w:pPr>
              <w:widowControl/>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 xml:space="preserve"> 2,287.58 </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39F901B" w14:textId="77777777" w:rsidR="00BE0111" w:rsidRPr="004865EF" w:rsidRDefault="00BE0111" w:rsidP="0008265D">
            <w:pPr>
              <w:widowControl/>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 xml:space="preserve"> 2,276.40 </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B68102E" w14:textId="77777777" w:rsidR="00BE0111" w:rsidRPr="004865EF" w:rsidRDefault="00BE0111" w:rsidP="0008265D">
            <w:pPr>
              <w:widowControl/>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 xml:space="preserve"> 1,357.49 </w:t>
            </w:r>
          </w:p>
        </w:tc>
      </w:tr>
      <w:tr w:rsidR="004865EF" w:rsidRPr="004865EF" w14:paraId="174DD83B"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D9568E0" w14:textId="77777777" w:rsidR="00BE0111" w:rsidRPr="004865EF" w:rsidRDefault="00BE0111" w:rsidP="0008265D">
            <w:pPr>
              <w:widowControl/>
              <w:wordWrap w:val="0"/>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采购金额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67E55275" w14:textId="6459E6EE" w:rsidR="00BE0111" w:rsidRPr="004865EF" w:rsidRDefault="00BE0111">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469.0</w:t>
            </w:r>
            <w:r w:rsidR="00A420F6" w:rsidRPr="004865EF">
              <w:rPr>
                <w:rFonts w:ascii="Times New Roman" w:eastAsia="宋体" w:hAnsi="Times New Roman" w:cs="Times New Roman"/>
                <w:kern w:val="0"/>
                <w:sz w:val="22"/>
                <w:szCs w:val="21"/>
                <w:lang w:val="zh-CN" w:bidi="zh-CN"/>
              </w:rPr>
              <w:t>6</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39940B9"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469.04</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954DA78"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1,016.75</w:t>
            </w:r>
          </w:p>
        </w:tc>
      </w:tr>
      <w:tr w:rsidR="004865EF" w:rsidRPr="004865EF" w14:paraId="131DBEE9" w14:textId="77777777" w:rsidTr="0008265D">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06D1079" w14:textId="77777777" w:rsidR="00BE0111" w:rsidRPr="004865EF" w:rsidRDefault="00BE0111" w:rsidP="0008265D">
            <w:pPr>
              <w:widowControl/>
              <w:jc w:val="left"/>
              <w:rPr>
                <w:rFonts w:ascii="Times New Roman" w:eastAsia="宋体" w:hAnsi="Times New Roman" w:cs="Times New Roman"/>
                <w:b/>
                <w:kern w:val="0"/>
                <w:sz w:val="22"/>
                <w:szCs w:val="21"/>
                <w:lang w:val="zh-CN" w:bidi="zh-CN"/>
              </w:rPr>
            </w:pPr>
            <w:r w:rsidRPr="004865EF">
              <w:rPr>
                <w:rFonts w:ascii="Times New Roman" w:eastAsia="宋体" w:hAnsi="Times New Roman" w:cs="Times New Roman"/>
                <w:b/>
                <w:kern w:val="0"/>
                <w:sz w:val="22"/>
                <w:szCs w:val="21"/>
              </w:rPr>
              <w:t>关联方：北京亦</w:t>
            </w:r>
            <w:proofErr w:type="gramStart"/>
            <w:r w:rsidRPr="004865EF">
              <w:rPr>
                <w:rFonts w:ascii="Times New Roman" w:eastAsia="宋体" w:hAnsi="Times New Roman" w:cs="Times New Roman"/>
                <w:b/>
                <w:kern w:val="0"/>
                <w:sz w:val="22"/>
                <w:szCs w:val="21"/>
              </w:rPr>
              <w:t>庄国际</w:t>
            </w:r>
            <w:proofErr w:type="gramEnd"/>
            <w:r w:rsidRPr="004865EF">
              <w:rPr>
                <w:rFonts w:ascii="Times New Roman" w:eastAsia="宋体" w:hAnsi="Times New Roman" w:cs="Times New Roman"/>
                <w:b/>
                <w:kern w:val="0"/>
                <w:sz w:val="22"/>
                <w:szCs w:val="21"/>
              </w:rPr>
              <w:t>产业互联网研究院股份公司</w:t>
            </w:r>
            <w:r w:rsidRPr="004865EF">
              <w:rPr>
                <w:rFonts w:ascii="Times New Roman" w:eastAsia="宋体" w:hAnsi="Times New Roman" w:cs="Times New Roman"/>
                <w:b/>
                <w:bCs/>
                <w:kern w:val="0"/>
                <w:sz w:val="22"/>
                <w:szCs w:val="21"/>
              </w:rPr>
              <w:t>（关联关系：子公司关键管理人员控</w:t>
            </w:r>
            <w:r w:rsidRPr="004865EF">
              <w:rPr>
                <w:rFonts w:ascii="Times New Roman" w:eastAsia="宋体" w:hAnsi="Times New Roman" w:cs="Times New Roman"/>
                <w:b/>
                <w:bCs/>
                <w:kern w:val="0"/>
                <w:sz w:val="22"/>
                <w:szCs w:val="21"/>
              </w:rPr>
              <w:lastRenderedPageBreak/>
              <w:t>制的企业）</w:t>
            </w:r>
          </w:p>
        </w:tc>
      </w:tr>
      <w:tr w:rsidR="004865EF" w:rsidRPr="004865EF" w14:paraId="0BD4E6DA"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731B906" w14:textId="77777777" w:rsidR="00BE0111" w:rsidRPr="004865EF" w:rsidRDefault="00BE0111" w:rsidP="0008265D">
            <w:pPr>
              <w:widowControl/>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lastRenderedPageBreak/>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tcPr>
          <w:p w14:paraId="499406DA" w14:textId="77777777" w:rsidR="00BE0111" w:rsidRPr="004865EF" w:rsidRDefault="00BE0111" w:rsidP="0008265D">
            <w:pPr>
              <w:widowControl/>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 xml:space="preserve"> 8.64 </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ED7B3C8" w14:textId="77777777" w:rsidR="00BE0111" w:rsidRPr="004865EF" w:rsidRDefault="00BE0111" w:rsidP="0008265D">
            <w:pPr>
              <w:widowControl/>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 xml:space="preserve"> 63.28 </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418F0A6" w14:textId="77777777" w:rsidR="00BE0111" w:rsidRPr="004865EF" w:rsidRDefault="00BE0111" w:rsidP="0008265D">
            <w:pPr>
              <w:widowControl/>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 xml:space="preserve"> 61.82 </w:t>
            </w:r>
          </w:p>
        </w:tc>
      </w:tr>
      <w:tr w:rsidR="004865EF" w:rsidRPr="004865EF" w14:paraId="47B63197"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1A8E4CF" w14:textId="77777777" w:rsidR="00BE0111" w:rsidRPr="004865EF" w:rsidRDefault="00BE0111" w:rsidP="0008265D">
            <w:pPr>
              <w:widowControl/>
              <w:wordWrap w:val="0"/>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采购金额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475E81BC"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FA3ED68"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ED76123"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162.16</w:t>
            </w:r>
          </w:p>
        </w:tc>
      </w:tr>
      <w:tr w:rsidR="004865EF" w:rsidRPr="004865EF" w14:paraId="181303DA" w14:textId="77777777" w:rsidTr="0008265D">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3993856" w14:textId="77777777" w:rsidR="00BE0111" w:rsidRPr="004865EF" w:rsidRDefault="00BE0111" w:rsidP="0008265D">
            <w:pPr>
              <w:widowControl/>
              <w:jc w:val="left"/>
              <w:rPr>
                <w:rFonts w:ascii="Times New Roman" w:eastAsia="宋体" w:hAnsi="Times New Roman" w:cs="Times New Roman"/>
                <w:b/>
                <w:kern w:val="0"/>
                <w:sz w:val="22"/>
                <w:szCs w:val="21"/>
                <w:lang w:val="zh-CN" w:bidi="zh-CN"/>
              </w:rPr>
            </w:pPr>
            <w:r w:rsidRPr="004865EF">
              <w:rPr>
                <w:rFonts w:ascii="Times New Roman" w:eastAsia="宋体" w:hAnsi="Times New Roman" w:cs="Times New Roman"/>
                <w:b/>
                <w:kern w:val="0"/>
                <w:sz w:val="22"/>
                <w:szCs w:val="21"/>
              </w:rPr>
              <w:t>关联方：中金云金融（北京）大数据科技股份有限公司</w:t>
            </w:r>
            <w:r w:rsidRPr="004865EF">
              <w:rPr>
                <w:rFonts w:ascii="Times New Roman" w:eastAsia="宋体" w:hAnsi="Times New Roman" w:cs="Times New Roman"/>
                <w:b/>
                <w:bCs/>
                <w:kern w:val="0"/>
                <w:sz w:val="22"/>
                <w:szCs w:val="21"/>
              </w:rPr>
              <w:t>（关联关系：子公司关键管理人员控制的企业）</w:t>
            </w:r>
          </w:p>
        </w:tc>
      </w:tr>
      <w:tr w:rsidR="004865EF" w:rsidRPr="004865EF" w14:paraId="47E7C8F7"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C87760C" w14:textId="77777777" w:rsidR="00BE0111" w:rsidRPr="004865EF" w:rsidRDefault="00BE0111" w:rsidP="0008265D">
            <w:pPr>
              <w:widowControl/>
              <w:wordWrap w:val="0"/>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63C87882"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1,401.22</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CC3FE60"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1,404.94</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60278FA"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789.22</w:t>
            </w:r>
          </w:p>
        </w:tc>
      </w:tr>
      <w:tr w:rsidR="004865EF" w:rsidRPr="004865EF" w14:paraId="2E6D06D1" w14:textId="77777777" w:rsidTr="0008265D">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21583C6" w14:textId="77777777" w:rsidR="00BE0111" w:rsidRPr="004865EF" w:rsidRDefault="00BE0111" w:rsidP="0008265D">
            <w:pPr>
              <w:widowControl/>
              <w:jc w:val="left"/>
              <w:rPr>
                <w:rFonts w:ascii="Times New Roman" w:eastAsia="宋体" w:hAnsi="Times New Roman" w:cs="Times New Roman"/>
                <w:b/>
                <w:kern w:val="0"/>
                <w:sz w:val="22"/>
                <w:szCs w:val="21"/>
                <w:lang w:val="zh-CN" w:bidi="zh-CN"/>
              </w:rPr>
            </w:pPr>
            <w:r w:rsidRPr="004865EF">
              <w:rPr>
                <w:rFonts w:ascii="Times New Roman" w:eastAsia="宋体" w:hAnsi="Times New Roman" w:cs="Times New Roman"/>
                <w:b/>
                <w:kern w:val="0"/>
                <w:sz w:val="22"/>
                <w:szCs w:val="21"/>
              </w:rPr>
              <w:t>关联方：烟台中金数据系统有限公司</w:t>
            </w:r>
            <w:r w:rsidRPr="004865EF">
              <w:rPr>
                <w:rFonts w:ascii="Times New Roman" w:eastAsia="宋体" w:hAnsi="Times New Roman" w:cs="Times New Roman"/>
                <w:b/>
                <w:bCs/>
                <w:kern w:val="0"/>
                <w:sz w:val="22"/>
                <w:szCs w:val="21"/>
              </w:rPr>
              <w:t>（关联关系：子公司关键管理人员控制的企业）</w:t>
            </w:r>
          </w:p>
        </w:tc>
      </w:tr>
      <w:tr w:rsidR="004865EF" w:rsidRPr="004865EF" w14:paraId="2F5E8FAB"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7AB4922" w14:textId="77777777" w:rsidR="00BE0111" w:rsidRPr="004865EF" w:rsidRDefault="00BE0111" w:rsidP="0008265D">
            <w:pPr>
              <w:widowControl/>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71216295"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188.68</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8CFE80A"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141.51</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B058F7D"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w:t>
            </w:r>
          </w:p>
        </w:tc>
      </w:tr>
      <w:tr w:rsidR="004865EF" w:rsidRPr="004865EF" w14:paraId="5E9FBA4C" w14:textId="77777777" w:rsidTr="0008265D">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9BA641E" w14:textId="77777777" w:rsidR="00BE0111" w:rsidRPr="004865EF" w:rsidRDefault="00BE0111" w:rsidP="0008265D">
            <w:pPr>
              <w:widowControl/>
              <w:jc w:val="left"/>
              <w:rPr>
                <w:rFonts w:ascii="Times New Roman" w:eastAsia="宋体" w:hAnsi="Times New Roman" w:cs="Times New Roman"/>
                <w:b/>
                <w:kern w:val="0"/>
                <w:sz w:val="22"/>
                <w:szCs w:val="21"/>
              </w:rPr>
            </w:pPr>
            <w:r w:rsidRPr="004865EF">
              <w:rPr>
                <w:rFonts w:ascii="Times New Roman" w:eastAsia="宋体" w:hAnsi="Times New Roman" w:cs="Times New Roman"/>
                <w:b/>
                <w:kern w:val="0"/>
                <w:sz w:val="22"/>
                <w:szCs w:val="21"/>
              </w:rPr>
              <w:t>关联方：中</w:t>
            </w:r>
            <w:proofErr w:type="gramStart"/>
            <w:r w:rsidRPr="004865EF">
              <w:rPr>
                <w:rFonts w:ascii="Times New Roman" w:eastAsia="宋体" w:hAnsi="Times New Roman" w:cs="Times New Roman"/>
                <w:b/>
                <w:kern w:val="0"/>
                <w:sz w:val="22"/>
                <w:szCs w:val="21"/>
              </w:rPr>
              <w:t>金慈云健康</w:t>
            </w:r>
            <w:proofErr w:type="gramEnd"/>
            <w:r w:rsidRPr="004865EF">
              <w:rPr>
                <w:rFonts w:ascii="Times New Roman" w:eastAsia="宋体" w:hAnsi="Times New Roman" w:cs="Times New Roman"/>
                <w:b/>
                <w:kern w:val="0"/>
                <w:sz w:val="22"/>
                <w:szCs w:val="21"/>
              </w:rPr>
              <w:t>科技有限公司</w:t>
            </w:r>
            <w:r w:rsidRPr="004865EF">
              <w:rPr>
                <w:rFonts w:ascii="Times New Roman" w:eastAsia="宋体" w:hAnsi="Times New Roman" w:cs="Times New Roman"/>
                <w:b/>
                <w:bCs/>
                <w:kern w:val="0"/>
                <w:sz w:val="22"/>
                <w:szCs w:val="21"/>
              </w:rPr>
              <w:t>（关联关系：子公司关键管理人员控制的企业）</w:t>
            </w:r>
          </w:p>
        </w:tc>
      </w:tr>
      <w:tr w:rsidR="004865EF" w:rsidRPr="004865EF" w14:paraId="4FCCFA0B"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0BAE8ED" w14:textId="77777777" w:rsidR="00BE0111" w:rsidRPr="004865EF" w:rsidRDefault="00BE0111" w:rsidP="0008265D">
            <w:pPr>
              <w:widowControl/>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0D86947B"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169.81</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EFAF7FD"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D08A5C9"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w:t>
            </w:r>
          </w:p>
        </w:tc>
      </w:tr>
      <w:tr w:rsidR="004865EF" w:rsidRPr="004865EF" w14:paraId="263F50D7"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5A152BD" w14:textId="77777777" w:rsidR="00BE0111" w:rsidRPr="004865EF" w:rsidRDefault="00BE0111" w:rsidP="0008265D">
            <w:pPr>
              <w:widowControl/>
              <w:jc w:val="left"/>
              <w:rPr>
                <w:rFonts w:ascii="Times New Roman" w:eastAsia="宋体" w:hAnsi="Times New Roman" w:cs="Times New Roman"/>
                <w:kern w:val="0"/>
                <w:sz w:val="22"/>
                <w:szCs w:val="21"/>
              </w:rPr>
            </w:pPr>
            <w:r w:rsidRPr="004865EF">
              <w:rPr>
                <w:rFonts w:ascii="Times New Roman" w:eastAsia="宋体" w:hAnsi="Times New Roman" w:cs="Times New Roman" w:hint="eastAsia"/>
                <w:kern w:val="0"/>
                <w:sz w:val="22"/>
                <w:szCs w:val="21"/>
              </w:rPr>
              <w:t>采购金额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18EFCEDD"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2DFC296"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12.73</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D38C737"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7.85</w:t>
            </w:r>
          </w:p>
        </w:tc>
      </w:tr>
      <w:tr w:rsidR="004865EF" w:rsidRPr="004865EF" w14:paraId="1C38E800" w14:textId="77777777" w:rsidTr="0008265D">
        <w:trPr>
          <w:jc w:val="center"/>
        </w:trPr>
        <w:tc>
          <w:tcPr>
            <w:tcW w:w="5000" w:type="pct"/>
            <w:gridSpan w:val="4"/>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14:paraId="660D02FF" w14:textId="77777777" w:rsidR="00BE0111" w:rsidRPr="004865EF" w:rsidRDefault="00BE0111" w:rsidP="0008265D">
            <w:pPr>
              <w:widowControl/>
              <w:jc w:val="left"/>
              <w:rPr>
                <w:rFonts w:ascii="Times New Roman" w:eastAsia="宋体" w:hAnsi="Times New Roman" w:cs="Times New Roman"/>
                <w:b/>
                <w:kern w:val="0"/>
                <w:sz w:val="22"/>
                <w:szCs w:val="21"/>
                <w:lang w:val="zh-CN" w:bidi="zh-CN"/>
              </w:rPr>
            </w:pPr>
            <w:r w:rsidRPr="004865EF">
              <w:rPr>
                <w:rFonts w:ascii="Times New Roman" w:eastAsia="宋体" w:hAnsi="Times New Roman" w:cs="Times New Roman"/>
                <w:b/>
                <w:bCs/>
                <w:kern w:val="0"/>
                <w:sz w:val="22"/>
                <w:szCs w:val="21"/>
              </w:rPr>
              <w:t>关联方：中金花桥数据系统有限公司（关联关系：子公司关键管理人员控制的企业）</w:t>
            </w:r>
          </w:p>
        </w:tc>
      </w:tr>
      <w:tr w:rsidR="004865EF" w:rsidRPr="004865EF" w14:paraId="38EFF92A"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E29090A" w14:textId="77777777" w:rsidR="00BE0111" w:rsidRPr="004865EF" w:rsidRDefault="00BE0111" w:rsidP="0008265D">
            <w:pPr>
              <w:widowControl/>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174C9196"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1.00</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F79EFDF"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3F429AF"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w:t>
            </w:r>
          </w:p>
        </w:tc>
      </w:tr>
      <w:tr w:rsidR="004865EF" w:rsidRPr="004865EF" w14:paraId="63FD6433"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9368AE2" w14:textId="77777777" w:rsidR="00BE0111" w:rsidRPr="004865EF" w:rsidRDefault="00BE0111" w:rsidP="0008265D">
            <w:pPr>
              <w:widowControl/>
              <w:wordWrap w:val="0"/>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采购金额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6C7AFD01"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1,209.45</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54907B3"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DB92CEE" w14:textId="77777777" w:rsidR="00BE0111" w:rsidRPr="004865EF" w:rsidRDefault="00BE0111" w:rsidP="0008265D">
            <w:pPr>
              <w:widowControl/>
              <w:wordWrap w:val="0"/>
              <w:jc w:val="right"/>
              <w:rPr>
                <w:rFonts w:ascii="Times New Roman" w:eastAsia="宋体" w:hAnsi="Times New Roman" w:cs="Times New Roman"/>
                <w:kern w:val="0"/>
                <w:sz w:val="22"/>
                <w:szCs w:val="21"/>
                <w:lang w:val="zh-CN" w:bidi="zh-CN"/>
              </w:rPr>
            </w:pPr>
            <w:r w:rsidRPr="004865EF">
              <w:rPr>
                <w:rFonts w:ascii="Times New Roman" w:eastAsia="宋体" w:hAnsi="Times New Roman" w:cs="Times New Roman"/>
                <w:kern w:val="0"/>
                <w:sz w:val="22"/>
                <w:szCs w:val="21"/>
                <w:lang w:val="zh-CN" w:bidi="zh-CN"/>
              </w:rPr>
              <w:t>1.16</w:t>
            </w:r>
          </w:p>
        </w:tc>
      </w:tr>
      <w:tr w:rsidR="004865EF" w:rsidRPr="004865EF" w14:paraId="30E50555" w14:textId="77777777" w:rsidTr="0008265D">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AF9EC25" w14:textId="77777777" w:rsidR="00BE0111" w:rsidRPr="004865EF" w:rsidRDefault="00BE0111" w:rsidP="0008265D">
            <w:pPr>
              <w:widowControl/>
              <w:wordWrap w:val="0"/>
              <w:jc w:val="left"/>
              <w:rPr>
                <w:rFonts w:ascii="Times New Roman" w:eastAsia="宋体" w:hAnsi="Times New Roman" w:cs="Times New Roman"/>
                <w:b/>
                <w:kern w:val="0"/>
                <w:sz w:val="22"/>
                <w:szCs w:val="21"/>
              </w:rPr>
            </w:pPr>
            <w:r w:rsidRPr="004865EF">
              <w:rPr>
                <w:rFonts w:ascii="Times New Roman" w:eastAsia="宋体" w:hAnsi="Times New Roman" w:cs="Times New Roman"/>
                <w:b/>
                <w:kern w:val="0"/>
                <w:sz w:val="22"/>
                <w:szCs w:val="21"/>
              </w:rPr>
              <w:t>关联方：</w:t>
            </w:r>
            <w:r w:rsidRPr="004865EF">
              <w:rPr>
                <w:rFonts w:ascii="Times New Roman" w:eastAsia="宋体" w:hAnsi="Times New Roman" w:cs="Times New Roman"/>
                <w:b/>
                <w:bCs/>
                <w:kern w:val="0"/>
                <w:sz w:val="22"/>
              </w:rPr>
              <w:t>中金数据（武汉）</w:t>
            </w:r>
            <w:proofErr w:type="gramStart"/>
            <w:r w:rsidRPr="004865EF">
              <w:rPr>
                <w:rFonts w:ascii="Times New Roman" w:eastAsia="宋体" w:hAnsi="Times New Roman" w:cs="Times New Roman"/>
                <w:b/>
                <w:bCs/>
                <w:kern w:val="0"/>
                <w:sz w:val="22"/>
              </w:rPr>
              <w:t>超算技术</w:t>
            </w:r>
            <w:proofErr w:type="gramEnd"/>
            <w:r w:rsidRPr="004865EF">
              <w:rPr>
                <w:rFonts w:ascii="Times New Roman" w:eastAsia="宋体" w:hAnsi="Times New Roman" w:cs="Times New Roman"/>
                <w:b/>
                <w:bCs/>
                <w:kern w:val="0"/>
                <w:sz w:val="22"/>
              </w:rPr>
              <w:t>有限公司</w:t>
            </w:r>
            <w:r w:rsidRPr="004865EF">
              <w:rPr>
                <w:rFonts w:ascii="Times New Roman" w:eastAsia="宋体" w:hAnsi="Times New Roman" w:cs="Times New Roman"/>
                <w:b/>
                <w:bCs/>
                <w:kern w:val="0"/>
                <w:sz w:val="22"/>
                <w:szCs w:val="21"/>
              </w:rPr>
              <w:t>（关联关系：子公司关键管理人员控制的企业）</w:t>
            </w:r>
          </w:p>
        </w:tc>
      </w:tr>
      <w:tr w:rsidR="004865EF" w:rsidRPr="004865EF" w14:paraId="4FE0086E" w14:textId="77777777" w:rsidTr="0008265D">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D0A6911" w14:textId="77777777" w:rsidR="00BE0111" w:rsidRPr="004865EF" w:rsidRDefault="00BE0111" w:rsidP="0008265D">
            <w:pPr>
              <w:widowControl/>
              <w:jc w:val="lef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736D8D2F"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CCE4660"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06EA5EC" w14:textId="77777777" w:rsidR="00BE0111" w:rsidRPr="004865EF" w:rsidRDefault="00BE0111" w:rsidP="0008265D">
            <w:pPr>
              <w:widowControl/>
              <w:wordWrap w:val="0"/>
              <w:jc w:val="right"/>
              <w:rPr>
                <w:rFonts w:ascii="Times New Roman" w:eastAsia="宋体" w:hAnsi="Times New Roman" w:cs="Times New Roman"/>
                <w:kern w:val="0"/>
                <w:sz w:val="22"/>
                <w:szCs w:val="21"/>
              </w:rPr>
            </w:pPr>
            <w:r w:rsidRPr="004865EF">
              <w:rPr>
                <w:rFonts w:ascii="Times New Roman" w:eastAsia="宋体" w:hAnsi="Times New Roman" w:cs="Times New Roman"/>
                <w:kern w:val="0"/>
                <w:sz w:val="22"/>
                <w:szCs w:val="21"/>
              </w:rPr>
              <w:t>2,433.96</w:t>
            </w:r>
          </w:p>
        </w:tc>
      </w:tr>
    </w:tbl>
    <w:p w14:paraId="60B0388E" w14:textId="77777777" w:rsidR="00BE0111" w:rsidRPr="004865EF" w:rsidRDefault="00BE0111"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2</w:t>
      </w:r>
      <w:r w:rsidRPr="004865EF">
        <w:rPr>
          <w:rFonts w:ascii="Times New Roman" w:eastAsia="宋体" w:hAnsi="Times New Roman" w:cs="Times New Roman"/>
          <w:sz w:val="24"/>
        </w:rPr>
        <w:t>、</w:t>
      </w:r>
      <w:bookmarkStart w:id="34" w:name="_Hlk46407924"/>
      <w:r w:rsidRPr="004865EF">
        <w:rPr>
          <w:rFonts w:ascii="Times New Roman" w:eastAsia="宋体" w:hAnsi="Times New Roman" w:cs="Times New Roman"/>
          <w:sz w:val="24"/>
        </w:rPr>
        <w:t>2017</w:t>
      </w:r>
      <w:r w:rsidRPr="004865EF">
        <w:rPr>
          <w:rFonts w:ascii="Times New Roman" w:eastAsia="宋体" w:hAnsi="Times New Roman" w:cs="Times New Roman"/>
          <w:sz w:val="24"/>
        </w:rPr>
        <w:t>年</w:t>
      </w:r>
      <w:r w:rsidRPr="004865EF">
        <w:rPr>
          <w:rFonts w:ascii="Times New Roman" w:eastAsia="宋体" w:hAnsi="Times New Roman" w:cs="Times New Roman"/>
          <w:sz w:val="24"/>
        </w:rPr>
        <w:t>-2019</w:t>
      </w:r>
      <w:r w:rsidRPr="004865EF">
        <w:rPr>
          <w:rFonts w:ascii="Times New Roman" w:eastAsia="宋体" w:hAnsi="Times New Roman" w:cs="Times New Roman"/>
          <w:sz w:val="24"/>
        </w:rPr>
        <w:t>年</w:t>
      </w:r>
      <w:bookmarkEnd w:id="34"/>
      <w:r w:rsidRPr="004865EF">
        <w:rPr>
          <w:rFonts w:ascii="Times New Roman" w:eastAsia="宋体" w:hAnsi="Times New Roman" w:cs="Times New Roman" w:hint="eastAsia"/>
          <w:sz w:val="24"/>
        </w:rPr>
        <w:t>上述交易的合理性与定价据</w:t>
      </w:r>
    </w:p>
    <w:p w14:paraId="7C607228" w14:textId="19BD94CA" w:rsidR="00752AB6" w:rsidRPr="004865EF" w:rsidRDefault="00A420F6"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报告期内，中</w:t>
      </w:r>
      <w:proofErr w:type="gramStart"/>
      <w:r w:rsidRPr="004865EF">
        <w:rPr>
          <w:rFonts w:ascii="Times New Roman" w:eastAsia="宋体" w:hAnsi="Times New Roman" w:cs="Times New Roman" w:hint="eastAsia"/>
          <w:sz w:val="24"/>
        </w:rPr>
        <w:t>金云网向</w:t>
      </w:r>
      <w:proofErr w:type="gramEnd"/>
      <w:r w:rsidRPr="004865EF">
        <w:rPr>
          <w:rFonts w:ascii="Times New Roman" w:eastAsia="宋体" w:hAnsi="Times New Roman" w:cs="Times New Roman" w:hint="eastAsia"/>
          <w:sz w:val="24"/>
        </w:rPr>
        <w:t>中金数据系统有限公司（以下简称“中金数据”）销售</w:t>
      </w:r>
      <w:r w:rsidRPr="004865EF">
        <w:rPr>
          <w:rFonts w:ascii="Times New Roman" w:eastAsia="宋体" w:hAnsi="Times New Roman" w:cs="Times New Roman"/>
          <w:sz w:val="24"/>
        </w:rPr>
        <w:t>2,287.58</w:t>
      </w:r>
      <w:r w:rsidRPr="004865EF">
        <w:rPr>
          <w:rFonts w:ascii="Times New Roman" w:eastAsia="宋体" w:hAnsi="Times New Roman" w:cs="Times New Roman"/>
          <w:sz w:val="24"/>
        </w:rPr>
        <w:t>万元、</w:t>
      </w:r>
      <w:r w:rsidRPr="004865EF">
        <w:rPr>
          <w:rFonts w:ascii="Times New Roman" w:eastAsia="宋体" w:hAnsi="Times New Roman" w:cs="Times New Roman"/>
          <w:sz w:val="24"/>
        </w:rPr>
        <w:t>2,276.40</w:t>
      </w:r>
      <w:r w:rsidRPr="004865EF">
        <w:rPr>
          <w:rFonts w:ascii="Times New Roman" w:eastAsia="宋体" w:hAnsi="Times New Roman" w:cs="Times New Roman"/>
          <w:sz w:val="24"/>
        </w:rPr>
        <w:t>万元和</w:t>
      </w:r>
      <w:r w:rsidRPr="004865EF">
        <w:rPr>
          <w:rFonts w:ascii="Times New Roman" w:eastAsia="宋体" w:hAnsi="Times New Roman" w:cs="Times New Roman"/>
          <w:sz w:val="24"/>
        </w:rPr>
        <w:t>1,357.49</w:t>
      </w:r>
      <w:r w:rsidRPr="004865EF">
        <w:rPr>
          <w:rFonts w:ascii="Times New Roman" w:eastAsia="宋体" w:hAnsi="Times New Roman" w:cs="Times New Roman"/>
          <w:sz w:val="24"/>
        </w:rPr>
        <w:t>万元，采购</w:t>
      </w:r>
      <w:r w:rsidRPr="004865EF">
        <w:rPr>
          <w:rFonts w:ascii="Times New Roman" w:eastAsia="宋体" w:hAnsi="Times New Roman" w:cs="Times New Roman"/>
          <w:sz w:val="24"/>
        </w:rPr>
        <w:t>469.04</w:t>
      </w:r>
      <w:r w:rsidRPr="004865EF">
        <w:rPr>
          <w:rFonts w:ascii="Times New Roman" w:eastAsia="宋体" w:hAnsi="Times New Roman" w:cs="Times New Roman"/>
          <w:sz w:val="24"/>
        </w:rPr>
        <w:t>万元、</w:t>
      </w:r>
      <w:r w:rsidRPr="004865EF">
        <w:rPr>
          <w:rFonts w:ascii="Times New Roman" w:eastAsia="宋体" w:hAnsi="Times New Roman" w:cs="Times New Roman"/>
          <w:sz w:val="24"/>
        </w:rPr>
        <w:t>469.04</w:t>
      </w:r>
      <w:r w:rsidRPr="004865EF">
        <w:rPr>
          <w:rFonts w:ascii="Times New Roman" w:eastAsia="宋体" w:hAnsi="Times New Roman" w:cs="Times New Roman"/>
          <w:sz w:val="24"/>
        </w:rPr>
        <w:t>万元和</w:t>
      </w:r>
      <w:r w:rsidRPr="004865EF">
        <w:rPr>
          <w:rFonts w:ascii="Times New Roman" w:eastAsia="宋体" w:hAnsi="Times New Roman" w:cs="Times New Roman"/>
          <w:sz w:val="24"/>
        </w:rPr>
        <w:t>1,106.75</w:t>
      </w:r>
      <w:r w:rsidRPr="004865EF">
        <w:rPr>
          <w:rFonts w:ascii="Times New Roman" w:eastAsia="宋体" w:hAnsi="Times New Roman" w:cs="Times New Roman"/>
          <w:sz w:val="24"/>
        </w:rPr>
        <w:t>万元。关联销售主要为中</w:t>
      </w:r>
      <w:proofErr w:type="gramStart"/>
      <w:r w:rsidRPr="004865EF">
        <w:rPr>
          <w:rFonts w:ascii="Times New Roman" w:eastAsia="宋体" w:hAnsi="Times New Roman" w:cs="Times New Roman"/>
          <w:sz w:val="24"/>
        </w:rPr>
        <w:t>金云网将</w:t>
      </w:r>
      <w:proofErr w:type="gramEnd"/>
      <w:r w:rsidRPr="004865EF">
        <w:rPr>
          <w:rFonts w:ascii="Times New Roman" w:eastAsia="宋体" w:hAnsi="Times New Roman" w:cs="Times New Roman"/>
          <w:sz w:val="24"/>
        </w:rPr>
        <w:t>持有的办公楼出租给中金数据，按租赁面积</w:t>
      </w:r>
      <w:r w:rsidRPr="004865EF">
        <w:rPr>
          <w:rFonts w:ascii="Times New Roman" w:eastAsia="宋体" w:hAnsi="Times New Roman" w:cs="Times New Roman"/>
          <w:sz w:val="24"/>
        </w:rPr>
        <w:t>6.5</w:t>
      </w:r>
      <w:r w:rsidRPr="004865EF">
        <w:rPr>
          <w:rFonts w:ascii="Times New Roman" w:eastAsia="宋体" w:hAnsi="Times New Roman" w:cs="Times New Roman"/>
          <w:sz w:val="24"/>
        </w:rPr>
        <w:t>元</w:t>
      </w:r>
      <w:r w:rsidRPr="004865EF">
        <w:rPr>
          <w:rFonts w:ascii="Times New Roman" w:eastAsia="宋体" w:hAnsi="Times New Roman" w:cs="Times New Roman"/>
          <w:sz w:val="24"/>
        </w:rPr>
        <w:t>/</w:t>
      </w:r>
      <w:proofErr w:type="gramStart"/>
      <w:r w:rsidRPr="004865EF">
        <w:rPr>
          <w:rFonts w:ascii="Times New Roman" w:eastAsia="宋体" w:hAnsi="Times New Roman" w:cs="Times New Roman"/>
          <w:sz w:val="24"/>
        </w:rPr>
        <w:t>平米</w:t>
      </w:r>
      <w:r w:rsidRPr="004865EF">
        <w:rPr>
          <w:rFonts w:ascii="Times New Roman" w:eastAsia="宋体" w:hAnsi="Times New Roman" w:cs="Times New Roman"/>
          <w:sz w:val="24"/>
        </w:rPr>
        <w:t>/</w:t>
      </w:r>
      <w:proofErr w:type="gramEnd"/>
      <w:r w:rsidRPr="004865EF">
        <w:rPr>
          <w:rFonts w:ascii="Times New Roman" w:eastAsia="宋体" w:hAnsi="Times New Roman" w:cs="Times New Roman"/>
          <w:sz w:val="24"/>
        </w:rPr>
        <w:t>天收取租金；关联采购主要为中</w:t>
      </w:r>
      <w:proofErr w:type="gramStart"/>
      <w:r w:rsidRPr="004865EF">
        <w:rPr>
          <w:rFonts w:ascii="Times New Roman" w:eastAsia="宋体" w:hAnsi="Times New Roman" w:cs="Times New Roman"/>
          <w:sz w:val="24"/>
        </w:rPr>
        <w:t>金云网将</w:t>
      </w:r>
      <w:proofErr w:type="gramEnd"/>
      <w:r w:rsidRPr="004865EF">
        <w:rPr>
          <w:rFonts w:ascii="Times New Roman" w:eastAsia="宋体" w:hAnsi="Times New Roman" w:cs="Times New Roman"/>
          <w:sz w:val="24"/>
        </w:rPr>
        <w:t>所有数据中心的物业管理服务委托给中</w:t>
      </w:r>
      <w:proofErr w:type="gramStart"/>
      <w:r w:rsidRPr="004865EF">
        <w:rPr>
          <w:rFonts w:ascii="Times New Roman" w:eastAsia="宋体" w:hAnsi="Times New Roman" w:cs="Times New Roman"/>
          <w:sz w:val="24"/>
        </w:rPr>
        <w:t>金数据</w:t>
      </w:r>
      <w:proofErr w:type="gramEnd"/>
      <w:r w:rsidRPr="004865EF">
        <w:rPr>
          <w:rFonts w:ascii="Times New Roman" w:eastAsia="宋体" w:hAnsi="Times New Roman" w:cs="Times New Roman"/>
          <w:sz w:val="24"/>
        </w:rPr>
        <w:t>负责管理，并按照提供服务的面积</w:t>
      </w:r>
      <w:r w:rsidRPr="004865EF">
        <w:rPr>
          <w:rFonts w:ascii="Times New Roman" w:eastAsia="宋体" w:hAnsi="Times New Roman" w:cs="Times New Roman"/>
          <w:sz w:val="24"/>
        </w:rPr>
        <w:t>0.35</w:t>
      </w:r>
      <w:r w:rsidRPr="004865EF">
        <w:rPr>
          <w:rFonts w:ascii="Times New Roman" w:eastAsia="宋体" w:hAnsi="Times New Roman" w:cs="Times New Roman"/>
          <w:sz w:val="24"/>
        </w:rPr>
        <w:t>元</w:t>
      </w:r>
      <w:r w:rsidRPr="004865EF">
        <w:rPr>
          <w:rFonts w:ascii="Times New Roman" w:eastAsia="宋体" w:hAnsi="Times New Roman" w:cs="Times New Roman"/>
          <w:sz w:val="24"/>
        </w:rPr>
        <w:t>/</w:t>
      </w:r>
      <w:r w:rsidRPr="004865EF">
        <w:rPr>
          <w:rFonts w:ascii="Times New Roman" w:eastAsia="宋体" w:hAnsi="Times New Roman" w:cs="Times New Roman"/>
          <w:sz w:val="24"/>
        </w:rPr>
        <w:t>建筑平方米</w:t>
      </w:r>
      <w:r w:rsidRPr="004865EF">
        <w:rPr>
          <w:rFonts w:ascii="Times New Roman" w:eastAsia="宋体" w:hAnsi="Times New Roman" w:cs="Times New Roman"/>
          <w:sz w:val="24"/>
        </w:rPr>
        <w:t>/</w:t>
      </w:r>
      <w:proofErr w:type="gramStart"/>
      <w:r w:rsidRPr="004865EF">
        <w:rPr>
          <w:rFonts w:ascii="Times New Roman" w:eastAsia="宋体" w:hAnsi="Times New Roman" w:cs="Times New Roman"/>
          <w:sz w:val="24"/>
        </w:rPr>
        <w:t>天支付</w:t>
      </w:r>
      <w:proofErr w:type="gramEnd"/>
      <w:r w:rsidRPr="004865EF">
        <w:rPr>
          <w:rFonts w:ascii="Times New Roman" w:eastAsia="宋体" w:hAnsi="Times New Roman" w:cs="Times New Roman"/>
          <w:sz w:val="24"/>
        </w:rPr>
        <w:t>物业管理费。</w:t>
      </w:r>
      <w:r w:rsidRPr="004865EF">
        <w:rPr>
          <w:rFonts w:ascii="Times New Roman" w:eastAsia="宋体" w:hAnsi="Times New Roman" w:cs="Times New Roman"/>
          <w:sz w:val="24"/>
        </w:rPr>
        <w:t>2019</w:t>
      </w:r>
      <w:r w:rsidRPr="004865EF">
        <w:rPr>
          <w:rFonts w:ascii="Times New Roman" w:eastAsia="宋体" w:hAnsi="Times New Roman" w:cs="Times New Roman"/>
          <w:sz w:val="24"/>
        </w:rPr>
        <w:t>年租赁收入减少原因是租赁面积减少，物业管理费用增加</w:t>
      </w:r>
      <w:r w:rsidRPr="004865EF">
        <w:rPr>
          <w:rFonts w:ascii="Times New Roman" w:eastAsia="宋体" w:hAnsi="Times New Roman" w:cs="Times New Roman" w:hint="eastAsia"/>
          <w:sz w:val="24"/>
        </w:rPr>
        <w:t>原因是</w:t>
      </w:r>
      <w:r w:rsidRPr="004865EF">
        <w:rPr>
          <w:rFonts w:ascii="Times New Roman" w:eastAsia="宋体" w:hAnsi="Times New Roman" w:cs="Times New Roman"/>
          <w:sz w:val="24"/>
        </w:rPr>
        <w:t>后勤管理总面积增加。</w:t>
      </w:r>
      <w:r w:rsidR="0078182C" w:rsidRPr="004865EF">
        <w:rPr>
          <w:rFonts w:ascii="楷体" w:eastAsia="楷体" w:hAnsi="楷体" w:cs="Times New Roman" w:hint="eastAsia"/>
          <w:b/>
          <w:sz w:val="24"/>
        </w:rPr>
        <w:t>中金云网</w:t>
      </w:r>
      <w:r w:rsidR="005079B7" w:rsidRPr="004865EF">
        <w:rPr>
          <w:rFonts w:ascii="楷体" w:eastAsia="楷体" w:hAnsi="楷体" w:cs="Times New Roman" w:hint="eastAsia"/>
          <w:b/>
          <w:sz w:val="24"/>
        </w:rPr>
        <w:t>系</w:t>
      </w:r>
      <w:r w:rsidR="0078182C" w:rsidRPr="004865EF">
        <w:rPr>
          <w:rFonts w:ascii="楷体" w:eastAsia="楷体" w:hAnsi="楷体" w:cs="Times New Roman" w:hint="eastAsia"/>
          <w:b/>
          <w:sz w:val="24"/>
        </w:rPr>
        <w:t>中</w:t>
      </w:r>
      <w:proofErr w:type="gramStart"/>
      <w:r w:rsidR="0078182C" w:rsidRPr="004865EF">
        <w:rPr>
          <w:rFonts w:ascii="楷体" w:eastAsia="楷体" w:hAnsi="楷体" w:cs="Times New Roman" w:hint="eastAsia"/>
          <w:b/>
          <w:sz w:val="24"/>
        </w:rPr>
        <w:t>金数据</w:t>
      </w:r>
      <w:proofErr w:type="gramEnd"/>
      <w:r w:rsidR="005079B7" w:rsidRPr="004865EF">
        <w:rPr>
          <w:rFonts w:ascii="楷体" w:eastAsia="楷体" w:hAnsi="楷体" w:cs="Times New Roman" w:hint="eastAsia"/>
          <w:b/>
          <w:sz w:val="24"/>
        </w:rPr>
        <w:t>2015年</w:t>
      </w:r>
      <w:r w:rsidR="0078182C" w:rsidRPr="004865EF">
        <w:rPr>
          <w:rFonts w:ascii="楷体" w:eastAsia="楷体" w:hAnsi="楷体" w:cs="Times New Roman" w:hint="eastAsia"/>
          <w:b/>
          <w:sz w:val="24"/>
        </w:rPr>
        <w:t>存续分立后成立的新公司，</w:t>
      </w:r>
      <w:r w:rsidR="005079B7" w:rsidRPr="004865EF">
        <w:rPr>
          <w:rFonts w:ascii="楷体" w:eastAsia="楷体" w:hAnsi="楷体" w:cs="Times New Roman" w:hint="eastAsia"/>
          <w:b/>
          <w:sz w:val="24"/>
        </w:rPr>
        <w:t>中</w:t>
      </w:r>
      <w:proofErr w:type="gramStart"/>
      <w:r w:rsidR="005079B7" w:rsidRPr="004865EF">
        <w:rPr>
          <w:rFonts w:ascii="楷体" w:eastAsia="楷体" w:hAnsi="楷体" w:cs="Times New Roman" w:hint="eastAsia"/>
          <w:b/>
          <w:sz w:val="24"/>
        </w:rPr>
        <w:t>金数据</w:t>
      </w:r>
      <w:proofErr w:type="gramEnd"/>
      <w:r w:rsidR="005079B7" w:rsidRPr="004865EF">
        <w:rPr>
          <w:rFonts w:ascii="楷体" w:eastAsia="楷体" w:hAnsi="楷体" w:cs="Times New Roman" w:hint="eastAsia"/>
          <w:b/>
          <w:sz w:val="24"/>
        </w:rPr>
        <w:t>将原有数据中心的业务、资产、负债以及相关人员置入新设立的中金云网。公司于2016年收购了中</w:t>
      </w:r>
      <w:proofErr w:type="gramStart"/>
      <w:r w:rsidR="005079B7" w:rsidRPr="004865EF">
        <w:rPr>
          <w:rFonts w:ascii="楷体" w:eastAsia="楷体" w:hAnsi="楷体" w:cs="Times New Roman" w:hint="eastAsia"/>
          <w:b/>
          <w:sz w:val="24"/>
        </w:rPr>
        <w:t>金云网</w:t>
      </w:r>
      <w:proofErr w:type="gramEnd"/>
      <w:r w:rsidR="005079B7" w:rsidRPr="004865EF">
        <w:rPr>
          <w:rFonts w:ascii="楷体" w:eastAsia="楷体" w:hAnsi="楷体" w:cs="Times New Roman" w:hint="eastAsia"/>
          <w:b/>
          <w:sz w:val="24"/>
        </w:rPr>
        <w:t>100%的股权，取得了数据中心相关土地、房产的产权；</w:t>
      </w:r>
      <w:r w:rsidR="00CE714D" w:rsidRPr="004865EF">
        <w:rPr>
          <w:rFonts w:ascii="楷体" w:eastAsia="楷体" w:hAnsi="楷体" w:cs="Times New Roman" w:hint="eastAsia"/>
          <w:b/>
          <w:sz w:val="24"/>
        </w:rPr>
        <w:t>收购完成后，</w:t>
      </w:r>
      <w:r w:rsidR="005079B7" w:rsidRPr="004865EF">
        <w:rPr>
          <w:rFonts w:ascii="楷体" w:eastAsia="楷体" w:hAnsi="楷体" w:cs="Times New Roman" w:hint="eastAsia"/>
          <w:b/>
          <w:sz w:val="24"/>
        </w:rPr>
        <w:t>中</w:t>
      </w:r>
      <w:proofErr w:type="gramStart"/>
      <w:r w:rsidR="005079B7" w:rsidRPr="004865EF">
        <w:rPr>
          <w:rFonts w:ascii="楷体" w:eastAsia="楷体" w:hAnsi="楷体" w:cs="Times New Roman" w:hint="eastAsia"/>
          <w:b/>
          <w:sz w:val="24"/>
        </w:rPr>
        <w:t>金数据</w:t>
      </w:r>
      <w:proofErr w:type="gramEnd"/>
      <w:r w:rsidR="005079B7" w:rsidRPr="004865EF">
        <w:rPr>
          <w:rFonts w:ascii="楷体" w:eastAsia="楷体" w:hAnsi="楷体" w:cs="Times New Roman" w:hint="eastAsia"/>
          <w:b/>
          <w:sz w:val="24"/>
        </w:rPr>
        <w:t>为保留原有办公场所</w:t>
      </w:r>
      <w:r w:rsidR="00CE714D" w:rsidRPr="004865EF">
        <w:rPr>
          <w:rFonts w:ascii="楷体" w:eastAsia="楷体" w:hAnsi="楷体" w:cs="Times New Roman" w:hint="eastAsia"/>
          <w:b/>
          <w:sz w:val="24"/>
        </w:rPr>
        <w:t>，</w:t>
      </w:r>
      <w:r w:rsidR="005079B7" w:rsidRPr="004865EF">
        <w:rPr>
          <w:rFonts w:ascii="楷体" w:eastAsia="楷体" w:hAnsi="楷体" w:cs="Times New Roman" w:hint="eastAsia"/>
          <w:b/>
          <w:sz w:val="24"/>
        </w:rPr>
        <w:t>与中金</w:t>
      </w:r>
      <w:proofErr w:type="gramStart"/>
      <w:r w:rsidR="005079B7" w:rsidRPr="004865EF">
        <w:rPr>
          <w:rFonts w:ascii="楷体" w:eastAsia="楷体" w:hAnsi="楷体" w:cs="Times New Roman" w:hint="eastAsia"/>
          <w:b/>
          <w:sz w:val="24"/>
        </w:rPr>
        <w:t>云网签订</w:t>
      </w:r>
      <w:proofErr w:type="gramEnd"/>
      <w:r w:rsidR="005079B7" w:rsidRPr="004865EF">
        <w:rPr>
          <w:rFonts w:ascii="楷体" w:eastAsia="楷体" w:hAnsi="楷体" w:cs="Times New Roman" w:hint="eastAsia"/>
          <w:b/>
          <w:sz w:val="24"/>
        </w:rPr>
        <w:t>了租赁合同；中</w:t>
      </w:r>
      <w:proofErr w:type="gramStart"/>
      <w:r w:rsidR="005079B7" w:rsidRPr="004865EF">
        <w:rPr>
          <w:rFonts w:ascii="楷体" w:eastAsia="楷体" w:hAnsi="楷体" w:cs="Times New Roman" w:hint="eastAsia"/>
          <w:b/>
          <w:sz w:val="24"/>
        </w:rPr>
        <w:t>金云网为</w:t>
      </w:r>
      <w:proofErr w:type="gramEnd"/>
      <w:r w:rsidR="005079B7" w:rsidRPr="004865EF">
        <w:rPr>
          <w:rFonts w:ascii="楷体" w:eastAsia="楷体" w:hAnsi="楷体" w:cs="Times New Roman" w:hint="eastAsia"/>
          <w:b/>
          <w:sz w:val="24"/>
        </w:rPr>
        <w:t>继续获得原有物业管理服务，与中</w:t>
      </w:r>
      <w:proofErr w:type="gramStart"/>
      <w:r w:rsidR="005079B7" w:rsidRPr="004865EF">
        <w:rPr>
          <w:rFonts w:ascii="楷体" w:eastAsia="楷体" w:hAnsi="楷体" w:cs="Times New Roman" w:hint="eastAsia"/>
          <w:b/>
          <w:sz w:val="24"/>
        </w:rPr>
        <w:t>金数据</w:t>
      </w:r>
      <w:proofErr w:type="gramEnd"/>
      <w:r w:rsidR="005079B7" w:rsidRPr="004865EF">
        <w:rPr>
          <w:rFonts w:ascii="楷体" w:eastAsia="楷体" w:hAnsi="楷体" w:cs="Times New Roman" w:hint="eastAsia"/>
          <w:b/>
          <w:sz w:val="24"/>
        </w:rPr>
        <w:t>签订了</w:t>
      </w:r>
      <w:r w:rsidR="00CE714D" w:rsidRPr="004865EF">
        <w:rPr>
          <w:rFonts w:ascii="楷体" w:eastAsia="楷体" w:hAnsi="楷体" w:cs="Times New Roman" w:hint="eastAsia"/>
          <w:b/>
          <w:sz w:val="24"/>
        </w:rPr>
        <w:t>物业管理合同。</w:t>
      </w:r>
      <w:r w:rsidRPr="004865EF">
        <w:rPr>
          <w:rFonts w:ascii="Times New Roman" w:eastAsia="宋体" w:hAnsi="Times New Roman" w:cs="Times New Roman" w:hint="eastAsia"/>
          <w:sz w:val="24"/>
        </w:rPr>
        <w:t>报告期内，中</w:t>
      </w:r>
      <w:proofErr w:type="gramStart"/>
      <w:r w:rsidRPr="004865EF">
        <w:rPr>
          <w:rFonts w:ascii="Times New Roman" w:eastAsia="宋体" w:hAnsi="Times New Roman" w:cs="Times New Roman" w:hint="eastAsia"/>
          <w:sz w:val="24"/>
        </w:rPr>
        <w:t>金云网向</w:t>
      </w:r>
      <w:proofErr w:type="gramEnd"/>
      <w:r w:rsidRPr="004865EF">
        <w:rPr>
          <w:rFonts w:ascii="Times New Roman" w:eastAsia="宋体" w:hAnsi="Times New Roman" w:cs="Times New Roman" w:hint="eastAsia"/>
          <w:sz w:val="24"/>
        </w:rPr>
        <w:t>北京亦</w:t>
      </w:r>
      <w:proofErr w:type="gramStart"/>
      <w:r w:rsidRPr="004865EF">
        <w:rPr>
          <w:rFonts w:ascii="Times New Roman" w:eastAsia="宋体" w:hAnsi="Times New Roman" w:cs="Times New Roman" w:hint="eastAsia"/>
          <w:sz w:val="24"/>
        </w:rPr>
        <w:t>庄国际</w:t>
      </w:r>
      <w:proofErr w:type="gramEnd"/>
      <w:r w:rsidRPr="004865EF">
        <w:rPr>
          <w:rFonts w:ascii="Times New Roman" w:eastAsia="宋体" w:hAnsi="Times New Roman" w:cs="Times New Roman" w:hint="eastAsia"/>
          <w:sz w:val="24"/>
        </w:rPr>
        <w:t>产业互联网研究院</w:t>
      </w:r>
      <w:r w:rsidRPr="004865EF">
        <w:rPr>
          <w:rFonts w:ascii="Times New Roman" w:eastAsia="宋体" w:hAnsi="Times New Roman" w:cs="Times New Roman" w:hint="eastAsia"/>
          <w:sz w:val="24"/>
        </w:rPr>
        <w:lastRenderedPageBreak/>
        <w:t>股份公司（以下简称“互联网研究院”）销售</w:t>
      </w:r>
      <w:r w:rsidRPr="004865EF">
        <w:rPr>
          <w:rFonts w:ascii="Times New Roman" w:eastAsia="宋体" w:hAnsi="Times New Roman" w:cs="Times New Roman"/>
          <w:sz w:val="24"/>
        </w:rPr>
        <w:t>8.64</w:t>
      </w:r>
      <w:r w:rsidRPr="004865EF">
        <w:rPr>
          <w:rFonts w:ascii="Times New Roman" w:eastAsia="宋体" w:hAnsi="Times New Roman" w:cs="Times New Roman"/>
          <w:sz w:val="24"/>
        </w:rPr>
        <w:t>万元、</w:t>
      </w:r>
      <w:r w:rsidRPr="004865EF">
        <w:rPr>
          <w:rFonts w:ascii="Times New Roman" w:eastAsia="宋体" w:hAnsi="Times New Roman" w:cs="Times New Roman"/>
          <w:sz w:val="24"/>
        </w:rPr>
        <w:t>63.28</w:t>
      </w:r>
      <w:r w:rsidRPr="004865EF">
        <w:rPr>
          <w:rFonts w:ascii="Times New Roman" w:eastAsia="宋体" w:hAnsi="Times New Roman" w:cs="Times New Roman"/>
          <w:sz w:val="24"/>
        </w:rPr>
        <w:t>万元和</w:t>
      </w:r>
      <w:r w:rsidRPr="004865EF">
        <w:rPr>
          <w:rFonts w:ascii="Times New Roman" w:eastAsia="宋体" w:hAnsi="Times New Roman" w:cs="Times New Roman"/>
          <w:sz w:val="24"/>
        </w:rPr>
        <w:t>61.82</w:t>
      </w:r>
      <w:r w:rsidRPr="004865EF">
        <w:rPr>
          <w:rFonts w:ascii="Times New Roman" w:eastAsia="宋体" w:hAnsi="Times New Roman" w:cs="Times New Roman"/>
          <w:sz w:val="24"/>
        </w:rPr>
        <w:t>万元，采购</w:t>
      </w:r>
      <w:r w:rsidRPr="004865EF">
        <w:rPr>
          <w:rFonts w:ascii="Times New Roman" w:eastAsia="宋体" w:hAnsi="Times New Roman" w:cs="Times New Roman"/>
          <w:sz w:val="24"/>
        </w:rPr>
        <w:t>162.16</w:t>
      </w:r>
      <w:r w:rsidRPr="004865EF">
        <w:rPr>
          <w:rFonts w:ascii="Times New Roman" w:eastAsia="宋体" w:hAnsi="Times New Roman" w:cs="Times New Roman"/>
          <w:sz w:val="24"/>
        </w:rPr>
        <w:t>万元。关联销售主要</w:t>
      </w:r>
      <w:r w:rsidRPr="004865EF">
        <w:rPr>
          <w:rFonts w:ascii="Times New Roman" w:eastAsia="宋体" w:hAnsi="Times New Roman" w:cs="Times New Roman" w:hint="eastAsia"/>
          <w:sz w:val="24"/>
        </w:rPr>
        <w:t>为</w:t>
      </w:r>
      <w:r w:rsidRPr="004865EF">
        <w:rPr>
          <w:rFonts w:ascii="Times New Roman" w:eastAsia="宋体" w:hAnsi="Times New Roman" w:cs="Times New Roman"/>
          <w:sz w:val="24"/>
        </w:rPr>
        <w:t>中</w:t>
      </w:r>
      <w:proofErr w:type="gramStart"/>
      <w:r w:rsidRPr="004865EF">
        <w:rPr>
          <w:rFonts w:ascii="Times New Roman" w:eastAsia="宋体" w:hAnsi="Times New Roman" w:cs="Times New Roman"/>
          <w:sz w:val="24"/>
        </w:rPr>
        <w:t>金云网</w:t>
      </w:r>
      <w:r w:rsidR="00752AB6" w:rsidRPr="004865EF">
        <w:rPr>
          <w:rFonts w:ascii="Times New Roman" w:eastAsia="宋体" w:hAnsi="Times New Roman" w:cs="Times New Roman" w:hint="eastAsia"/>
          <w:sz w:val="24"/>
        </w:rPr>
        <w:t>向</w:t>
      </w:r>
      <w:proofErr w:type="gramEnd"/>
      <w:r w:rsidR="00752AB6" w:rsidRPr="004865EF">
        <w:rPr>
          <w:rFonts w:ascii="Times New Roman" w:eastAsia="宋体" w:hAnsi="Times New Roman" w:cs="Times New Roman" w:hint="eastAsia"/>
          <w:sz w:val="24"/>
        </w:rPr>
        <w:t>互联网研究院</w:t>
      </w:r>
      <w:r w:rsidRPr="004865EF">
        <w:rPr>
          <w:rFonts w:ascii="Times New Roman" w:eastAsia="宋体" w:hAnsi="Times New Roman" w:cs="Times New Roman"/>
          <w:sz w:val="24"/>
        </w:rPr>
        <w:t>提供数据中心场地租赁业务</w:t>
      </w:r>
      <w:r w:rsidR="00752AB6" w:rsidRPr="004865EF">
        <w:rPr>
          <w:rFonts w:ascii="Times New Roman" w:eastAsia="宋体" w:hAnsi="Times New Roman" w:cs="Times New Roman"/>
          <w:sz w:val="24"/>
        </w:rPr>
        <w:t>，</w:t>
      </w:r>
      <w:r w:rsidRPr="004865EF">
        <w:rPr>
          <w:rFonts w:ascii="Times New Roman" w:eastAsia="宋体" w:hAnsi="Times New Roman" w:cs="Times New Roman"/>
          <w:sz w:val="24"/>
        </w:rPr>
        <w:t>并收取服务费；</w:t>
      </w:r>
      <w:r w:rsidR="00752AB6" w:rsidRPr="004865EF">
        <w:rPr>
          <w:rFonts w:ascii="Times New Roman" w:eastAsia="宋体" w:hAnsi="Times New Roman" w:cs="Times New Roman" w:hint="eastAsia"/>
          <w:sz w:val="24"/>
        </w:rPr>
        <w:t>关联</w:t>
      </w:r>
      <w:r w:rsidR="00752AB6" w:rsidRPr="004865EF">
        <w:rPr>
          <w:rFonts w:ascii="Times New Roman" w:eastAsia="宋体" w:hAnsi="Times New Roman" w:cs="Times New Roman"/>
          <w:sz w:val="24"/>
        </w:rPr>
        <w:t>采购</w:t>
      </w:r>
      <w:r w:rsidR="00752AB6" w:rsidRPr="004865EF">
        <w:rPr>
          <w:rFonts w:ascii="Times New Roman" w:eastAsia="宋体" w:hAnsi="Times New Roman" w:cs="Times New Roman" w:hint="eastAsia"/>
          <w:sz w:val="24"/>
        </w:rPr>
        <w:t>主要为</w:t>
      </w:r>
      <w:r w:rsidR="00752AB6" w:rsidRPr="004865EF">
        <w:rPr>
          <w:rFonts w:ascii="Times New Roman" w:eastAsia="宋体" w:hAnsi="Times New Roman" w:cs="Times New Roman"/>
          <w:sz w:val="24"/>
        </w:rPr>
        <w:t>互联网研究院</w:t>
      </w:r>
      <w:r w:rsidR="00752AB6" w:rsidRPr="004865EF">
        <w:rPr>
          <w:rFonts w:ascii="Times New Roman" w:eastAsia="宋体" w:hAnsi="Times New Roman" w:cs="Times New Roman" w:hint="eastAsia"/>
          <w:sz w:val="24"/>
        </w:rPr>
        <w:t>向</w:t>
      </w:r>
      <w:r w:rsidRPr="004865EF">
        <w:rPr>
          <w:rFonts w:ascii="Times New Roman" w:eastAsia="宋体" w:hAnsi="Times New Roman" w:cs="Times New Roman"/>
          <w:sz w:val="24"/>
        </w:rPr>
        <w:t>中</w:t>
      </w:r>
      <w:proofErr w:type="gramStart"/>
      <w:r w:rsidRPr="004865EF">
        <w:rPr>
          <w:rFonts w:ascii="Times New Roman" w:eastAsia="宋体" w:hAnsi="Times New Roman" w:cs="Times New Roman"/>
          <w:sz w:val="24"/>
        </w:rPr>
        <w:t>金云网提供</w:t>
      </w:r>
      <w:proofErr w:type="gramEnd"/>
      <w:r w:rsidRPr="004865EF">
        <w:rPr>
          <w:rFonts w:ascii="Times New Roman" w:eastAsia="宋体" w:hAnsi="Times New Roman" w:cs="Times New Roman"/>
          <w:sz w:val="24"/>
        </w:rPr>
        <w:t>信息化运维服务</w:t>
      </w:r>
      <w:r w:rsidR="00752AB6" w:rsidRPr="004865EF">
        <w:rPr>
          <w:rFonts w:ascii="Times New Roman" w:eastAsia="宋体" w:hAnsi="Times New Roman" w:cs="Times New Roman"/>
          <w:sz w:val="24"/>
        </w:rPr>
        <w:t>（</w:t>
      </w:r>
      <w:r w:rsidRPr="004865EF">
        <w:rPr>
          <w:rFonts w:ascii="Times New Roman" w:eastAsia="宋体" w:hAnsi="Times New Roman" w:cs="Times New Roman"/>
          <w:sz w:val="24"/>
        </w:rPr>
        <w:t>中华全国妇女联合会《全国妇联</w:t>
      </w:r>
      <w:r w:rsidRPr="004865EF">
        <w:rPr>
          <w:rFonts w:ascii="Times New Roman" w:eastAsia="宋体" w:hAnsi="Times New Roman" w:cs="Times New Roman"/>
          <w:sz w:val="24"/>
        </w:rPr>
        <w:t>2019</w:t>
      </w:r>
      <w:r w:rsidRPr="004865EF">
        <w:rPr>
          <w:rFonts w:ascii="Times New Roman" w:eastAsia="宋体" w:hAnsi="Times New Roman" w:cs="Times New Roman"/>
          <w:sz w:val="24"/>
        </w:rPr>
        <w:t>年信息化建设及运维服务项目》提供技术运维和运维驻场服务</w:t>
      </w:r>
      <w:r w:rsidR="00752AB6" w:rsidRPr="004865EF">
        <w:rPr>
          <w:rFonts w:ascii="Times New Roman" w:eastAsia="宋体" w:hAnsi="Times New Roman" w:cs="Times New Roman"/>
          <w:sz w:val="24"/>
        </w:rPr>
        <w:t>），合同价格参照同业报价及市场</w:t>
      </w:r>
      <w:r w:rsidR="00752AB6" w:rsidRPr="004865EF">
        <w:rPr>
          <w:rFonts w:ascii="Times New Roman" w:eastAsia="宋体" w:hAnsi="Times New Roman" w:cs="Times New Roman" w:hint="eastAsia"/>
          <w:sz w:val="24"/>
        </w:rPr>
        <w:t>价格</w:t>
      </w:r>
      <w:r w:rsidRPr="004865EF">
        <w:rPr>
          <w:rFonts w:ascii="Times New Roman" w:eastAsia="宋体" w:hAnsi="Times New Roman" w:cs="Times New Roman"/>
          <w:sz w:val="24"/>
        </w:rPr>
        <w:t>确定。</w:t>
      </w:r>
    </w:p>
    <w:p w14:paraId="1ECFF6B8" w14:textId="3B143C8B" w:rsidR="00A420F6" w:rsidRPr="004865EF" w:rsidRDefault="00752AB6"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报告期内，</w:t>
      </w:r>
      <w:r w:rsidR="00CE714D" w:rsidRPr="004865EF">
        <w:rPr>
          <w:rFonts w:ascii="楷体" w:eastAsia="楷体" w:hAnsi="楷体" w:cs="Times New Roman" w:hint="eastAsia"/>
          <w:b/>
          <w:sz w:val="24"/>
        </w:rPr>
        <w:t>中金云金融（北京）大数据科技股份有限公司（以下简称“中金云金融”）因自身业务拓展具有数据中心租用需求，中</w:t>
      </w:r>
      <w:proofErr w:type="gramStart"/>
      <w:r w:rsidR="00CE714D" w:rsidRPr="004865EF">
        <w:rPr>
          <w:rFonts w:ascii="楷体" w:eastAsia="楷体" w:hAnsi="楷体" w:cs="Times New Roman" w:hint="eastAsia"/>
          <w:b/>
          <w:sz w:val="24"/>
        </w:rPr>
        <w:t>金云网能够</w:t>
      </w:r>
      <w:proofErr w:type="gramEnd"/>
      <w:r w:rsidR="00CE714D" w:rsidRPr="004865EF">
        <w:rPr>
          <w:rFonts w:ascii="楷体" w:eastAsia="楷体" w:hAnsi="楷体" w:cs="Times New Roman" w:hint="eastAsia"/>
          <w:b/>
          <w:sz w:val="24"/>
        </w:rPr>
        <w:t>提供符合其要求的机柜设施，</w:t>
      </w:r>
      <w:r w:rsidR="00CE714D" w:rsidRPr="004865EF">
        <w:rPr>
          <w:rFonts w:ascii="Times New Roman" w:eastAsia="宋体" w:hAnsi="Times New Roman" w:cs="Times New Roman" w:hint="eastAsia"/>
          <w:sz w:val="24"/>
        </w:rPr>
        <w:t>因此双方</w:t>
      </w:r>
      <w:r w:rsidR="00A420F6" w:rsidRPr="004865EF">
        <w:rPr>
          <w:rFonts w:ascii="Times New Roman" w:eastAsia="宋体" w:hAnsi="Times New Roman" w:cs="Times New Roman" w:hint="eastAsia"/>
          <w:sz w:val="24"/>
        </w:rPr>
        <w:t>签订了《数据中心服务设施及运行管理外包服务合同》，合同定价为</w:t>
      </w:r>
      <w:r w:rsidR="00A420F6" w:rsidRPr="004865EF">
        <w:rPr>
          <w:rFonts w:ascii="Times New Roman" w:eastAsia="宋体" w:hAnsi="Times New Roman" w:cs="Times New Roman"/>
          <w:sz w:val="24"/>
        </w:rPr>
        <w:t>7</w:t>
      </w:r>
      <w:r w:rsidRPr="004865EF">
        <w:rPr>
          <w:rFonts w:ascii="Times New Roman" w:eastAsia="宋体" w:hAnsi="Times New Roman" w:cs="Times New Roman"/>
          <w:sz w:val="24"/>
        </w:rPr>
        <w:t>,</w:t>
      </w:r>
      <w:r w:rsidR="00A420F6" w:rsidRPr="004865EF">
        <w:rPr>
          <w:rFonts w:ascii="Times New Roman" w:eastAsia="宋体" w:hAnsi="Times New Roman" w:cs="Times New Roman"/>
          <w:sz w:val="24"/>
        </w:rPr>
        <w:t>547</w:t>
      </w:r>
      <w:r w:rsidR="00A420F6" w:rsidRPr="004865EF">
        <w:rPr>
          <w:rFonts w:ascii="Times New Roman" w:eastAsia="宋体" w:hAnsi="Times New Roman" w:cs="Times New Roman"/>
          <w:sz w:val="24"/>
        </w:rPr>
        <w:t>元</w:t>
      </w:r>
      <w:r w:rsidR="00A420F6" w:rsidRPr="004865EF">
        <w:rPr>
          <w:rFonts w:ascii="Times New Roman" w:eastAsia="宋体" w:hAnsi="Times New Roman" w:cs="Times New Roman"/>
          <w:sz w:val="24"/>
        </w:rPr>
        <w:t>/</w:t>
      </w:r>
      <w:r w:rsidR="00A420F6" w:rsidRPr="004865EF">
        <w:rPr>
          <w:rFonts w:ascii="Times New Roman" w:eastAsia="宋体" w:hAnsi="Times New Roman" w:cs="Times New Roman"/>
          <w:sz w:val="24"/>
        </w:rPr>
        <w:t>机柜</w:t>
      </w:r>
      <w:r w:rsidR="00A420F6" w:rsidRPr="004865EF">
        <w:rPr>
          <w:rFonts w:ascii="Times New Roman" w:eastAsia="宋体" w:hAnsi="Times New Roman" w:cs="Times New Roman"/>
          <w:sz w:val="24"/>
        </w:rPr>
        <w:t>/</w:t>
      </w:r>
      <w:r w:rsidR="00A420F6" w:rsidRPr="004865EF">
        <w:rPr>
          <w:rFonts w:ascii="Times New Roman" w:eastAsia="宋体" w:hAnsi="Times New Roman" w:cs="Times New Roman"/>
          <w:sz w:val="24"/>
        </w:rPr>
        <w:t>月（含电），处于目前公司含电类客户单价区间内，三年</w:t>
      </w:r>
      <w:r w:rsidRPr="004865EF">
        <w:rPr>
          <w:rFonts w:ascii="Times New Roman" w:eastAsia="宋体" w:hAnsi="Times New Roman" w:cs="Times New Roman"/>
          <w:sz w:val="24"/>
        </w:rPr>
        <w:t>销售金额分别</w:t>
      </w:r>
      <w:r w:rsidRPr="004865EF">
        <w:rPr>
          <w:rFonts w:ascii="Times New Roman" w:eastAsia="宋体" w:hAnsi="Times New Roman" w:cs="Times New Roman" w:hint="eastAsia"/>
          <w:sz w:val="24"/>
        </w:rPr>
        <w:t>为</w:t>
      </w:r>
      <w:r w:rsidR="00A420F6" w:rsidRPr="004865EF">
        <w:rPr>
          <w:rFonts w:ascii="Times New Roman" w:eastAsia="宋体" w:hAnsi="Times New Roman" w:cs="Times New Roman"/>
          <w:sz w:val="24"/>
        </w:rPr>
        <w:t>1,401.22</w:t>
      </w:r>
      <w:r w:rsidR="00A420F6" w:rsidRPr="004865EF">
        <w:rPr>
          <w:rFonts w:ascii="Times New Roman" w:eastAsia="宋体" w:hAnsi="Times New Roman" w:cs="Times New Roman"/>
          <w:sz w:val="24"/>
        </w:rPr>
        <w:t>万元、</w:t>
      </w:r>
      <w:r w:rsidR="00A420F6" w:rsidRPr="004865EF">
        <w:rPr>
          <w:rFonts w:ascii="Times New Roman" w:eastAsia="宋体" w:hAnsi="Times New Roman" w:cs="Times New Roman"/>
          <w:sz w:val="24"/>
        </w:rPr>
        <w:t>1,404.94</w:t>
      </w:r>
      <w:r w:rsidR="00A420F6" w:rsidRPr="004865EF">
        <w:rPr>
          <w:rFonts w:ascii="Times New Roman" w:eastAsia="宋体" w:hAnsi="Times New Roman" w:cs="Times New Roman"/>
          <w:sz w:val="24"/>
        </w:rPr>
        <w:t>万元和</w:t>
      </w:r>
      <w:r w:rsidR="00A420F6" w:rsidRPr="004865EF">
        <w:rPr>
          <w:rFonts w:ascii="Times New Roman" w:eastAsia="宋体" w:hAnsi="Times New Roman" w:cs="Times New Roman"/>
          <w:sz w:val="24"/>
        </w:rPr>
        <w:t>789.22</w:t>
      </w:r>
      <w:r w:rsidR="00A420F6" w:rsidRPr="004865EF">
        <w:rPr>
          <w:rFonts w:ascii="Times New Roman" w:eastAsia="宋体" w:hAnsi="Times New Roman" w:cs="Times New Roman"/>
          <w:sz w:val="24"/>
        </w:rPr>
        <w:t>万元。</w:t>
      </w:r>
    </w:p>
    <w:p w14:paraId="2B38A359" w14:textId="7777CBF3" w:rsidR="00A420F6" w:rsidRPr="004865EF" w:rsidRDefault="00A420F6"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报告期内，中</w:t>
      </w:r>
      <w:proofErr w:type="gramStart"/>
      <w:r w:rsidRPr="004865EF">
        <w:rPr>
          <w:rFonts w:ascii="Times New Roman" w:eastAsia="宋体" w:hAnsi="Times New Roman" w:cs="Times New Roman" w:hint="eastAsia"/>
          <w:sz w:val="24"/>
        </w:rPr>
        <w:t>金云网与</w:t>
      </w:r>
      <w:proofErr w:type="gramEnd"/>
      <w:r w:rsidRPr="004865EF">
        <w:rPr>
          <w:rFonts w:ascii="Times New Roman" w:eastAsia="宋体" w:hAnsi="Times New Roman" w:cs="Times New Roman" w:hint="eastAsia"/>
          <w:sz w:val="24"/>
        </w:rPr>
        <w:t>烟台中金数据系统有限公司（以下简称“烟台中金”）签订了《中金云网云服务合同》，为烟台中金</w:t>
      </w:r>
      <w:proofErr w:type="gramStart"/>
      <w:r w:rsidRPr="004865EF">
        <w:rPr>
          <w:rFonts w:ascii="Times New Roman" w:eastAsia="宋体" w:hAnsi="Times New Roman" w:cs="Times New Roman" w:hint="eastAsia"/>
          <w:sz w:val="24"/>
        </w:rPr>
        <w:t>搭建云</w:t>
      </w:r>
      <w:proofErr w:type="gramEnd"/>
      <w:r w:rsidRPr="004865EF">
        <w:rPr>
          <w:rFonts w:ascii="Times New Roman" w:eastAsia="宋体" w:hAnsi="Times New Roman" w:cs="Times New Roman" w:hint="eastAsia"/>
          <w:sz w:val="24"/>
        </w:rPr>
        <w:t>平台，销售金额分别是</w:t>
      </w:r>
      <w:r w:rsidRPr="004865EF">
        <w:rPr>
          <w:rFonts w:ascii="Times New Roman" w:eastAsia="宋体" w:hAnsi="Times New Roman" w:cs="Times New Roman"/>
          <w:sz w:val="24"/>
        </w:rPr>
        <w:t>188.68</w:t>
      </w:r>
      <w:r w:rsidRPr="004865EF">
        <w:rPr>
          <w:rFonts w:ascii="Times New Roman" w:eastAsia="宋体" w:hAnsi="Times New Roman" w:cs="Times New Roman"/>
          <w:sz w:val="24"/>
        </w:rPr>
        <w:t>万元和</w:t>
      </w:r>
      <w:r w:rsidRPr="004865EF">
        <w:rPr>
          <w:rFonts w:ascii="Times New Roman" w:eastAsia="宋体" w:hAnsi="Times New Roman" w:cs="Times New Roman"/>
          <w:sz w:val="24"/>
        </w:rPr>
        <w:t>141.51</w:t>
      </w:r>
      <w:r w:rsidRPr="004865EF">
        <w:rPr>
          <w:rFonts w:ascii="Times New Roman" w:eastAsia="宋体" w:hAnsi="Times New Roman" w:cs="Times New Roman"/>
          <w:sz w:val="24"/>
        </w:rPr>
        <w:t>万元。</w:t>
      </w:r>
    </w:p>
    <w:p w14:paraId="05719FFB" w14:textId="77777777" w:rsidR="00752AB6" w:rsidRPr="004865EF" w:rsidRDefault="00752AB6"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报告期内，中</w:t>
      </w:r>
      <w:proofErr w:type="gramStart"/>
      <w:r w:rsidRPr="004865EF">
        <w:rPr>
          <w:rFonts w:ascii="Times New Roman" w:eastAsia="宋体" w:hAnsi="Times New Roman" w:cs="Times New Roman" w:hint="eastAsia"/>
          <w:sz w:val="24"/>
        </w:rPr>
        <w:t>金云网向</w:t>
      </w:r>
      <w:proofErr w:type="gramEnd"/>
      <w:r w:rsidR="00A420F6" w:rsidRPr="004865EF">
        <w:rPr>
          <w:rFonts w:ascii="Times New Roman" w:eastAsia="宋体" w:hAnsi="Times New Roman" w:cs="Times New Roman" w:hint="eastAsia"/>
          <w:sz w:val="24"/>
        </w:rPr>
        <w:t>中</w:t>
      </w:r>
      <w:proofErr w:type="gramStart"/>
      <w:r w:rsidR="00A420F6" w:rsidRPr="004865EF">
        <w:rPr>
          <w:rFonts w:ascii="Times New Roman" w:eastAsia="宋体" w:hAnsi="Times New Roman" w:cs="Times New Roman" w:hint="eastAsia"/>
          <w:sz w:val="24"/>
        </w:rPr>
        <w:t>金慈云健康</w:t>
      </w:r>
      <w:proofErr w:type="gramEnd"/>
      <w:r w:rsidR="00A420F6" w:rsidRPr="004865EF">
        <w:rPr>
          <w:rFonts w:ascii="Times New Roman" w:eastAsia="宋体" w:hAnsi="Times New Roman" w:cs="Times New Roman" w:hint="eastAsia"/>
          <w:sz w:val="24"/>
        </w:rPr>
        <w:t>科技有限公司</w:t>
      </w:r>
      <w:r w:rsidRPr="004865EF">
        <w:rPr>
          <w:rFonts w:ascii="Times New Roman" w:eastAsia="宋体" w:hAnsi="Times New Roman" w:cs="Times New Roman" w:hint="eastAsia"/>
          <w:sz w:val="24"/>
        </w:rPr>
        <w:t>提供</w:t>
      </w:r>
      <w:r w:rsidR="00A420F6" w:rsidRPr="004865EF">
        <w:rPr>
          <w:rFonts w:ascii="Times New Roman" w:eastAsia="宋体" w:hAnsi="Times New Roman" w:cs="Times New Roman" w:hint="eastAsia"/>
          <w:sz w:val="24"/>
        </w:rPr>
        <w:t>云服务</w:t>
      </w:r>
      <w:r w:rsidRPr="004865EF">
        <w:rPr>
          <w:rFonts w:ascii="Times New Roman" w:eastAsia="宋体" w:hAnsi="Times New Roman" w:cs="Times New Roman" w:hint="eastAsia"/>
          <w:sz w:val="24"/>
        </w:rPr>
        <w:t>，</w:t>
      </w:r>
      <w:r w:rsidR="00A420F6" w:rsidRPr="004865EF">
        <w:rPr>
          <w:rFonts w:ascii="Times New Roman" w:eastAsia="宋体" w:hAnsi="Times New Roman" w:cs="Times New Roman"/>
          <w:sz w:val="24"/>
        </w:rPr>
        <w:t>2017</w:t>
      </w:r>
      <w:r w:rsidR="00A420F6" w:rsidRPr="004865EF">
        <w:rPr>
          <w:rFonts w:ascii="Times New Roman" w:eastAsia="宋体" w:hAnsi="Times New Roman" w:cs="Times New Roman"/>
          <w:sz w:val="24"/>
        </w:rPr>
        <w:t>年销售金额</w:t>
      </w:r>
      <w:r w:rsidR="00A420F6" w:rsidRPr="004865EF">
        <w:rPr>
          <w:rFonts w:ascii="Times New Roman" w:eastAsia="宋体" w:hAnsi="Times New Roman" w:cs="Times New Roman"/>
          <w:sz w:val="24"/>
        </w:rPr>
        <w:t>169.81</w:t>
      </w:r>
      <w:r w:rsidRPr="004865EF">
        <w:rPr>
          <w:rFonts w:ascii="Times New Roman" w:eastAsia="宋体" w:hAnsi="Times New Roman" w:cs="Times New Roman"/>
          <w:sz w:val="24"/>
        </w:rPr>
        <w:t>万元；同时</w:t>
      </w:r>
      <w:r w:rsidR="00A420F6" w:rsidRPr="004865EF">
        <w:rPr>
          <w:rFonts w:ascii="Times New Roman" w:eastAsia="宋体" w:hAnsi="Times New Roman" w:cs="Times New Roman"/>
          <w:sz w:val="24"/>
        </w:rPr>
        <w:t>报告期</w:t>
      </w:r>
      <w:proofErr w:type="gramStart"/>
      <w:r w:rsidR="00A420F6" w:rsidRPr="004865EF">
        <w:rPr>
          <w:rFonts w:ascii="Times New Roman" w:eastAsia="宋体" w:hAnsi="Times New Roman" w:cs="Times New Roman"/>
          <w:sz w:val="24"/>
        </w:rPr>
        <w:t>内</w:t>
      </w:r>
      <w:r w:rsidRPr="004865EF">
        <w:rPr>
          <w:rFonts w:ascii="Times New Roman" w:eastAsia="宋体" w:hAnsi="Times New Roman" w:cs="Times New Roman"/>
          <w:sz w:val="24"/>
        </w:rPr>
        <w:t>中金云网</w:t>
      </w:r>
      <w:proofErr w:type="gramEnd"/>
      <w:r w:rsidRPr="004865EF">
        <w:rPr>
          <w:rFonts w:ascii="Times New Roman" w:eastAsia="宋体" w:hAnsi="Times New Roman" w:cs="Times New Roman"/>
          <w:sz w:val="24"/>
        </w:rPr>
        <w:t>向中</w:t>
      </w:r>
      <w:proofErr w:type="gramStart"/>
      <w:r w:rsidRPr="004865EF">
        <w:rPr>
          <w:rFonts w:ascii="Times New Roman" w:eastAsia="宋体" w:hAnsi="Times New Roman" w:cs="Times New Roman"/>
          <w:sz w:val="24"/>
        </w:rPr>
        <w:t>金慈云健康</w:t>
      </w:r>
      <w:proofErr w:type="gramEnd"/>
      <w:r w:rsidRPr="004865EF">
        <w:rPr>
          <w:rFonts w:ascii="Times New Roman" w:eastAsia="宋体" w:hAnsi="Times New Roman" w:cs="Times New Roman"/>
          <w:sz w:val="24"/>
        </w:rPr>
        <w:t>科技有限公司</w:t>
      </w:r>
      <w:r w:rsidRPr="004865EF">
        <w:rPr>
          <w:rFonts w:ascii="Times New Roman" w:eastAsia="宋体" w:hAnsi="Times New Roman" w:cs="Times New Roman" w:hint="eastAsia"/>
          <w:sz w:val="24"/>
        </w:rPr>
        <w:t>采购员工</w:t>
      </w:r>
      <w:r w:rsidRPr="004865EF">
        <w:rPr>
          <w:rFonts w:ascii="Times New Roman" w:eastAsia="宋体" w:hAnsi="Times New Roman" w:cs="Times New Roman"/>
          <w:sz w:val="24"/>
        </w:rPr>
        <w:t>体检</w:t>
      </w:r>
      <w:r w:rsidRPr="004865EF">
        <w:rPr>
          <w:rFonts w:ascii="Times New Roman" w:eastAsia="宋体" w:hAnsi="Times New Roman" w:cs="Times New Roman" w:hint="eastAsia"/>
          <w:sz w:val="24"/>
        </w:rPr>
        <w:t>费用</w:t>
      </w:r>
      <w:r w:rsidR="00A420F6" w:rsidRPr="004865EF">
        <w:rPr>
          <w:rFonts w:ascii="Times New Roman" w:eastAsia="宋体" w:hAnsi="Times New Roman" w:cs="Times New Roman"/>
          <w:sz w:val="24"/>
        </w:rPr>
        <w:t>12.73</w:t>
      </w:r>
      <w:r w:rsidR="00A420F6" w:rsidRPr="004865EF">
        <w:rPr>
          <w:rFonts w:ascii="Times New Roman" w:eastAsia="宋体" w:hAnsi="Times New Roman" w:cs="Times New Roman"/>
          <w:sz w:val="24"/>
        </w:rPr>
        <w:t>万元和</w:t>
      </w:r>
      <w:r w:rsidR="00A420F6" w:rsidRPr="004865EF">
        <w:rPr>
          <w:rFonts w:ascii="Times New Roman" w:eastAsia="宋体" w:hAnsi="Times New Roman" w:cs="Times New Roman"/>
          <w:sz w:val="24"/>
        </w:rPr>
        <w:t>7.85</w:t>
      </w:r>
      <w:r w:rsidR="00A420F6" w:rsidRPr="004865EF">
        <w:rPr>
          <w:rFonts w:ascii="Times New Roman" w:eastAsia="宋体" w:hAnsi="Times New Roman" w:cs="Times New Roman"/>
          <w:sz w:val="24"/>
        </w:rPr>
        <w:t>万元。</w:t>
      </w:r>
    </w:p>
    <w:p w14:paraId="36DF5125" w14:textId="126374B8" w:rsidR="00A420F6" w:rsidRPr="004865EF" w:rsidRDefault="00A420F6"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2017</w:t>
      </w:r>
      <w:r w:rsidRPr="004865EF">
        <w:rPr>
          <w:rFonts w:ascii="Times New Roman" w:eastAsia="宋体" w:hAnsi="Times New Roman" w:cs="Times New Roman"/>
          <w:sz w:val="24"/>
        </w:rPr>
        <w:t>年</w:t>
      </w:r>
      <w:r w:rsidR="00287E3B" w:rsidRPr="004865EF">
        <w:rPr>
          <w:rFonts w:ascii="Times New Roman" w:eastAsia="宋体" w:hAnsi="Times New Roman" w:cs="Times New Roman"/>
          <w:sz w:val="24"/>
        </w:rPr>
        <w:t>，</w:t>
      </w:r>
      <w:r w:rsidRPr="004865EF">
        <w:rPr>
          <w:rFonts w:ascii="Times New Roman" w:eastAsia="宋体" w:hAnsi="Times New Roman" w:cs="Times New Roman"/>
          <w:sz w:val="24"/>
        </w:rPr>
        <w:t>中</w:t>
      </w:r>
      <w:proofErr w:type="gramStart"/>
      <w:r w:rsidRPr="004865EF">
        <w:rPr>
          <w:rFonts w:ascii="Times New Roman" w:eastAsia="宋体" w:hAnsi="Times New Roman" w:cs="Times New Roman"/>
          <w:sz w:val="24"/>
        </w:rPr>
        <w:t>金云网</w:t>
      </w:r>
      <w:r w:rsidR="00752AB6" w:rsidRPr="004865EF">
        <w:rPr>
          <w:rFonts w:ascii="Times New Roman" w:eastAsia="宋体" w:hAnsi="Times New Roman" w:cs="Times New Roman" w:hint="eastAsia"/>
          <w:sz w:val="24"/>
        </w:rPr>
        <w:t>与</w:t>
      </w:r>
      <w:proofErr w:type="gramEnd"/>
      <w:r w:rsidRPr="004865EF">
        <w:rPr>
          <w:rFonts w:ascii="Times New Roman" w:eastAsia="宋体" w:hAnsi="Times New Roman" w:cs="Times New Roman"/>
          <w:sz w:val="24"/>
        </w:rPr>
        <w:t>中金花桥数据系统有限公司（以下简称</w:t>
      </w:r>
      <w:r w:rsidRPr="004865EF">
        <w:rPr>
          <w:rFonts w:ascii="Times New Roman" w:eastAsia="宋体" w:hAnsi="Times New Roman" w:cs="Times New Roman"/>
          <w:sz w:val="24"/>
        </w:rPr>
        <w:t>“</w:t>
      </w:r>
      <w:r w:rsidRPr="004865EF">
        <w:rPr>
          <w:rFonts w:ascii="Times New Roman" w:eastAsia="宋体" w:hAnsi="Times New Roman" w:cs="Times New Roman"/>
          <w:sz w:val="24"/>
        </w:rPr>
        <w:t>中金花桥</w:t>
      </w:r>
      <w:r w:rsidRPr="004865EF">
        <w:rPr>
          <w:rFonts w:ascii="Times New Roman" w:eastAsia="宋体" w:hAnsi="Times New Roman" w:cs="Times New Roman"/>
          <w:sz w:val="24"/>
        </w:rPr>
        <w:t>”</w:t>
      </w:r>
      <w:r w:rsidRPr="004865EF">
        <w:rPr>
          <w:rFonts w:ascii="Times New Roman" w:eastAsia="宋体" w:hAnsi="Times New Roman" w:cs="Times New Roman"/>
          <w:sz w:val="24"/>
        </w:rPr>
        <w:t>）</w:t>
      </w:r>
      <w:r w:rsidR="00752AB6" w:rsidRPr="004865EF">
        <w:rPr>
          <w:rFonts w:ascii="Times New Roman" w:eastAsia="宋体" w:hAnsi="Times New Roman" w:cs="Times New Roman"/>
          <w:sz w:val="24"/>
        </w:rPr>
        <w:t xml:space="preserve"> </w:t>
      </w:r>
      <w:r w:rsidR="00752AB6" w:rsidRPr="004865EF">
        <w:rPr>
          <w:rFonts w:ascii="Times New Roman" w:eastAsia="宋体" w:hAnsi="Times New Roman" w:cs="Times New Roman"/>
          <w:sz w:val="24"/>
        </w:rPr>
        <w:t>签订了《中金云网北京数据中心二期项目</w:t>
      </w:r>
      <w:r w:rsidR="00752AB6" w:rsidRPr="004865EF">
        <w:rPr>
          <w:rFonts w:ascii="Times New Roman" w:eastAsia="宋体" w:hAnsi="Times New Roman" w:cs="Times New Roman"/>
          <w:sz w:val="24"/>
        </w:rPr>
        <w:t>7</w:t>
      </w:r>
      <w:r w:rsidR="00752AB6" w:rsidRPr="004865EF">
        <w:rPr>
          <w:rFonts w:ascii="Times New Roman" w:eastAsia="宋体" w:hAnsi="Times New Roman" w:cs="Times New Roman"/>
          <w:sz w:val="24"/>
        </w:rPr>
        <w:t>号楼</w:t>
      </w:r>
      <w:r w:rsidR="00752AB6" w:rsidRPr="004865EF">
        <w:rPr>
          <w:rFonts w:ascii="Times New Roman" w:eastAsia="宋体" w:hAnsi="Times New Roman" w:cs="Times New Roman"/>
          <w:sz w:val="24"/>
        </w:rPr>
        <w:t>3</w:t>
      </w:r>
      <w:r w:rsidR="00752AB6" w:rsidRPr="004865EF">
        <w:rPr>
          <w:rFonts w:ascii="Times New Roman" w:eastAsia="宋体" w:hAnsi="Times New Roman" w:cs="Times New Roman"/>
          <w:sz w:val="24"/>
        </w:rPr>
        <w:t>层工频</w:t>
      </w:r>
      <w:r w:rsidR="00752AB6" w:rsidRPr="004865EF">
        <w:rPr>
          <w:rFonts w:ascii="Times New Roman" w:eastAsia="宋体" w:hAnsi="Times New Roman" w:cs="Times New Roman"/>
          <w:sz w:val="24"/>
        </w:rPr>
        <w:t>UPS</w:t>
      </w:r>
      <w:r w:rsidR="00752AB6" w:rsidRPr="004865EF">
        <w:rPr>
          <w:rFonts w:ascii="Times New Roman" w:eastAsia="宋体" w:hAnsi="Times New Roman" w:cs="Times New Roman"/>
          <w:sz w:val="24"/>
        </w:rPr>
        <w:t>及电池设备采购合同》，向其</w:t>
      </w:r>
      <w:r w:rsidRPr="004865EF">
        <w:rPr>
          <w:rFonts w:ascii="Times New Roman" w:eastAsia="宋体" w:hAnsi="Times New Roman" w:cs="Times New Roman"/>
          <w:sz w:val="24"/>
        </w:rPr>
        <w:t>采购</w:t>
      </w:r>
      <w:r w:rsidRPr="004865EF">
        <w:rPr>
          <w:rFonts w:ascii="Times New Roman" w:eastAsia="宋体" w:hAnsi="Times New Roman" w:cs="Times New Roman"/>
          <w:sz w:val="24"/>
        </w:rPr>
        <w:t>UPS</w:t>
      </w:r>
      <w:r w:rsidRPr="004865EF">
        <w:rPr>
          <w:rFonts w:ascii="Times New Roman" w:eastAsia="宋体" w:hAnsi="Times New Roman" w:cs="Times New Roman"/>
          <w:sz w:val="24"/>
        </w:rPr>
        <w:t>及电池设备</w:t>
      </w:r>
      <w:r w:rsidRPr="004865EF">
        <w:rPr>
          <w:rFonts w:ascii="Times New Roman" w:eastAsia="宋体" w:hAnsi="Times New Roman" w:cs="Times New Roman"/>
          <w:sz w:val="24"/>
        </w:rPr>
        <w:t>1,209.45</w:t>
      </w:r>
      <w:r w:rsidRPr="004865EF">
        <w:rPr>
          <w:rFonts w:ascii="Times New Roman" w:eastAsia="宋体" w:hAnsi="Times New Roman" w:cs="Times New Roman"/>
          <w:sz w:val="24"/>
        </w:rPr>
        <w:t>万元</w:t>
      </w:r>
      <w:r w:rsidR="00CE714D" w:rsidRPr="004865EF">
        <w:rPr>
          <w:rFonts w:ascii="Times New Roman" w:eastAsia="宋体" w:hAnsi="Times New Roman" w:cs="Times New Roman" w:hint="eastAsia"/>
          <w:sz w:val="24"/>
        </w:rPr>
        <w:t>。</w:t>
      </w:r>
      <w:r w:rsidR="00CE714D" w:rsidRPr="004865EF">
        <w:rPr>
          <w:rFonts w:ascii="楷体" w:eastAsia="楷体" w:hAnsi="楷体" w:cs="Times New Roman" w:hint="eastAsia"/>
          <w:b/>
          <w:sz w:val="24"/>
        </w:rPr>
        <w:t>由于中</w:t>
      </w:r>
      <w:proofErr w:type="gramStart"/>
      <w:r w:rsidR="00CE714D" w:rsidRPr="004865EF">
        <w:rPr>
          <w:rFonts w:ascii="楷体" w:eastAsia="楷体" w:hAnsi="楷体" w:cs="Times New Roman" w:hint="eastAsia"/>
          <w:b/>
          <w:sz w:val="24"/>
        </w:rPr>
        <w:t>金云网采购</w:t>
      </w:r>
      <w:proofErr w:type="gramEnd"/>
      <w:r w:rsidR="00CE714D" w:rsidRPr="004865EF">
        <w:rPr>
          <w:rFonts w:ascii="楷体" w:eastAsia="楷体" w:hAnsi="楷体" w:cs="Times New Roman" w:hint="eastAsia"/>
          <w:b/>
          <w:sz w:val="24"/>
        </w:rPr>
        <w:t>该批设备的需求比较紧急，通过向供应商下单周期较长；中金花</w:t>
      </w:r>
      <w:proofErr w:type="gramStart"/>
      <w:r w:rsidR="00CE714D" w:rsidRPr="004865EF">
        <w:rPr>
          <w:rFonts w:ascii="楷体" w:eastAsia="楷体" w:hAnsi="楷体" w:cs="Times New Roman" w:hint="eastAsia"/>
          <w:b/>
          <w:sz w:val="24"/>
        </w:rPr>
        <w:t>桥具有</w:t>
      </w:r>
      <w:proofErr w:type="gramEnd"/>
      <w:r w:rsidR="00CE714D" w:rsidRPr="004865EF">
        <w:rPr>
          <w:rFonts w:ascii="楷体" w:eastAsia="楷体" w:hAnsi="楷体" w:cs="Times New Roman" w:hint="eastAsia"/>
          <w:b/>
          <w:sz w:val="24"/>
        </w:rPr>
        <w:t>UPS及电池设备的库存，因工程进度原因</w:t>
      </w:r>
      <w:r w:rsidR="00B04BE3" w:rsidRPr="004865EF">
        <w:rPr>
          <w:rFonts w:ascii="楷体" w:eastAsia="楷体" w:hAnsi="楷体" w:cs="Times New Roman" w:hint="eastAsia"/>
          <w:b/>
          <w:sz w:val="24"/>
        </w:rPr>
        <w:t>尚未使用</w:t>
      </w:r>
      <w:r w:rsidR="00CE714D" w:rsidRPr="004865EF">
        <w:rPr>
          <w:rFonts w:ascii="楷体" w:eastAsia="楷体" w:hAnsi="楷体" w:cs="Times New Roman" w:hint="eastAsia"/>
          <w:b/>
          <w:sz w:val="24"/>
        </w:rPr>
        <w:t>，</w:t>
      </w:r>
      <w:r w:rsidR="00B04BE3" w:rsidRPr="004865EF">
        <w:rPr>
          <w:rFonts w:ascii="楷体" w:eastAsia="楷体" w:hAnsi="楷体" w:cs="Times New Roman" w:hint="eastAsia"/>
          <w:b/>
          <w:sz w:val="24"/>
        </w:rPr>
        <w:t>因此双方进行了交易。</w:t>
      </w:r>
      <w:r w:rsidR="00B04BE3" w:rsidRPr="004865EF">
        <w:rPr>
          <w:rFonts w:ascii="Times New Roman" w:eastAsia="宋体" w:hAnsi="Times New Roman" w:cs="Times New Roman" w:hint="eastAsia"/>
          <w:sz w:val="24"/>
        </w:rPr>
        <w:t>该笔</w:t>
      </w:r>
      <w:r w:rsidR="00752AB6" w:rsidRPr="004865EF">
        <w:rPr>
          <w:rFonts w:ascii="Times New Roman" w:eastAsia="宋体" w:hAnsi="Times New Roman" w:cs="Times New Roman" w:hint="eastAsia"/>
          <w:sz w:val="24"/>
        </w:rPr>
        <w:t>采购单价与第三方报价（北京鼎汉技术股份有限公司、北京天云动力科技有限公司、武汉长光电源有限公司）</w:t>
      </w:r>
      <w:r w:rsidRPr="004865EF">
        <w:rPr>
          <w:rFonts w:ascii="Times New Roman" w:eastAsia="宋体" w:hAnsi="Times New Roman" w:cs="Times New Roman"/>
          <w:sz w:val="24"/>
        </w:rPr>
        <w:t>基本一致。</w:t>
      </w:r>
    </w:p>
    <w:p w14:paraId="3038BAAE" w14:textId="5CCA1299" w:rsidR="00A420F6" w:rsidRPr="004865EF" w:rsidRDefault="00287E3B"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2019</w:t>
      </w:r>
      <w:r w:rsidRPr="004865EF">
        <w:rPr>
          <w:rFonts w:ascii="Times New Roman" w:eastAsia="宋体" w:hAnsi="Times New Roman" w:cs="Times New Roman" w:hint="eastAsia"/>
          <w:sz w:val="24"/>
        </w:rPr>
        <w:t>年，</w:t>
      </w:r>
      <w:r w:rsidR="0008265D" w:rsidRPr="004865EF">
        <w:rPr>
          <w:rFonts w:ascii="Times New Roman" w:eastAsia="宋体" w:hAnsi="Times New Roman" w:cs="Times New Roman" w:hint="eastAsia"/>
          <w:sz w:val="24"/>
        </w:rPr>
        <w:t>中</w:t>
      </w:r>
      <w:proofErr w:type="gramStart"/>
      <w:r w:rsidR="0008265D" w:rsidRPr="004865EF">
        <w:rPr>
          <w:rFonts w:ascii="Times New Roman" w:eastAsia="宋体" w:hAnsi="Times New Roman" w:cs="Times New Roman" w:hint="eastAsia"/>
          <w:sz w:val="24"/>
        </w:rPr>
        <w:t>金云网向</w:t>
      </w:r>
      <w:proofErr w:type="gramEnd"/>
      <w:r w:rsidR="00A420F6" w:rsidRPr="004865EF">
        <w:rPr>
          <w:rFonts w:ascii="Times New Roman" w:eastAsia="宋体" w:hAnsi="Times New Roman" w:cs="Times New Roman" w:hint="eastAsia"/>
          <w:sz w:val="24"/>
        </w:rPr>
        <w:t>中金数据（武汉）</w:t>
      </w:r>
      <w:proofErr w:type="gramStart"/>
      <w:r w:rsidR="00A420F6" w:rsidRPr="004865EF">
        <w:rPr>
          <w:rFonts w:ascii="Times New Roman" w:eastAsia="宋体" w:hAnsi="Times New Roman" w:cs="Times New Roman" w:hint="eastAsia"/>
          <w:sz w:val="24"/>
        </w:rPr>
        <w:t>超算技</w:t>
      </w:r>
      <w:r w:rsidR="0008265D" w:rsidRPr="004865EF">
        <w:rPr>
          <w:rFonts w:ascii="Times New Roman" w:eastAsia="宋体" w:hAnsi="Times New Roman" w:cs="Times New Roman" w:hint="eastAsia"/>
          <w:sz w:val="24"/>
        </w:rPr>
        <w:t>术</w:t>
      </w:r>
      <w:proofErr w:type="gramEnd"/>
      <w:r w:rsidR="0008265D" w:rsidRPr="004865EF">
        <w:rPr>
          <w:rFonts w:ascii="Times New Roman" w:eastAsia="宋体" w:hAnsi="Times New Roman" w:cs="Times New Roman" w:hint="eastAsia"/>
          <w:sz w:val="24"/>
        </w:rPr>
        <w:t>有限公司（以下简称“武汉超算”）提供</w:t>
      </w:r>
      <w:proofErr w:type="gramStart"/>
      <w:r w:rsidR="0008265D" w:rsidRPr="004865EF">
        <w:rPr>
          <w:rFonts w:ascii="Times New Roman" w:eastAsia="宋体" w:hAnsi="Times New Roman" w:cs="Times New Roman" w:hint="eastAsia"/>
          <w:sz w:val="24"/>
        </w:rPr>
        <w:t>私有</w:t>
      </w:r>
      <w:r w:rsidRPr="004865EF">
        <w:rPr>
          <w:rFonts w:ascii="Times New Roman" w:eastAsia="宋体" w:hAnsi="Times New Roman" w:cs="Times New Roman" w:hint="eastAsia"/>
          <w:sz w:val="24"/>
        </w:rPr>
        <w:t>云</w:t>
      </w:r>
      <w:proofErr w:type="gramEnd"/>
      <w:r w:rsidRPr="004865EF">
        <w:rPr>
          <w:rFonts w:ascii="Times New Roman" w:eastAsia="宋体" w:hAnsi="Times New Roman" w:cs="Times New Roman" w:hint="eastAsia"/>
          <w:sz w:val="24"/>
        </w:rPr>
        <w:t>平台服务</w:t>
      </w:r>
      <w:r w:rsidRPr="004865EF">
        <w:rPr>
          <w:rFonts w:ascii="Times New Roman" w:eastAsia="宋体" w:hAnsi="Times New Roman" w:cs="Times New Roman"/>
          <w:sz w:val="24"/>
        </w:rPr>
        <w:t>2,433.96</w:t>
      </w:r>
      <w:r w:rsidRPr="004865EF">
        <w:rPr>
          <w:rFonts w:ascii="Times New Roman" w:eastAsia="宋体" w:hAnsi="Times New Roman" w:cs="Times New Roman" w:hint="eastAsia"/>
          <w:sz w:val="24"/>
        </w:rPr>
        <w:t>万</w:t>
      </w:r>
      <w:r w:rsidRPr="004865EF">
        <w:rPr>
          <w:rFonts w:ascii="Times New Roman" w:eastAsia="宋体" w:hAnsi="Times New Roman" w:cs="Times New Roman" w:hint="eastAsia"/>
          <w:kern w:val="0"/>
          <w:sz w:val="22"/>
          <w:szCs w:val="21"/>
        </w:rPr>
        <w:t>元</w:t>
      </w:r>
      <w:r w:rsidR="00B04BE3" w:rsidRPr="004865EF">
        <w:rPr>
          <w:rFonts w:ascii="Times New Roman" w:eastAsia="宋体" w:hAnsi="Times New Roman" w:cs="Times New Roman" w:hint="eastAsia"/>
          <w:sz w:val="24"/>
        </w:rPr>
        <w:t>。</w:t>
      </w:r>
      <w:r w:rsidR="00B04BE3" w:rsidRPr="004865EF">
        <w:rPr>
          <w:rFonts w:ascii="楷体" w:eastAsia="楷体" w:hAnsi="楷体" w:cs="Times New Roman" w:hint="eastAsia"/>
          <w:b/>
          <w:sz w:val="24"/>
        </w:rPr>
        <w:t>2019年</w:t>
      </w:r>
      <w:proofErr w:type="gramStart"/>
      <w:r w:rsidR="00B04BE3" w:rsidRPr="004865EF">
        <w:rPr>
          <w:rFonts w:ascii="楷体" w:eastAsia="楷体" w:hAnsi="楷体" w:cs="Times New Roman" w:hint="eastAsia"/>
          <w:b/>
          <w:sz w:val="24"/>
        </w:rPr>
        <w:t>武汉超算尚未</w:t>
      </w:r>
      <w:proofErr w:type="gramEnd"/>
      <w:r w:rsidR="00B04BE3" w:rsidRPr="004865EF">
        <w:rPr>
          <w:rFonts w:ascii="楷体" w:eastAsia="楷体" w:hAnsi="楷体" w:cs="Times New Roman" w:hint="eastAsia"/>
          <w:b/>
          <w:sz w:val="24"/>
        </w:rPr>
        <w:t>搭建自有的云平台，因此为拓展业务先行从中</w:t>
      </w:r>
      <w:proofErr w:type="gramStart"/>
      <w:r w:rsidR="00B04BE3" w:rsidRPr="004865EF">
        <w:rPr>
          <w:rFonts w:ascii="楷体" w:eastAsia="楷体" w:hAnsi="楷体" w:cs="Times New Roman" w:hint="eastAsia"/>
          <w:b/>
          <w:sz w:val="24"/>
        </w:rPr>
        <w:t>金云网采购</w:t>
      </w:r>
      <w:proofErr w:type="gramEnd"/>
      <w:r w:rsidR="00B04BE3" w:rsidRPr="004865EF">
        <w:rPr>
          <w:rFonts w:ascii="楷体" w:eastAsia="楷体" w:hAnsi="楷体" w:cs="Times New Roman" w:hint="eastAsia"/>
          <w:b/>
          <w:sz w:val="24"/>
        </w:rPr>
        <w:t>，</w:t>
      </w:r>
      <w:r w:rsidR="00A420F6" w:rsidRPr="004865EF">
        <w:rPr>
          <w:rFonts w:ascii="Times New Roman" w:eastAsia="宋体" w:hAnsi="Times New Roman" w:cs="Times New Roman" w:hint="eastAsia"/>
          <w:sz w:val="24"/>
        </w:rPr>
        <w:t>单价</w:t>
      </w:r>
      <w:r w:rsidR="0008265D" w:rsidRPr="004865EF">
        <w:rPr>
          <w:rFonts w:ascii="Times New Roman" w:eastAsia="宋体" w:hAnsi="Times New Roman" w:cs="Times New Roman" w:hint="eastAsia"/>
          <w:sz w:val="24"/>
        </w:rPr>
        <w:t>与</w:t>
      </w:r>
      <w:r w:rsidRPr="004865EF">
        <w:rPr>
          <w:rFonts w:ascii="Times New Roman" w:eastAsia="宋体" w:hAnsi="Times New Roman" w:cs="Times New Roman" w:hint="eastAsia"/>
          <w:sz w:val="24"/>
        </w:rPr>
        <w:t>市场同类型服务价格</w:t>
      </w:r>
      <w:r w:rsidR="0008265D" w:rsidRPr="004865EF">
        <w:rPr>
          <w:rFonts w:ascii="Times New Roman" w:eastAsia="宋体" w:hAnsi="Times New Roman" w:cs="Times New Roman" w:hint="eastAsia"/>
          <w:sz w:val="24"/>
        </w:rPr>
        <w:t>基本一致</w:t>
      </w:r>
      <w:r w:rsidR="00A420F6" w:rsidRPr="004865EF">
        <w:rPr>
          <w:rFonts w:ascii="Times New Roman" w:eastAsia="宋体" w:hAnsi="Times New Roman" w:cs="Times New Roman" w:hint="eastAsia"/>
          <w:sz w:val="24"/>
        </w:rPr>
        <w:t>。</w:t>
      </w:r>
    </w:p>
    <w:p w14:paraId="645323D6" w14:textId="26F275E2" w:rsidR="00A56EEE" w:rsidRPr="004865EF" w:rsidRDefault="00A56EEE"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除上述销售和采购交易外，为支持子公司业务发展，报告期</w:t>
      </w:r>
      <w:proofErr w:type="gramStart"/>
      <w:r w:rsidRPr="004865EF">
        <w:rPr>
          <w:rFonts w:ascii="Times New Roman" w:eastAsia="宋体" w:hAnsi="Times New Roman" w:cs="Times New Roman" w:hint="eastAsia"/>
          <w:sz w:val="24"/>
        </w:rPr>
        <w:t>内中金云网</w:t>
      </w:r>
      <w:proofErr w:type="gramEnd"/>
      <w:r w:rsidRPr="004865EF">
        <w:rPr>
          <w:rFonts w:ascii="Times New Roman" w:eastAsia="宋体" w:hAnsi="Times New Roman" w:cs="Times New Roman" w:hint="eastAsia"/>
          <w:sz w:val="24"/>
        </w:rPr>
        <w:t>董事</w:t>
      </w:r>
      <w:r w:rsidRPr="004865EF">
        <w:rPr>
          <w:rFonts w:ascii="Times New Roman" w:eastAsia="宋体" w:hAnsi="Times New Roman" w:cs="Times New Roman" w:hint="eastAsia"/>
          <w:sz w:val="24"/>
        </w:rPr>
        <w:lastRenderedPageBreak/>
        <w:t>长杨洁和中</w:t>
      </w:r>
      <w:proofErr w:type="gramStart"/>
      <w:r w:rsidRPr="004865EF">
        <w:rPr>
          <w:rFonts w:ascii="Times New Roman" w:eastAsia="宋体" w:hAnsi="Times New Roman" w:cs="Times New Roman" w:hint="eastAsia"/>
          <w:sz w:val="24"/>
        </w:rPr>
        <w:t>金数据</w:t>
      </w:r>
      <w:proofErr w:type="gramEnd"/>
      <w:r w:rsidRPr="004865EF">
        <w:rPr>
          <w:rFonts w:ascii="Times New Roman" w:eastAsia="宋体" w:hAnsi="Times New Roman" w:cs="Times New Roman" w:hint="eastAsia"/>
          <w:sz w:val="24"/>
        </w:rPr>
        <w:t>为</w:t>
      </w:r>
      <w:r w:rsidR="00AB33E0" w:rsidRPr="004865EF">
        <w:rPr>
          <w:rFonts w:ascii="Times New Roman" w:eastAsia="宋体" w:hAnsi="Times New Roman" w:cs="Times New Roman" w:hint="eastAsia"/>
          <w:sz w:val="24"/>
        </w:rPr>
        <w:t>中</w:t>
      </w:r>
      <w:proofErr w:type="gramStart"/>
      <w:r w:rsidR="00AB33E0" w:rsidRPr="004865EF">
        <w:rPr>
          <w:rFonts w:ascii="Times New Roman" w:eastAsia="宋体" w:hAnsi="Times New Roman" w:cs="Times New Roman" w:hint="eastAsia"/>
          <w:sz w:val="24"/>
        </w:rPr>
        <w:t>金云网的</w:t>
      </w:r>
      <w:proofErr w:type="gramEnd"/>
      <w:r w:rsidRPr="004865EF">
        <w:rPr>
          <w:rFonts w:ascii="Times New Roman" w:eastAsia="宋体" w:hAnsi="Times New Roman" w:cs="Times New Roman" w:hint="eastAsia"/>
          <w:sz w:val="24"/>
        </w:rPr>
        <w:t>银行借款提供了关联担保。</w:t>
      </w:r>
    </w:p>
    <w:p w14:paraId="01395A3C" w14:textId="0B5E6E92" w:rsidR="00BE0111" w:rsidRPr="004865EF" w:rsidRDefault="00A420F6" w:rsidP="00675378">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中</w:t>
      </w:r>
      <w:proofErr w:type="gramStart"/>
      <w:r w:rsidRPr="004865EF">
        <w:rPr>
          <w:rFonts w:ascii="Times New Roman" w:eastAsia="宋体" w:hAnsi="Times New Roman" w:cs="Times New Roman" w:hint="eastAsia"/>
          <w:sz w:val="24"/>
        </w:rPr>
        <w:t>金云网与</w:t>
      </w:r>
      <w:proofErr w:type="gramEnd"/>
      <w:r w:rsidRPr="004865EF">
        <w:rPr>
          <w:rFonts w:ascii="Times New Roman" w:eastAsia="宋体" w:hAnsi="Times New Roman" w:cs="Times New Roman" w:hint="eastAsia"/>
          <w:sz w:val="24"/>
        </w:rPr>
        <w:t>上述关联方之间的销售和采购业务，定价均参照向第三</w:t>
      </w:r>
      <w:proofErr w:type="gramStart"/>
      <w:r w:rsidRPr="004865EF">
        <w:rPr>
          <w:rFonts w:ascii="Times New Roman" w:eastAsia="宋体" w:hAnsi="Times New Roman" w:cs="Times New Roman" w:hint="eastAsia"/>
          <w:sz w:val="24"/>
        </w:rPr>
        <w:t>方销售</w:t>
      </w:r>
      <w:proofErr w:type="gramEnd"/>
      <w:r w:rsidRPr="004865EF">
        <w:rPr>
          <w:rFonts w:ascii="Times New Roman" w:eastAsia="宋体" w:hAnsi="Times New Roman" w:cs="Times New Roman" w:hint="eastAsia"/>
          <w:sz w:val="24"/>
        </w:rPr>
        <w:t>及采购的单价确定，内部交易具有合理性、必要性及公允性；定价公允不存在关联方向中</w:t>
      </w:r>
      <w:proofErr w:type="gramStart"/>
      <w:r w:rsidRPr="004865EF">
        <w:rPr>
          <w:rFonts w:ascii="Times New Roman" w:eastAsia="宋体" w:hAnsi="Times New Roman" w:cs="Times New Roman" w:hint="eastAsia"/>
          <w:sz w:val="24"/>
        </w:rPr>
        <w:t>金云网业务</w:t>
      </w:r>
      <w:proofErr w:type="gramEnd"/>
      <w:r w:rsidRPr="004865EF">
        <w:rPr>
          <w:rFonts w:ascii="Times New Roman" w:eastAsia="宋体" w:hAnsi="Times New Roman" w:cs="Times New Roman" w:hint="eastAsia"/>
          <w:sz w:val="24"/>
        </w:rPr>
        <w:t>倾斜、通过显失公允的关联交易或者由关联方承担成本、费用等方式提升并购标的业绩的情形。</w:t>
      </w:r>
    </w:p>
    <w:p w14:paraId="36533972" w14:textId="122533C6" w:rsidR="00861548" w:rsidRPr="004865EF" w:rsidRDefault="00861548" w:rsidP="00A66425">
      <w:pPr>
        <w:pStyle w:val="zhengwen"/>
        <w:ind w:firstLine="482"/>
        <w:rPr>
          <w:b/>
        </w:rPr>
      </w:pPr>
      <w:r w:rsidRPr="004865EF">
        <w:rPr>
          <w:rFonts w:hint="eastAsia"/>
          <w:b/>
        </w:rPr>
        <w:t>（二）</w:t>
      </w:r>
      <w:r w:rsidRPr="004865EF">
        <w:rPr>
          <w:b/>
        </w:rPr>
        <w:t>2017</w:t>
      </w:r>
      <w:r w:rsidRPr="004865EF">
        <w:rPr>
          <w:rFonts w:hint="eastAsia"/>
          <w:b/>
        </w:rPr>
        <w:t>年</w:t>
      </w:r>
      <w:r w:rsidRPr="004865EF">
        <w:rPr>
          <w:b/>
        </w:rPr>
        <w:t>-2019</w:t>
      </w:r>
      <w:r w:rsidRPr="004865EF">
        <w:rPr>
          <w:rFonts w:hint="eastAsia"/>
          <w:b/>
        </w:rPr>
        <w:t>年无双科技与</w:t>
      </w:r>
      <w:r w:rsidR="001F7C40" w:rsidRPr="004865EF">
        <w:rPr>
          <w:rFonts w:hint="eastAsia"/>
          <w:b/>
        </w:rPr>
        <w:t>光环新网</w:t>
      </w:r>
      <w:r w:rsidR="00287E3B" w:rsidRPr="004865EF">
        <w:rPr>
          <w:rFonts w:hint="eastAsia"/>
          <w:b/>
        </w:rPr>
        <w:t>及其他关联方之间的交易情况</w:t>
      </w:r>
    </w:p>
    <w:p w14:paraId="31CF9678" w14:textId="77777777" w:rsidR="00861548" w:rsidRPr="004865EF" w:rsidRDefault="00861548">
      <w:pPr>
        <w:pStyle w:val="zhengwen"/>
        <w:rPr>
          <w:lang w:val="zh-CN" w:bidi="zh-CN"/>
        </w:rPr>
      </w:pPr>
      <w:r w:rsidRPr="004865EF">
        <w:rPr>
          <w:lang w:val="zh-CN" w:bidi="zh-CN"/>
        </w:rPr>
        <w:t>1</w:t>
      </w:r>
      <w:r w:rsidRPr="004865EF">
        <w:rPr>
          <w:lang w:val="zh-CN" w:bidi="zh-CN"/>
        </w:rPr>
        <w:t>、内部交易金额</w:t>
      </w:r>
    </w:p>
    <w:p w14:paraId="03CC3B16" w14:textId="77777777" w:rsidR="00861548" w:rsidRPr="004865EF" w:rsidRDefault="00861548" w:rsidP="00861548">
      <w:pPr>
        <w:pStyle w:val="danwei"/>
      </w:pPr>
      <w:r w:rsidRPr="004865EF">
        <w:t>单位：万元</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63"/>
        <w:gridCol w:w="1666"/>
        <w:gridCol w:w="1666"/>
        <w:gridCol w:w="1661"/>
      </w:tblGrid>
      <w:tr w:rsidR="004865EF" w:rsidRPr="004865EF" w14:paraId="6969C62C" w14:textId="77777777" w:rsidTr="00D752CA">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D036507" w14:textId="77777777" w:rsidR="00861548" w:rsidRPr="004865EF" w:rsidRDefault="00861548" w:rsidP="0086154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项目</w:t>
            </w:r>
          </w:p>
        </w:tc>
        <w:tc>
          <w:tcPr>
            <w:tcW w:w="985" w:type="pct"/>
            <w:tcBorders>
              <w:top w:val="outset" w:sz="6" w:space="0" w:color="auto"/>
              <w:left w:val="outset" w:sz="6" w:space="0" w:color="auto"/>
              <w:bottom w:val="outset" w:sz="6" w:space="0" w:color="auto"/>
              <w:right w:val="outset" w:sz="6" w:space="0" w:color="auto"/>
            </w:tcBorders>
            <w:shd w:val="clear" w:color="auto" w:fill="FFFFFF"/>
          </w:tcPr>
          <w:p w14:paraId="16479390" w14:textId="77777777" w:rsidR="00861548" w:rsidRPr="004865EF" w:rsidRDefault="00861548" w:rsidP="00861548">
            <w:pPr>
              <w:widowControl/>
              <w:wordWrap w:val="0"/>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2017</w:t>
            </w:r>
            <w:r w:rsidRPr="004865EF">
              <w:rPr>
                <w:rFonts w:ascii="Times New Roman" w:eastAsia="宋体" w:hAnsi="Times New Roman" w:cs="Times New Roman"/>
                <w:b/>
                <w:bCs/>
                <w:kern w:val="0"/>
                <w:szCs w:val="21"/>
              </w:rPr>
              <w:t>年度</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2F4C2DE" w14:textId="77777777" w:rsidR="00861548" w:rsidRPr="004865EF" w:rsidRDefault="00861548" w:rsidP="00861548">
            <w:pPr>
              <w:widowControl/>
              <w:wordWrap w:val="0"/>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2018</w:t>
            </w:r>
            <w:r w:rsidRPr="004865EF">
              <w:rPr>
                <w:rFonts w:ascii="Times New Roman" w:eastAsia="宋体" w:hAnsi="Times New Roman" w:cs="Times New Roman"/>
                <w:b/>
                <w:bCs/>
                <w:kern w:val="0"/>
                <w:szCs w:val="21"/>
              </w:rPr>
              <w:t>年度</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2E4AA66" w14:textId="77777777" w:rsidR="00861548" w:rsidRPr="004865EF" w:rsidRDefault="00861548" w:rsidP="00861548">
            <w:pPr>
              <w:widowControl/>
              <w:wordWrap w:val="0"/>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2019</w:t>
            </w:r>
            <w:r w:rsidRPr="004865EF">
              <w:rPr>
                <w:rFonts w:ascii="Times New Roman" w:eastAsia="宋体" w:hAnsi="Times New Roman" w:cs="Times New Roman"/>
                <w:b/>
                <w:bCs/>
                <w:kern w:val="0"/>
                <w:szCs w:val="21"/>
              </w:rPr>
              <w:t>年度</w:t>
            </w:r>
          </w:p>
        </w:tc>
      </w:tr>
      <w:tr w:rsidR="004865EF" w:rsidRPr="004865EF" w14:paraId="65CD8851" w14:textId="77777777" w:rsidTr="00675378">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32F39EA" w14:textId="4996E507" w:rsidR="00287E3B" w:rsidRPr="004865EF" w:rsidRDefault="00287E3B" w:rsidP="00675378">
            <w:pPr>
              <w:widowControl/>
              <w:wordWrap w:val="0"/>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关联方：北京光环新网科技股份有限公司</w:t>
            </w:r>
          </w:p>
        </w:tc>
      </w:tr>
      <w:tr w:rsidR="004865EF" w:rsidRPr="004865EF" w14:paraId="7D61A11B" w14:textId="77777777" w:rsidTr="00D752CA">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9E46BE4" w14:textId="7F75BD0D" w:rsidR="00861548" w:rsidRPr="004865EF" w:rsidRDefault="00861548" w:rsidP="00861548">
            <w:pPr>
              <w:widowControl/>
              <w:jc w:val="left"/>
              <w:rPr>
                <w:rFonts w:ascii="Times New Roman" w:eastAsia="宋体" w:hAnsi="Times New Roman" w:cs="Times New Roman"/>
                <w:kern w:val="0"/>
                <w:szCs w:val="21"/>
              </w:rPr>
            </w:pPr>
            <w:r w:rsidRPr="004865EF">
              <w:rPr>
                <w:rFonts w:ascii="Times New Roman" w:eastAsia="宋体" w:hAnsi="Times New Roman" w:cs="Times New Roman"/>
                <w:kern w:val="0"/>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6B0BBE80" w14:textId="77777777" w:rsidR="00861548" w:rsidRPr="004865EF" w:rsidRDefault="00861548" w:rsidP="00861548">
            <w:pPr>
              <w:widowControl/>
              <w:wordWrap w:val="0"/>
              <w:jc w:val="right"/>
              <w:rPr>
                <w:rFonts w:ascii="Times New Roman" w:eastAsia="仿宋" w:hAnsi="Times New Roman" w:cs="Times New Roman"/>
                <w:kern w:val="0"/>
                <w:szCs w:val="21"/>
                <w:lang w:val="zh-CN" w:bidi="zh-CN"/>
              </w:rPr>
            </w:pPr>
            <w:r w:rsidRPr="004865EF">
              <w:rPr>
                <w:rFonts w:ascii="Times New Roman" w:eastAsia="仿宋" w:hAnsi="Times New Roman" w:cs="Times New Roman"/>
                <w:kern w:val="0"/>
                <w:szCs w:val="21"/>
                <w:lang w:val="zh-CN" w:bidi="zh-CN"/>
              </w:rPr>
              <w:t>31.82</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C9828F0" w14:textId="77777777" w:rsidR="00861548" w:rsidRPr="004865EF" w:rsidRDefault="00861548" w:rsidP="00861548">
            <w:pPr>
              <w:widowControl/>
              <w:wordWrap w:val="0"/>
              <w:jc w:val="right"/>
              <w:rPr>
                <w:rFonts w:ascii="Times New Roman" w:eastAsia="仿宋" w:hAnsi="Times New Roman" w:cs="Times New Roman"/>
                <w:kern w:val="0"/>
                <w:szCs w:val="21"/>
                <w:lang w:val="zh-CN" w:bidi="zh-CN"/>
              </w:rPr>
            </w:pPr>
            <w:r w:rsidRPr="004865EF">
              <w:rPr>
                <w:rFonts w:ascii="Times New Roman" w:eastAsia="仿宋" w:hAnsi="Times New Roman" w:cs="Times New Roman"/>
                <w:kern w:val="0"/>
                <w:szCs w:val="21"/>
                <w:lang w:val="zh-CN" w:bidi="zh-CN"/>
              </w:rPr>
              <w:t>3,088.01</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4676384" w14:textId="77777777" w:rsidR="00861548" w:rsidRPr="004865EF" w:rsidRDefault="00861548" w:rsidP="00861548">
            <w:pPr>
              <w:widowControl/>
              <w:wordWrap w:val="0"/>
              <w:jc w:val="right"/>
              <w:rPr>
                <w:rFonts w:ascii="Times New Roman" w:eastAsia="仿宋" w:hAnsi="Times New Roman" w:cs="Times New Roman"/>
                <w:kern w:val="0"/>
                <w:szCs w:val="21"/>
                <w:lang w:val="zh-CN" w:bidi="zh-CN"/>
              </w:rPr>
            </w:pPr>
            <w:r w:rsidRPr="004865EF">
              <w:rPr>
                <w:rFonts w:ascii="Times New Roman" w:eastAsia="仿宋" w:hAnsi="Times New Roman" w:cs="Times New Roman"/>
                <w:kern w:val="0"/>
                <w:szCs w:val="21"/>
                <w:lang w:val="zh-CN" w:bidi="zh-CN"/>
              </w:rPr>
              <w:t>18.87</w:t>
            </w:r>
          </w:p>
        </w:tc>
      </w:tr>
      <w:tr w:rsidR="004865EF" w:rsidRPr="004865EF" w14:paraId="6988CFC1" w14:textId="77777777" w:rsidTr="00D752CA">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56E8711" w14:textId="0C36BB86" w:rsidR="00861548" w:rsidRPr="004865EF" w:rsidRDefault="00861548" w:rsidP="00861548">
            <w:pPr>
              <w:widowControl/>
              <w:wordWrap w:val="0"/>
              <w:jc w:val="left"/>
              <w:rPr>
                <w:rFonts w:ascii="Times New Roman" w:eastAsia="宋体" w:hAnsi="Times New Roman" w:cs="Times New Roman"/>
                <w:kern w:val="0"/>
                <w:szCs w:val="21"/>
              </w:rPr>
            </w:pPr>
            <w:r w:rsidRPr="004865EF">
              <w:rPr>
                <w:rFonts w:ascii="Times New Roman" w:eastAsia="宋体" w:hAnsi="Times New Roman" w:cs="Times New Roman"/>
                <w:kern w:val="0"/>
                <w:szCs w:val="21"/>
              </w:rPr>
              <w:t>采购金额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1C404D34" w14:textId="77777777" w:rsidR="00861548" w:rsidRPr="004865EF" w:rsidRDefault="00861548" w:rsidP="00861548">
            <w:pPr>
              <w:widowControl/>
              <w:wordWrap w:val="0"/>
              <w:jc w:val="right"/>
              <w:rPr>
                <w:rFonts w:ascii="Times New Roman" w:eastAsia="仿宋" w:hAnsi="Times New Roman" w:cs="Times New Roman"/>
                <w:kern w:val="0"/>
                <w:szCs w:val="21"/>
                <w:lang w:val="zh-CN" w:bidi="zh-CN"/>
              </w:rPr>
            </w:pPr>
            <w:r w:rsidRPr="004865EF">
              <w:rPr>
                <w:rFonts w:ascii="Times New Roman" w:eastAsia="仿宋" w:hAnsi="Times New Roman" w:cs="Times New Roman"/>
                <w:kern w:val="0"/>
                <w:szCs w:val="21"/>
                <w:lang w:val="zh-CN" w:bidi="zh-CN"/>
              </w:rPr>
              <w:t>2,248.08</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9DE75F1" w14:textId="77777777" w:rsidR="00861548" w:rsidRPr="004865EF" w:rsidRDefault="00861548" w:rsidP="00861548">
            <w:pPr>
              <w:widowControl/>
              <w:wordWrap w:val="0"/>
              <w:jc w:val="right"/>
              <w:rPr>
                <w:rFonts w:ascii="Times New Roman" w:eastAsia="仿宋" w:hAnsi="Times New Roman" w:cs="Times New Roman"/>
                <w:kern w:val="0"/>
                <w:szCs w:val="21"/>
                <w:lang w:val="zh-CN" w:bidi="zh-CN"/>
              </w:rPr>
            </w:pPr>
            <w:r w:rsidRPr="004865EF">
              <w:rPr>
                <w:rFonts w:ascii="Times New Roman" w:eastAsia="仿宋" w:hAnsi="Times New Roman" w:cs="Times New Roman"/>
                <w:kern w:val="0"/>
                <w:szCs w:val="21"/>
                <w:lang w:val="zh-CN" w:bidi="zh-CN"/>
              </w:rPr>
              <w:t>3,068.83</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65F8548" w14:textId="77777777" w:rsidR="00861548" w:rsidRPr="004865EF" w:rsidRDefault="00861548" w:rsidP="00861548">
            <w:pPr>
              <w:widowControl/>
              <w:wordWrap w:val="0"/>
              <w:jc w:val="right"/>
              <w:rPr>
                <w:rFonts w:ascii="Times New Roman" w:eastAsia="仿宋" w:hAnsi="Times New Roman" w:cs="Times New Roman"/>
                <w:kern w:val="0"/>
                <w:szCs w:val="21"/>
                <w:lang w:val="zh-CN" w:bidi="zh-CN"/>
              </w:rPr>
            </w:pPr>
            <w:r w:rsidRPr="004865EF">
              <w:rPr>
                <w:rFonts w:ascii="Times New Roman" w:eastAsia="仿宋" w:hAnsi="Times New Roman" w:cs="Times New Roman"/>
                <w:kern w:val="0"/>
                <w:szCs w:val="21"/>
                <w:lang w:val="zh-CN" w:bidi="zh-CN"/>
              </w:rPr>
              <w:t>46.19</w:t>
            </w:r>
          </w:p>
        </w:tc>
      </w:tr>
      <w:tr w:rsidR="004865EF" w:rsidRPr="004865EF" w14:paraId="10E86C5B" w14:textId="77777777" w:rsidTr="00287E3B">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ABA8760" w14:textId="175DF051" w:rsidR="00287E3B" w:rsidRPr="004865EF" w:rsidRDefault="00287E3B" w:rsidP="00675378">
            <w:pPr>
              <w:widowControl/>
              <w:wordWrap w:val="0"/>
              <w:jc w:val="left"/>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关联方：南京安与吉信息技术有限公司（关联关系：子公司关键管理人员控制的企业）</w:t>
            </w:r>
          </w:p>
        </w:tc>
      </w:tr>
      <w:tr w:rsidR="004865EF" w:rsidRPr="004865EF" w14:paraId="6A70D8B5" w14:textId="77777777" w:rsidTr="00675378">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17CC689" w14:textId="68453AD6" w:rsidR="00287E3B" w:rsidRPr="004865EF" w:rsidRDefault="00287E3B" w:rsidP="00861548">
            <w:pPr>
              <w:widowControl/>
              <w:wordWrap w:val="0"/>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2AD91B76" w14:textId="06B2C479" w:rsidR="00287E3B" w:rsidRPr="004865EF" w:rsidRDefault="00287E3B">
            <w:pPr>
              <w:widowControl/>
              <w:wordWrap w:val="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28.30</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5FF3F5B" w14:textId="4060073B" w:rsidR="00287E3B" w:rsidRPr="004865EF" w:rsidRDefault="00287E3B">
            <w:pPr>
              <w:widowControl/>
              <w:wordWrap w:val="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C2E61F6" w14:textId="2D7F3F12" w:rsidR="00287E3B" w:rsidRPr="004865EF" w:rsidRDefault="00287E3B">
            <w:pPr>
              <w:widowControl/>
              <w:wordWrap w:val="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r>
      <w:tr w:rsidR="004865EF" w:rsidRPr="004865EF" w14:paraId="7089ABD4" w14:textId="77777777" w:rsidTr="00287E3B">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B87B725" w14:textId="06F82FA1" w:rsidR="00287E3B" w:rsidRPr="004865EF" w:rsidRDefault="00287E3B" w:rsidP="00675378">
            <w:pPr>
              <w:widowControl/>
              <w:wordWrap w:val="0"/>
              <w:jc w:val="left"/>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关联方：北京招财旺旺信息技术有限公司（关联关系：子公司关键管理人员控制的企业）</w:t>
            </w:r>
          </w:p>
        </w:tc>
      </w:tr>
      <w:tr w:rsidR="004865EF" w:rsidRPr="004865EF" w14:paraId="7CC7F2D7" w14:textId="77777777" w:rsidTr="00675378">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C0F110" w14:textId="318B93E1" w:rsidR="00287E3B" w:rsidRPr="004865EF" w:rsidRDefault="00287E3B" w:rsidP="00861548">
            <w:pPr>
              <w:widowControl/>
              <w:wordWrap w:val="0"/>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21ECC6BC" w14:textId="67CFA69C" w:rsidR="00287E3B" w:rsidRPr="004865EF" w:rsidRDefault="00287E3B">
            <w:pPr>
              <w:widowControl/>
              <w:wordWrap w:val="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4.20</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390DE8F" w14:textId="6C1762AC" w:rsidR="00287E3B" w:rsidRPr="004865EF" w:rsidRDefault="00287E3B">
            <w:pPr>
              <w:widowControl/>
              <w:wordWrap w:val="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7B6D9A2" w14:textId="22FAC03D" w:rsidR="00287E3B" w:rsidRPr="004865EF" w:rsidRDefault="00287E3B">
            <w:pPr>
              <w:widowControl/>
              <w:wordWrap w:val="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r>
      <w:tr w:rsidR="004865EF" w:rsidRPr="004865EF" w14:paraId="15F1C09E" w14:textId="77777777" w:rsidTr="00287E3B">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C691259" w14:textId="4B42AD47" w:rsidR="00287E3B" w:rsidRPr="004865EF" w:rsidRDefault="00287E3B" w:rsidP="00675378">
            <w:pPr>
              <w:widowControl/>
              <w:wordWrap w:val="0"/>
              <w:jc w:val="left"/>
              <w:rPr>
                <w:rFonts w:ascii="Times New Roman" w:eastAsia="宋体" w:hAnsi="Times New Roman" w:cs="Times New Roman"/>
                <w:b/>
                <w:kern w:val="0"/>
                <w:szCs w:val="21"/>
              </w:rPr>
            </w:pPr>
            <w:r w:rsidRPr="004865EF">
              <w:rPr>
                <w:rFonts w:ascii="Times New Roman" w:eastAsia="宋体" w:hAnsi="Times New Roman" w:cs="Times New Roman" w:hint="eastAsia"/>
                <w:b/>
                <w:kern w:val="0"/>
                <w:szCs w:val="21"/>
              </w:rPr>
              <w:t>关联方：光环</w:t>
            </w:r>
            <w:proofErr w:type="gramStart"/>
            <w:r w:rsidRPr="004865EF">
              <w:rPr>
                <w:rFonts w:ascii="Times New Roman" w:eastAsia="宋体" w:hAnsi="Times New Roman" w:cs="Times New Roman" w:hint="eastAsia"/>
                <w:b/>
                <w:kern w:val="0"/>
                <w:szCs w:val="21"/>
              </w:rPr>
              <w:t>云数据</w:t>
            </w:r>
            <w:proofErr w:type="gramEnd"/>
            <w:r w:rsidRPr="004865EF">
              <w:rPr>
                <w:rFonts w:ascii="Times New Roman" w:eastAsia="宋体" w:hAnsi="Times New Roman" w:cs="Times New Roman" w:hint="eastAsia"/>
                <w:b/>
                <w:kern w:val="0"/>
                <w:szCs w:val="21"/>
              </w:rPr>
              <w:t>有限公司（关联关系：光环新网控股子公司）</w:t>
            </w:r>
          </w:p>
        </w:tc>
      </w:tr>
      <w:tr w:rsidR="004865EF" w:rsidRPr="004865EF" w14:paraId="4DC53B33" w14:textId="77777777" w:rsidTr="00675378">
        <w:trPr>
          <w:jc w:val="center"/>
        </w:trPr>
        <w:tc>
          <w:tcPr>
            <w:tcW w:w="204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D4CEF0A" w14:textId="7FECF67B" w:rsidR="00287E3B" w:rsidRPr="004865EF" w:rsidRDefault="00287E3B" w:rsidP="00861548">
            <w:pPr>
              <w:widowControl/>
              <w:wordWrap w:val="0"/>
              <w:jc w:val="left"/>
              <w:rPr>
                <w:rFonts w:ascii="Times New Roman" w:eastAsia="宋体" w:hAnsi="Times New Roman" w:cs="Times New Roman"/>
                <w:kern w:val="0"/>
                <w:szCs w:val="21"/>
              </w:rPr>
            </w:pPr>
            <w:r w:rsidRPr="004865EF">
              <w:rPr>
                <w:rFonts w:ascii="Times New Roman" w:eastAsia="宋体" w:hAnsi="Times New Roman" w:cs="Times New Roman" w:hint="eastAsia"/>
                <w:kern w:val="0"/>
                <w:szCs w:val="21"/>
              </w:rPr>
              <w:t>销售金额</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tcPr>
          <w:p w14:paraId="0B7B535D" w14:textId="735B1C74" w:rsidR="00287E3B" w:rsidRPr="004865EF" w:rsidRDefault="00287E3B">
            <w:pPr>
              <w:widowControl/>
              <w:wordWrap w:val="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w:t>
            </w:r>
          </w:p>
        </w:tc>
        <w:tc>
          <w:tcPr>
            <w:tcW w:w="98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539CC83" w14:textId="3185BBE9" w:rsidR="00287E3B" w:rsidRPr="004865EF" w:rsidRDefault="00287E3B">
            <w:pPr>
              <w:widowControl/>
              <w:wordWrap w:val="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4.72</w:t>
            </w:r>
          </w:p>
        </w:tc>
        <w:tc>
          <w:tcPr>
            <w:tcW w:w="98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5677A21" w14:textId="31F16CA1" w:rsidR="00287E3B" w:rsidRPr="004865EF" w:rsidRDefault="00287E3B">
            <w:pPr>
              <w:widowControl/>
              <w:wordWrap w:val="0"/>
              <w:jc w:val="right"/>
              <w:rPr>
                <w:rFonts w:ascii="Times New Roman" w:eastAsia="宋体" w:hAnsi="Times New Roman" w:cs="Times New Roman"/>
                <w:kern w:val="0"/>
                <w:szCs w:val="21"/>
              </w:rPr>
            </w:pPr>
            <w:r w:rsidRPr="004865EF">
              <w:rPr>
                <w:rFonts w:ascii="Times New Roman" w:eastAsia="宋体" w:hAnsi="Times New Roman" w:cs="Times New Roman"/>
                <w:kern w:val="0"/>
                <w:szCs w:val="21"/>
              </w:rPr>
              <w:t>8.45</w:t>
            </w:r>
          </w:p>
        </w:tc>
      </w:tr>
    </w:tbl>
    <w:p w14:paraId="662490BE" w14:textId="77777777" w:rsidR="00861548" w:rsidRPr="004865EF" w:rsidRDefault="00861548">
      <w:pPr>
        <w:pStyle w:val="zhengwen"/>
        <w:rPr>
          <w:lang w:val="zh-CN" w:bidi="zh-CN"/>
        </w:rPr>
      </w:pPr>
      <w:r w:rsidRPr="004865EF">
        <w:rPr>
          <w:lang w:val="zh-CN" w:bidi="zh-CN"/>
        </w:rPr>
        <w:t>2</w:t>
      </w:r>
      <w:r w:rsidRPr="004865EF">
        <w:rPr>
          <w:lang w:val="zh-CN" w:bidi="zh-CN"/>
        </w:rPr>
        <w:t>、</w:t>
      </w:r>
      <w:r w:rsidRPr="004865EF">
        <w:rPr>
          <w:lang w:val="zh-CN" w:bidi="zh-CN"/>
        </w:rPr>
        <w:t>2017</w:t>
      </w:r>
      <w:r w:rsidRPr="004865EF">
        <w:rPr>
          <w:lang w:val="zh-CN" w:bidi="zh-CN"/>
        </w:rPr>
        <w:t>年</w:t>
      </w:r>
      <w:r w:rsidRPr="004865EF">
        <w:rPr>
          <w:lang w:val="zh-CN" w:bidi="zh-CN"/>
        </w:rPr>
        <w:t>-2019</w:t>
      </w:r>
      <w:r w:rsidRPr="004865EF">
        <w:rPr>
          <w:lang w:val="zh-CN" w:bidi="zh-CN"/>
        </w:rPr>
        <w:t>年内部交易的合理性与定价依据</w:t>
      </w:r>
    </w:p>
    <w:p w14:paraId="3E5BD84F" w14:textId="750F013A" w:rsidR="007E0122" w:rsidRPr="004865EF" w:rsidRDefault="00851F9F" w:rsidP="00494620">
      <w:pPr>
        <w:pStyle w:val="zhengwen"/>
        <w:rPr>
          <w:kern w:val="0"/>
          <w:szCs w:val="24"/>
          <w:lang w:val="zh-CN"/>
        </w:rPr>
      </w:pPr>
      <w:r w:rsidRPr="004865EF">
        <w:rPr>
          <w:rFonts w:hint="eastAsia"/>
          <w:lang w:val="zh-CN" w:bidi="zh-CN"/>
        </w:rPr>
        <w:t>报告期内，</w:t>
      </w:r>
      <w:r w:rsidR="007E0122" w:rsidRPr="004865EF">
        <w:rPr>
          <w:rFonts w:hint="eastAsia"/>
          <w:lang w:val="zh-CN" w:bidi="zh-CN"/>
        </w:rPr>
        <w:t>无双科技向光环新网分别销售</w:t>
      </w:r>
      <w:r w:rsidR="007E0122" w:rsidRPr="004865EF">
        <w:rPr>
          <w:lang w:val="zh-CN" w:bidi="zh-CN"/>
        </w:rPr>
        <w:t>31.82</w:t>
      </w:r>
      <w:r w:rsidR="007E0122" w:rsidRPr="004865EF">
        <w:rPr>
          <w:rFonts w:hint="eastAsia"/>
          <w:lang w:val="zh-CN" w:bidi="zh-CN"/>
        </w:rPr>
        <w:t>万元、</w:t>
      </w:r>
      <w:r w:rsidR="007E0122" w:rsidRPr="004865EF">
        <w:rPr>
          <w:lang w:val="zh-CN" w:bidi="zh-CN"/>
        </w:rPr>
        <w:t>3,088.01</w:t>
      </w:r>
      <w:r w:rsidR="007E0122" w:rsidRPr="004865EF">
        <w:rPr>
          <w:rFonts w:hint="eastAsia"/>
          <w:lang w:val="zh-CN" w:bidi="zh-CN"/>
        </w:rPr>
        <w:t>万元和</w:t>
      </w:r>
      <w:r w:rsidR="007E0122" w:rsidRPr="004865EF">
        <w:rPr>
          <w:lang w:val="zh-CN" w:bidi="zh-CN"/>
        </w:rPr>
        <w:t>18.87</w:t>
      </w:r>
      <w:r w:rsidR="007E0122" w:rsidRPr="004865EF">
        <w:rPr>
          <w:rFonts w:hint="eastAsia"/>
          <w:lang w:val="zh-CN" w:bidi="zh-CN"/>
        </w:rPr>
        <w:t>万元，主要由于</w:t>
      </w:r>
      <w:r w:rsidR="007E0122" w:rsidRPr="004865EF">
        <w:rPr>
          <w:rFonts w:hint="eastAsia"/>
          <w:kern w:val="0"/>
          <w:szCs w:val="24"/>
          <w:lang w:val="zh-CN"/>
        </w:rPr>
        <w:t>光环新网自</w:t>
      </w:r>
      <w:r w:rsidR="007E0122" w:rsidRPr="004865EF">
        <w:rPr>
          <w:rFonts w:hint="eastAsia"/>
          <w:kern w:val="0"/>
          <w:szCs w:val="24"/>
          <w:lang w:val="zh-CN"/>
        </w:rPr>
        <w:t>2016</w:t>
      </w:r>
      <w:r w:rsidR="007E0122" w:rsidRPr="004865EF">
        <w:rPr>
          <w:rFonts w:hint="eastAsia"/>
          <w:kern w:val="0"/>
          <w:szCs w:val="24"/>
          <w:lang w:val="zh-CN"/>
        </w:rPr>
        <w:t>年获得亚马逊通授权独立运营</w:t>
      </w:r>
      <w:r w:rsidR="007E0122" w:rsidRPr="004865EF">
        <w:rPr>
          <w:rFonts w:hint="eastAsia"/>
          <w:kern w:val="0"/>
          <w:szCs w:val="24"/>
          <w:lang w:val="zh-CN"/>
        </w:rPr>
        <w:t>AWS</w:t>
      </w:r>
      <w:r w:rsidR="007E0122" w:rsidRPr="004865EF">
        <w:rPr>
          <w:rFonts w:hint="eastAsia"/>
          <w:kern w:val="0"/>
          <w:szCs w:val="24"/>
          <w:lang w:val="zh-CN"/>
        </w:rPr>
        <w:t>中国（北京）区域</w:t>
      </w:r>
      <w:proofErr w:type="gramStart"/>
      <w:r w:rsidR="007E0122" w:rsidRPr="004865EF">
        <w:rPr>
          <w:rFonts w:hint="eastAsia"/>
          <w:kern w:val="0"/>
          <w:szCs w:val="24"/>
          <w:lang w:val="zh-CN"/>
        </w:rPr>
        <w:t>云服务</w:t>
      </w:r>
      <w:proofErr w:type="gramEnd"/>
      <w:r w:rsidR="007E0122" w:rsidRPr="004865EF">
        <w:rPr>
          <w:rFonts w:hint="eastAsia"/>
          <w:kern w:val="0"/>
          <w:szCs w:val="24"/>
          <w:lang w:val="zh-CN"/>
        </w:rPr>
        <w:t>后，</w:t>
      </w:r>
      <w:r w:rsidR="007E0122" w:rsidRPr="004865EF">
        <w:rPr>
          <w:rFonts w:hint="eastAsia"/>
          <w:lang w:val="zh-CN" w:bidi="zh-CN"/>
        </w:rPr>
        <w:t>委托无双科技在百度等媒体渠道进行广告投放宣传</w:t>
      </w:r>
      <w:r w:rsidR="007E0122" w:rsidRPr="004865EF">
        <w:rPr>
          <w:rFonts w:asciiTheme="minorEastAsia" w:hAnsiTheme="minorEastAsia" w:hint="eastAsia"/>
          <w:szCs w:val="24"/>
        </w:rPr>
        <w:t>推广</w:t>
      </w:r>
      <w:r w:rsidR="007E0122" w:rsidRPr="004865EF">
        <w:rPr>
          <w:rFonts w:hint="eastAsia"/>
          <w:lang w:val="zh-CN" w:bidi="zh-CN"/>
        </w:rPr>
        <w:t>A</w:t>
      </w:r>
      <w:r w:rsidR="007E0122" w:rsidRPr="004865EF">
        <w:rPr>
          <w:lang w:val="zh-CN" w:bidi="zh-CN"/>
        </w:rPr>
        <w:t>WS</w:t>
      </w:r>
      <w:proofErr w:type="gramStart"/>
      <w:r w:rsidR="007E0122" w:rsidRPr="004865EF">
        <w:rPr>
          <w:rFonts w:hint="eastAsia"/>
          <w:lang w:val="zh-CN" w:bidi="zh-CN"/>
        </w:rPr>
        <w:t>云计算</w:t>
      </w:r>
      <w:proofErr w:type="gramEnd"/>
      <w:r w:rsidR="007E0122" w:rsidRPr="004865EF">
        <w:rPr>
          <w:rFonts w:hint="eastAsia"/>
          <w:lang w:val="zh-CN" w:bidi="zh-CN"/>
        </w:rPr>
        <w:t>业务；</w:t>
      </w:r>
      <w:r w:rsidR="007E0122" w:rsidRPr="004865EF">
        <w:rPr>
          <w:rFonts w:hint="eastAsia"/>
          <w:lang w:val="zh-CN" w:bidi="zh-CN"/>
        </w:rPr>
        <w:t>2018</w:t>
      </w:r>
      <w:r w:rsidR="007E0122" w:rsidRPr="004865EF">
        <w:rPr>
          <w:rFonts w:hint="eastAsia"/>
          <w:lang w:val="zh-CN" w:bidi="zh-CN"/>
        </w:rPr>
        <w:t>年投放金额较高，主要</w:t>
      </w:r>
      <w:r w:rsidR="00842698" w:rsidRPr="004865EF">
        <w:rPr>
          <w:rFonts w:hint="eastAsia"/>
          <w:lang w:val="zh-CN" w:bidi="zh-CN"/>
        </w:rPr>
        <w:t>因发行人于</w:t>
      </w:r>
      <w:r w:rsidR="00842698" w:rsidRPr="004865EF">
        <w:rPr>
          <w:rFonts w:hint="eastAsia"/>
          <w:lang w:val="zh-CN" w:bidi="zh-CN"/>
        </w:rPr>
        <w:t>2017</w:t>
      </w:r>
      <w:r w:rsidR="00842698" w:rsidRPr="004865EF">
        <w:rPr>
          <w:rFonts w:hint="eastAsia"/>
          <w:lang w:val="zh-CN" w:bidi="zh-CN"/>
        </w:rPr>
        <w:t>年</w:t>
      </w:r>
      <w:r w:rsidR="00842698" w:rsidRPr="004865EF">
        <w:rPr>
          <w:rFonts w:hint="eastAsia"/>
          <w:lang w:val="zh-CN" w:bidi="zh-CN"/>
        </w:rPr>
        <w:t>12</w:t>
      </w:r>
      <w:r w:rsidR="00842698" w:rsidRPr="004865EF">
        <w:rPr>
          <w:rFonts w:hint="eastAsia"/>
          <w:lang w:val="zh-CN" w:bidi="zh-CN"/>
        </w:rPr>
        <w:t>月</w:t>
      </w:r>
      <w:r w:rsidR="008D051F" w:rsidRPr="004865EF">
        <w:rPr>
          <w:rFonts w:hint="eastAsia"/>
          <w:lang w:val="zh-CN" w:bidi="zh-CN"/>
        </w:rPr>
        <w:t>正式</w:t>
      </w:r>
      <w:r w:rsidR="00842698" w:rsidRPr="004865EF">
        <w:rPr>
          <w:lang w:val="zh-CN" w:bidi="zh-CN"/>
        </w:rPr>
        <w:t>取得</w:t>
      </w:r>
      <w:proofErr w:type="gramStart"/>
      <w:r w:rsidR="00842698" w:rsidRPr="004865EF">
        <w:rPr>
          <w:lang w:val="zh-CN" w:bidi="zh-CN"/>
        </w:rPr>
        <w:t>云服务</w:t>
      </w:r>
      <w:proofErr w:type="gramEnd"/>
      <w:r w:rsidR="00842698" w:rsidRPr="004865EF">
        <w:rPr>
          <w:lang w:val="zh-CN" w:bidi="zh-CN"/>
        </w:rPr>
        <w:t>业务经营许可</w:t>
      </w:r>
      <w:r w:rsidR="008D051F" w:rsidRPr="004865EF">
        <w:rPr>
          <w:rFonts w:hint="eastAsia"/>
          <w:lang w:val="zh-CN" w:bidi="zh-CN"/>
        </w:rPr>
        <w:t>后</w:t>
      </w:r>
      <w:r w:rsidR="00842698" w:rsidRPr="004865EF">
        <w:rPr>
          <w:lang w:val="zh-CN" w:bidi="zh-CN"/>
        </w:rPr>
        <w:t>，</w:t>
      </w:r>
      <w:r w:rsidR="008D051F" w:rsidRPr="004865EF">
        <w:rPr>
          <w:rFonts w:hint="eastAsia"/>
          <w:lang w:val="zh-CN" w:bidi="zh-CN"/>
        </w:rPr>
        <w:t>加大了市场营销投入，</w:t>
      </w:r>
      <w:r w:rsidR="00842698" w:rsidRPr="004865EF">
        <w:rPr>
          <w:rFonts w:hint="eastAsia"/>
          <w:lang w:val="zh-CN" w:bidi="zh-CN"/>
        </w:rPr>
        <w:t>在</w:t>
      </w:r>
      <w:r w:rsidR="007E0122" w:rsidRPr="004865EF">
        <w:rPr>
          <w:rFonts w:hint="eastAsia"/>
          <w:lang w:val="zh-CN" w:bidi="zh-CN"/>
        </w:rPr>
        <w:t>国内</w:t>
      </w:r>
      <w:proofErr w:type="gramStart"/>
      <w:r w:rsidR="008D051F" w:rsidRPr="004865EF">
        <w:rPr>
          <w:rFonts w:hint="eastAsia"/>
          <w:lang w:val="zh-CN" w:bidi="zh-CN"/>
        </w:rPr>
        <w:t>云计算</w:t>
      </w:r>
      <w:proofErr w:type="gramEnd"/>
      <w:r w:rsidR="008D051F" w:rsidRPr="004865EF">
        <w:rPr>
          <w:rFonts w:hint="eastAsia"/>
          <w:lang w:val="zh-CN" w:bidi="zh-CN"/>
        </w:rPr>
        <w:t>市场中重点推广布局</w:t>
      </w:r>
      <w:r w:rsidR="00842698" w:rsidRPr="004865EF">
        <w:rPr>
          <w:rFonts w:hint="eastAsia"/>
          <w:lang w:val="zh-CN" w:bidi="zh-CN"/>
        </w:rPr>
        <w:t>，</w:t>
      </w:r>
      <w:r w:rsidR="008D051F" w:rsidRPr="004865EF">
        <w:rPr>
          <w:rFonts w:hint="eastAsia"/>
          <w:lang w:val="zh-CN" w:bidi="zh-CN"/>
        </w:rPr>
        <w:t>提升</w:t>
      </w:r>
      <w:r w:rsidR="008D051F" w:rsidRPr="004865EF">
        <w:rPr>
          <w:rFonts w:hint="eastAsia"/>
          <w:lang w:val="zh-CN" w:bidi="zh-CN"/>
        </w:rPr>
        <w:t>AWS</w:t>
      </w:r>
      <w:proofErr w:type="gramStart"/>
      <w:r w:rsidR="008D051F" w:rsidRPr="004865EF">
        <w:rPr>
          <w:rFonts w:hint="eastAsia"/>
          <w:lang w:val="zh-CN" w:bidi="zh-CN"/>
        </w:rPr>
        <w:t>云计算</w:t>
      </w:r>
      <w:proofErr w:type="gramEnd"/>
      <w:r w:rsidR="008D051F" w:rsidRPr="004865EF">
        <w:rPr>
          <w:rFonts w:hint="eastAsia"/>
          <w:lang w:val="zh-CN" w:bidi="zh-CN"/>
        </w:rPr>
        <w:t>国内市场占有率</w:t>
      </w:r>
      <w:r w:rsidR="007E0122" w:rsidRPr="004865EF">
        <w:rPr>
          <w:rFonts w:hint="eastAsia"/>
          <w:lang w:val="zh-CN" w:bidi="zh-CN"/>
        </w:rPr>
        <w:t>。</w:t>
      </w:r>
    </w:p>
    <w:p w14:paraId="1A83BC1C" w14:textId="7D3A81ED" w:rsidR="00851F9F" w:rsidRPr="004865EF" w:rsidRDefault="007E0122" w:rsidP="00494620">
      <w:pPr>
        <w:pStyle w:val="zhengwen"/>
        <w:rPr>
          <w:lang w:val="zh-CN" w:bidi="zh-CN"/>
        </w:rPr>
      </w:pPr>
      <w:r w:rsidRPr="004865EF">
        <w:rPr>
          <w:rFonts w:hint="eastAsia"/>
          <w:lang w:val="zh-CN" w:bidi="zh-CN"/>
        </w:rPr>
        <w:t>报告期内，无双科技向光环新网分别采购</w:t>
      </w:r>
      <w:r w:rsidRPr="004865EF">
        <w:rPr>
          <w:lang w:val="zh-CN" w:bidi="zh-CN"/>
        </w:rPr>
        <w:t>2,248.08</w:t>
      </w:r>
      <w:r w:rsidRPr="004865EF">
        <w:rPr>
          <w:rFonts w:hint="eastAsia"/>
          <w:lang w:val="zh-CN" w:bidi="zh-CN"/>
        </w:rPr>
        <w:t>万元、</w:t>
      </w:r>
      <w:r w:rsidRPr="004865EF">
        <w:rPr>
          <w:lang w:val="zh-CN" w:bidi="zh-CN"/>
        </w:rPr>
        <w:t>3,068.83</w:t>
      </w:r>
      <w:r w:rsidRPr="004865EF">
        <w:rPr>
          <w:rFonts w:hint="eastAsia"/>
          <w:lang w:val="zh-CN" w:bidi="zh-CN"/>
        </w:rPr>
        <w:t>万元和</w:t>
      </w:r>
      <w:r w:rsidRPr="004865EF">
        <w:rPr>
          <w:lang w:val="zh-CN" w:bidi="zh-CN"/>
        </w:rPr>
        <w:t>46.19</w:t>
      </w:r>
      <w:r w:rsidR="00C45EF2" w:rsidRPr="004865EF">
        <w:rPr>
          <w:rFonts w:hint="eastAsia"/>
          <w:lang w:val="zh-CN" w:bidi="zh-CN"/>
        </w:rPr>
        <w:t>万元，</w:t>
      </w:r>
      <w:r w:rsidRPr="004865EF">
        <w:rPr>
          <w:rFonts w:hint="eastAsia"/>
          <w:lang w:val="zh-CN" w:bidi="zh-CN"/>
        </w:rPr>
        <w:t>主要</w:t>
      </w:r>
      <w:r w:rsidR="00C45EF2" w:rsidRPr="004865EF">
        <w:rPr>
          <w:rFonts w:hint="eastAsia"/>
          <w:lang w:val="zh-CN" w:bidi="zh-CN"/>
        </w:rPr>
        <w:t>是</w:t>
      </w:r>
      <w:r w:rsidRPr="004865EF">
        <w:rPr>
          <w:rFonts w:hint="eastAsia"/>
          <w:lang w:val="zh-CN" w:bidi="zh-CN"/>
        </w:rPr>
        <w:t>无双科技</w:t>
      </w:r>
      <w:r w:rsidR="007266C4" w:rsidRPr="004865EF">
        <w:rPr>
          <w:rFonts w:hint="eastAsia"/>
          <w:lang w:val="zh-CN" w:bidi="zh-CN"/>
        </w:rPr>
        <w:t>在</w:t>
      </w:r>
      <w:r w:rsidR="00C45EF2" w:rsidRPr="004865EF">
        <w:rPr>
          <w:rFonts w:hint="eastAsia"/>
          <w:lang w:val="zh-CN" w:bidi="zh-CN"/>
        </w:rPr>
        <w:t>开发</w:t>
      </w:r>
      <w:r w:rsidR="00C45EF2" w:rsidRPr="004865EF">
        <w:rPr>
          <w:rFonts w:hint="eastAsia"/>
          <w:lang w:val="zh-CN" w:bidi="zh-CN"/>
        </w:rPr>
        <w:t>SAAS</w:t>
      </w:r>
      <w:r w:rsidR="00C45EF2" w:rsidRPr="004865EF">
        <w:rPr>
          <w:rFonts w:hint="eastAsia"/>
          <w:lang w:val="zh-CN" w:bidi="zh-CN"/>
        </w:rPr>
        <w:t>软件平台</w:t>
      </w:r>
      <w:r w:rsidR="007266C4" w:rsidRPr="004865EF">
        <w:rPr>
          <w:rFonts w:hint="eastAsia"/>
          <w:lang w:val="zh-CN" w:bidi="zh-CN"/>
        </w:rPr>
        <w:t>过程中</w:t>
      </w:r>
      <w:r w:rsidR="00C45EF2" w:rsidRPr="004865EF">
        <w:rPr>
          <w:rFonts w:hint="eastAsia"/>
          <w:lang w:val="zh-CN" w:bidi="zh-CN"/>
        </w:rPr>
        <w:t>，需要日常对接媒体资源平台和媒体</w:t>
      </w:r>
      <w:r w:rsidR="00C45EF2" w:rsidRPr="004865EF">
        <w:rPr>
          <w:rFonts w:hint="eastAsia"/>
          <w:lang w:val="zh-CN" w:bidi="zh-CN"/>
        </w:rPr>
        <w:t>API</w:t>
      </w:r>
      <w:r w:rsidR="00C45EF2" w:rsidRPr="004865EF">
        <w:rPr>
          <w:rFonts w:hint="eastAsia"/>
          <w:lang w:val="zh-CN" w:bidi="zh-CN"/>
        </w:rPr>
        <w:t>，采集抓取海量投放明细数据并进行行为分析、处理，同时向客户及运营人员提供平台服务，因此具有较大的数据中心</w:t>
      </w:r>
      <w:r w:rsidR="007266C4" w:rsidRPr="004865EF">
        <w:rPr>
          <w:rFonts w:hint="eastAsia"/>
          <w:lang w:val="zh-CN" w:bidi="zh-CN"/>
        </w:rPr>
        <w:t>服务器和带宽的租用</w:t>
      </w:r>
      <w:r w:rsidR="007266C4" w:rsidRPr="004865EF">
        <w:rPr>
          <w:rFonts w:hint="eastAsia"/>
          <w:lang w:val="zh-CN" w:bidi="zh-CN"/>
        </w:rPr>
        <w:lastRenderedPageBreak/>
        <w:t>需求，因此</w:t>
      </w:r>
      <w:r w:rsidR="00C45EF2" w:rsidRPr="004865EF">
        <w:rPr>
          <w:rFonts w:hint="eastAsia"/>
          <w:lang w:val="zh-CN" w:bidi="zh-CN"/>
        </w:rPr>
        <w:t>向光环新网</w:t>
      </w:r>
      <w:r w:rsidR="007266C4" w:rsidRPr="004865EF">
        <w:rPr>
          <w:rFonts w:hint="eastAsia"/>
          <w:lang w:val="zh-CN" w:bidi="zh-CN"/>
        </w:rPr>
        <w:t>采购</w:t>
      </w:r>
      <w:r w:rsidR="00C45EF2" w:rsidRPr="004865EF">
        <w:rPr>
          <w:rFonts w:hint="eastAsia"/>
          <w:lang w:val="zh-CN" w:bidi="zh-CN"/>
        </w:rPr>
        <w:t>机柜及网络带宽。</w:t>
      </w:r>
    </w:p>
    <w:p w14:paraId="2E232E73" w14:textId="36F4C557" w:rsidR="007266C4" w:rsidRPr="004865EF" w:rsidRDefault="008D051F" w:rsidP="00494620">
      <w:pPr>
        <w:pStyle w:val="zhengwen"/>
        <w:rPr>
          <w:lang w:val="zh-CN" w:bidi="zh-CN"/>
        </w:rPr>
      </w:pPr>
      <w:r w:rsidRPr="004865EF">
        <w:rPr>
          <w:rFonts w:hint="eastAsia"/>
          <w:lang w:val="zh-CN" w:bidi="zh-CN"/>
        </w:rPr>
        <w:t>除销售和采购外，由于</w:t>
      </w:r>
      <w:r w:rsidR="007266C4" w:rsidRPr="004865EF">
        <w:rPr>
          <w:rFonts w:hint="eastAsia"/>
          <w:lang w:val="zh-CN" w:bidi="zh-CN"/>
        </w:rPr>
        <w:t>无双科技</w:t>
      </w:r>
      <w:r w:rsidRPr="004865EF">
        <w:rPr>
          <w:rFonts w:hint="eastAsia"/>
          <w:lang w:val="zh-CN" w:bidi="zh-CN"/>
        </w:rPr>
        <w:t>的</w:t>
      </w:r>
      <w:r w:rsidRPr="004865EF">
        <w:rPr>
          <w:rFonts w:hint="eastAsia"/>
          <w:lang w:val="zh-CN" w:bidi="zh-CN"/>
        </w:rPr>
        <w:t>SAAS</w:t>
      </w:r>
      <w:r w:rsidRPr="004865EF">
        <w:rPr>
          <w:rFonts w:hint="eastAsia"/>
          <w:lang w:val="zh-CN" w:bidi="zh-CN"/>
        </w:rPr>
        <w:t>营销业务</w:t>
      </w:r>
      <w:r w:rsidR="007266C4" w:rsidRPr="004865EF">
        <w:rPr>
          <w:rFonts w:hint="eastAsia"/>
          <w:lang w:val="zh-CN" w:bidi="zh-CN"/>
        </w:rPr>
        <w:t>在报告期内高速增长，扩张速度及市场规模占比均超出原有预测水平，</w:t>
      </w:r>
      <w:r w:rsidR="00A461A8" w:rsidRPr="004865EF">
        <w:rPr>
          <w:rFonts w:hint="eastAsia"/>
          <w:lang w:val="zh-CN" w:bidi="zh-CN"/>
        </w:rPr>
        <w:t>产生了较大</w:t>
      </w:r>
      <w:r w:rsidRPr="004865EF">
        <w:rPr>
          <w:rFonts w:hint="eastAsia"/>
          <w:lang w:val="zh-CN" w:bidi="zh-CN"/>
        </w:rPr>
        <w:t>营运资金需求。发行人为支持全资</w:t>
      </w:r>
      <w:r w:rsidR="00A461A8" w:rsidRPr="004865EF">
        <w:rPr>
          <w:rFonts w:hint="eastAsia"/>
          <w:lang w:val="zh-CN" w:bidi="zh-CN"/>
        </w:rPr>
        <w:t>子公司</w:t>
      </w:r>
      <w:r w:rsidRPr="004865EF">
        <w:rPr>
          <w:rFonts w:hint="eastAsia"/>
          <w:lang w:val="zh-CN" w:bidi="zh-CN"/>
        </w:rPr>
        <w:t>无双科技的</w:t>
      </w:r>
      <w:r w:rsidR="00A461A8" w:rsidRPr="004865EF">
        <w:rPr>
          <w:rFonts w:hint="eastAsia"/>
          <w:lang w:val="zh-CN" w:bidi="zh-CN"/>
        </w:rPr>
        <w:t>业务发展，巩固</w:t>
      </w:r>
      <w:r w:rsidRPr="004865EF">
        <w:rPr>
          <w:rFonts w:hint="eastAsia"/>
          <w:lang w:val="zh-CN" w:bidi="zh-CN"/>
        </w:rPr>
        <w:t>其</w:t>
      </w:r>
      <w:r w:rsidR="00A461A8" w:rsidRPr="004865EF">
        <w:rPr>
          <w:rFonts w:hint="eastAsia"/>
          <w:lang w:val="zh-CN" w:bidi="zh-CN"/>
        </w:rPr>
        <w:t>搜索引擎营销业务国内领先水平，</w:t>
      </w:r>
      <w:r w:rsidRPr="004865EF">
        <w:rPr>
          <w:rFonts w:hint="eastAsia"/>
          <w:lang w:val="zh-CN" w:bidi="zh-CN"/>
        </w:rPr>
        <w:t>在报告期内</w:t>
      </w:r>
      <w:r w:rsidR="00A461A8" w:rsidRPr="004865EF">
        <w:rPr>
          <w:rFonts w:hint="eastAsia"/>
          <w:lang w:val="zh-CN" w:bidi="zh-CN"/>
        </w:rPr>
        <w:t>向</w:t>
      </w:r>
      <w:r w:rsidRPr="004865EF">
        <w:rPr>
          <w:rFonts w:hint="eastAsia"/>
          <w:lang w:val="zh-CN" w:bidi="zh-CN"/>
        </w:rPr>
        <w:t>其</w:t>
      </w:r>
      <w:r w:rsidR="00A461A8" w:rsidRPr="004865EF">
        <w:rPr>
          <w:rFonts w:hint="eastAsia"/>
          <w:lang w:val="zh-CN" w:bidi="zh-CN"/>
        </w:rPr>
        <w:t>提供了</w:t>
      </w:r>
      <w:r w:rsidRPr="004865EF">
        <w:rPr>
          <w:rFonts w:hint="eastAsia"/>
          <w:lang w:val="zh-CN" w:bidi="zh-CN"/>
        </w:rPr>
        <w:t>营运资金</w:t>
      </w:r>
      <w:r w:rsidR="00A461A8" w:rsidRPr="004865EF">
        <w:rPr>
          <w:rFonts w:hint="eastAsia"/>
          <w:lang w:val="zh-CN" w:bidi="zh-CN"/>
        </w:rPr>
        <w:t>支持。</w:t>
      </w:r>
    </w:p>
    <w:p w14:paraId="7C9B2FB2" w14:textId="77777777" w:rsidR="002337EE" w:rsidRPr="004865EF" w:rsidRDefault="002337EE">
      <w:pPr>
        <w:pStyle w:val="zhengwen"/>
        <w:rPr>
          <w:lang w:val="zh-CN" w:bidi="zh-CN"/>
        </w:rPr>
      </w:pPr>
      <w:r w:rsidRPr="004865EF">
        <w:rPr>
          <w:lang w:val="zh-CN" w:bidi="zh-CN"/>
        </w:rPr>
        <w:t>2017</w:t>
      </w:r>
      <w:r w:rsidRPr="004865EF">
        <w:rPr>
          <w:rFonts w:hint="eastAsia"/>
          <w:lang w:val="zh-CN" w:bidi="zh-CN"/>
        </w:rPr>
        <w:t>年，</w:t>
      </w:r>
      <w:r w:rsidR="00287E3B" w:rsidRPr="004865EF">
        <w:rPr>
          <w:rFonts w:hint="eastAsia"/>
          <w:lang w:val="zh-CN" w:bidi="zh-CN"/>
        </w:rPr>
        <w:t>无双科技分别向南京安与吉信息技术有限公司和北京招财旺旺信息技术有限公司提供广告投放业务，销售金额</w:t>
      </w:r>
      <w:r w:rsidRPr="004865EF">
        <w:rPr>
          <w:rFonts w:hint="eastAsia"/>
          <w:lang w:val="zh-CN" w:bidi="zh-CN"/>
        </w:rPr>
        <w:t>为</w:t>
      </w:r>
      <w:r w:rsidR="00287E3B" w:rsidRPr="004865EF">
        <w:rPr>
          <w:lang w:val="zh-CN" w:bidi="zh-CN"/>
        </w:rPr>
        <w:t>28.30</w:t>
      </w:r>
      <w:r w:rsidR="00287E3B" w:rsidRPr="004865EF">
        <w:rPr>
          <w:rFonts w:hint="eastAsia"/>
          <w:lang w:val="zh-CN" w:bidi="zh-CN"/>
        </w:rPr>
        <w:t>万元和</w:t>
      </w:r>
      <w:r w:rsidR="00287E3B" w:rsidRPr="004865EF">
        <w:rPr>
          <w:lang w:val="zh-CN" w:bidi="zh-CN"/>
        </w:rPr>
        <w:t>4.20</w:t>
      </w:r>
      <w:r w:rsidR="00287E3B" w:rsidRPr="004865EF">
        <w:rPr>
          <w:rFonts w:hint="eastAsia"/>
          <w:lang w:val="zh-CN" w:bidi="zh-CN"/>
        </w:rPr>
        <w:t>万元。</w:t>
      </w:r>
    </w:p>
    <w:p w14:paraId="7243AC86" w14:textId="39F224EF" w:rsidR="00287E3B" w:rsidRPr="004865EF" w:rsidRDefault="002337EE">
      <w:pPr>
        <w:pStyle w:val="zhengwen"/>
        <w:rPr>
          <w:lang w:val="zh-CN" w:bidi="zh-CN"/>
        </w:rPr>
      </w:pPr>
      <w:r w:rsidRPr="004865EF">
        <w:rPr>
          <w:lang w:val="zh-CN" w:bidi="zh-CN"/>
        </w:rPr>
        <w:t>2018</w:t>
      </w:r>
      <w:r w:rsidRPr="004865EF">
        <w:rPr>
          <w:rFonts w:hint="eastAsia"/>
          <w:lang w:val="zh-CN" w:bidi="zh-CN"/>
        </w:rPr>
        <w:t>年和</w:t>
      </w:r>
      <w:r w:rsidRPr="004865EF">
        <w:rPr>
          <w:lang w:val="zh-CN" w:bidi="zh-CN"/>
        </w:rPr>
        <w:t>2019</w:t>
      </w:r>
      <w:r w:rsidRPr="004865EF">
        <w:rPr>
          <w:rFonts w:hint="eastAsia"/>
          <w:lang w:val="zh-CN" w:bidi="zh-CN"/>
        </w:rPr>
        <w:t>年</w:t>
      </w:r>
      <w:r w:rsidR="00287E3B" w:rsidRPr="004865EF">
        <w:rPr>
          <w:rFonts w:hint="eastAsia"/>
          <w:lang w:val="zh-CN" w:bidi="zh-CN"/>
        </w:rPr>
        <w:t>，无双科技向光环</w:t>
      </w:r>
      <w:proofErr w:type="gramStart"/>
      <w:r w:rsidR="00287E3B" w:rsidRPr="004865EF">
        <w:rPr>
          <w:rFonts w:hint="eastAsia"/>
          <w:lang w:val="zh-CN" w:bidi="zh-CN"/>
        </w:rPr>
        <w:t>云数据</w:t>
      </w:r>
      <w:proofErr w:type="gramEnd"/>
      <w:r w:rsidR="00287E3B" w:rsidRPr="004865EF">
        <w:rPr>
          <w:rFonts w:hint="eastAsia"/>
          <w:lang w:val="zh-CN" w:bidi="zh-CN"/>
        </w:rPr>
        <w:t>有限公司（以下简称“</w:t>
      </w:r>
      <w:r w:rsidRPr="004865EF">
        <w:rPr>
          <w:rFonts w:hint="eastAsia"/>
          <w:lang w:val="zh-CN" w:bidi="zh-CN"/>
        </w:rPr>
        <w:t>光环</w:t>
      </w:r>
      <w:r w:rsidR="00287E3B" w:rsidRPr="004865EF">
        <w:rPr>
          <w:rFonts w:hint="eastAsia"/>
          <w:lang w:val="zh-CN" w:bidi="zh-CN"/>
        </w:rPr>
        <w:t>云数据）分别销售</w:t>
      </w:r>
      <w:r w:rsidR="00287E3B" w:rsidRPr="004865EF">
        <w:rPr>
          <w:lang w:val="zh-CN" w:bidi="zh-CN"/>
        </w:rPr>
        <w:t>4.72</w:t>
      </w:r>
      <w:r w:rsidR="00287E3B" w:rsidRPr="004865EF">
        <w:rPr>
          <w:rFonts w:hint="eastAsia"/>
          <w:lang w:val="zh-CN" w:bidi="zh-CN"/>
        </w:rPr>
        <w:t>万元和</w:t>
      </w:r>
      <w:r w:rsidR="00287E3B" w:rsidRPr="004865EF">
        <w:rPr>
          <w:lang w:val="zh-CN" w:bidi="zh-CN"/>
        </w:rPr>
        <w:t>8.45</w:t>
      </w:r>
      <w:r w:rsidR="00287E3B" w:rsidRPr="004865EF">
        <w:rPr>
          <w:rFonts w:hint="eastAsia"/>
          <w:lang w:val="zh-CN" w:bidi="zh-CN"/>
        </w:rPr>
        <w:t>万元，主要是</w:t>
      </w:r>
      <w:r w:rsidRPr="004865EF">
        <w:rPr>
          <w:rFonts w:hint="eastAsia"/>
          <w:lang w:val="zh-CN" w:bidi="zh-CN"/>
        </w:rPr>
        <w:t>光环云数据为宣传推广</w:t>
      </w:r>
      <w:r w:rsidRPr="004865EF">
        <w:rPr>
          <w:lang w:val="zh-CN" w:bidi="zh-CN"/>
        </w:rPr>
        <w:t>AWS</w:t>
      </w:r>
      <w:r w:rsidRPr="004865EF">
        <w:rPr>
          <w:rFonts w:hint="eastAsia"/>
          <w:lang w:val="zh-CN" w:bidi="zh-CN"/>
        </w:rPr>
        <w:t>相关</w:t>
      </w:r>
      <w:r w:rsidR="00287E3B" w:rsidRPr="004865EF">
        <w:rPr>
          <w:rFonts w:hint="eastAsia"/>
          <w:lang w:val="zh-CN" w:bidi="zh-CN"/>
        </w:rPr>
        <w:t>业务，通过无双科技在百度上购买搜索广告资源。</w:t>
      </w:r>
    </w:p>
    <w:p w14:paraId="289753AA" w14:textId="0A062C76" w:rsidR="00A367FB" w:rsidRPr="004865EF" w:rsidRDefault="00A461A8" w:rsidP="00494620">
      <w:pPr>
        <w:pStyle w:val="zhengwen"/>
        <w:rPr>
          <w:bCs/>
          <w:lang w:val="zh-CN" w:bidi="zh-CN"/>
        </w:rPr>
      </w:pPr>
      <w:r w:rsidRPr="004865EF">
        <w:rPr>
          <w:rFonts w:hint="eastAsia"/>
          <w:lang w:val="zh-CN" w:bidi="zh-CN"/>
        </w:rPr>
        <w:t>无双科技与上述</w:t>
      </w:r>
      <w:r w:rsidR="002337EE" w:rsidRPr="004865EF">
        <w:rPr>
          <w:rFonts w:hint="eastAsia"/>
          <w:lang w:val="zh-CN" w:bidi="zh-CN"/>
        </w:rPr>
        <w:t>关联</w:t>
      </w:r>
      <w:proofErr w:type="gramStart"/>
      <w:r w:rsidR="002337EE" w:rsidRPr="004865EF">
        <w:rPr>
          <w:rFonts w:hint="eastAsia"/>
          <w:lang w:val="zh-CN" w:bidi="zh-CN"/>
        </w:rPr>
        <w:t>方</w:t>
      </w:r>
      <w:r w:rsidRPr="004865EF">
        <w:rPr>
          <w:rFonts w:hint="eastAsia"/>
          <w:lang w:val="zh-CN" w:bidi="zh-CN"/>
        </w:rPr>
        <w:t>业务</w:t>
      </w:r>
      <w:proofErr w:type="gramEnd"/>
      <w:r w:rsidR="008D051F" w:rsidRPr="004865EF">
        <w:rPr>
          <w:rFonts w:hint="eastAsia"/>
          <w:lang w:val="zh-CN" w:bidi="zh-CN"/>
        </w:rPr>
        <w:t>均具有商业合理性和必要性</w:t>
      </w:r>
      <w:r w:rsidRPr="004865EF">
        <w:rPr>
          <w:rFonts w:hint="eastAsia"/>
          <w:lang w:val="zh-CN" w:bidi="zh-CN"/>
        </w:rPr>
        <w:t>，</w:t>
      </w:r>
      <w:r w:rsidR="008D051F" w:rsidRPr="004865EF">
        <w:rPr>
          <w:rFonts w:hint="eastAsia"/>
          <w:lang w:val="zh-CN" w:bidi="zh-CN"/>
        </w:rPr>
        <w:t>销售和采购定价均参照同类型业务</w:t>
      </w:r>
      <w:r w:rsidRPr="004865EF">
        <w:rPr>
          <w:rFonts w:hint="eastAsia"/>
          <w:lang w:val="zh-CN" w:bidi="zh-CN"/>
        </w:rPr>
        <w:t>第三方</w:t>
      </w:r>
      <w:r w:rsidR="008D051F" w:rsidRPr="004865EF">
        <w:rPr>
          <w:rFonts w:hint="eastAsia"/>
          <w:lang w:val="zh-CN" w:bidi="zh-CN"/>
        </w:rPr>
        <w:t>售价确定，</w:t>
      </w:r>
      <w:r w:rsidRPr="004865EF">
        <w:rPr>
          <w:rFonts w:hint="eastAsia"/>
          <w:lang w:val="zh-CN" w:bidi="zh-CN"/>
        </w:rPr>
        <w:t>销售和采购业务净额体现为对无双科技利润的减少，未形成对子公司的业绩支持</w:t>
      </w:r>
      <w:r w:rsidR="001F7C40" w:rsidRPr="004865EF">
        <w:rPr>
          <w:rFonts w:hint="eastAsia"/>
          <w:lang w:val="zh-CN" w:bidi="zh-CN"/>
        </w:rPr>
        <w:t>。因此，</w:t>
      </w:r>
      <w:r w:rsidR="00A367FB" w:rsidRPr="004865EF">
        <w:rPr>
          <w:rFonts w:hint="eastAsia"/>
          <w:bCs/>
          <w:lang w:val="zh-CN" w:bidi="zh-CN"/>
        </w:rPr>
        <w:t>不存在向无双科技业务倾斜、通过显失公允的关联交易或者由关联方承担成本、费用等方式提升并购标的业绩的情形。</w:t>
      </w:r>
    </w:p>
    <w:p w14:paraId="25D6A89B" w14:textId="29E45BDF" w:rsidR="00861548" w:rsidRPr="004865EF" w:rsidRDefault="00861548" w:rsidP="00A66425">
      <w:pPr>
        <w:pStyle w:val="zhengwen"/>
        <w:ind w:firstLine="482"/>
        <w:rPr>
          <w:b/>
        </w:rPr>
      </w:pPr>
      <w:r w:rsidRPr="004865EF">
        <w:rPr>
          <w:rFonts w:hint="eastAsia"/>
          <w:b/>
        </w:rPr>
        <w:t>（三）</w:t>
      </w:r>
      <w:r w:rsidRPr="004865EF">
        <w:rPr>
          <w:b/>
        </w:rPr>
        <w:t>2017</w:t>
      </w:r>
      <w:r w:rsidRPr="004865EF">
        <w:rPr>
          <w:rFonts w:hint="eastAsia"/>
          <w:b/>
        </w:rPr>
        <w:t>年</w:t>
      </w:r>
      <w:r w:rsidRPr="004865EF">
        <w:rPr>
          <w:b/>
        </w:rPr>
        <w:t>-2019</w:t>
      </w:r>
      <w:r w:rsidRPr="004865EF">
        <w:rPr>
          <w:rFonts w:hint="eastAsia"/>
          <w:b/>
        </w:rPr>
        <w:t>年科</w:t>
      </w:r>
      <w:proofErr w:type="gramStart"/>
      <w:r w:rsidRPr="004865EF">
        <w:rPr>
          <w:rFonts w:hint="eastAsia"/>
          <w:b/>
        </w:rPr>
        <w:t>信盛彩</w:t>
      </w:r>
      <w:proofErr w:type="gramEnd"/>
      <w:r w:rsidRPr="004865EF">
        <w:rPr>
          <w:rFonts w:hint="eastAsia"/>
          <w:b/>
        </w:rPr>
        <w:t>与光环新网</w:t>
      </w:r>
      <w:r w:rsidR="002337EE" w:rsidRPr="004865EF">
        <w:rPr>
          <w:rFonts w:ascii="Arial Narrow" w:hAnsi="Arial Narrow"/>
          <w:b/>
        </w:rPr>
        <w:t>及其他</w:t>
      </w:r>
      <w:r w:rsidR="002337EE" w:rsidRPr="004865EF">
        <w:rPr>
          <w:rFonts w:ascii="Arial Narrow" w:hAnsi="Arial Narrow" w:hint="eastAsia"/>
          <w:b/>
        </w:rPr>
        <w:t>关联方之间的</w:t>
      </w:r>
      <w:r w:rsidR="002337EE" w:rsidRPr="004865EF">
        <w:rPr>
          <w:rFonts w:ascii="Arial Narrow" w:hAnsi="Arial Narrow"/>
          <w:b/>
        </w:rPr>
        <w:t>交易情况</w:t>
      </w:r>
    </w:p>
    <w:p w14:paraId="370F104F" w14:textId="77777777" w:rsidR="00861548" w:rsidRPr="004865EF" w:rsidRDefault="00861548">
      <w:pPr>
        <w:pStyle w:val="zhengwen"/>
        <w:rPr>
          <w:lang w:val="zh-CN" w:bidi="zh-CN"/>
        </w:rPr>
      </w:pPr>
      <w:r w:rsidRPr="004865EF">
        <w:rPr>
          <w:lang w:val="zh-CN" w:bidi="zh-CN"/>
        </w:rPr>
        <w:t>1</w:t>
      </w:r>
      <w:r w:rsidRPr="004865EF">
        <w:rPr>
          <w:lang w:val="zh-CN" w:bidi="zh-CN"/>
        </w:rPr>
        <w:t>、内部交易金额</w:t>
      </w:r>
    </w:p>
    <w:p w14:paraId="57F183E9" w14:textId="77777777" w:rsidR="00861548" w:rsidRPr="004865EF" w:rsidRDefault="00861548" w:rsidP="008B3891">
      <w:pPr>
        <w:pStyle w:val="danwei"/>
      </w:pPr>
      <w:r w:rsidRPr="004865EF">
        <w:t>单位：万元</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31"/>
        <w:gridCol w:w="1542"/>
        <w:gridCol w:w="1542"/>
        <w:gridCol w:w="1541"/>
      </w:tblGrid>
      <w:tr w:rsidR="004865EF" w:rsidRPr="004865EF" w14:paraId="441B0F8D" w14:textId="77777777" w:rsidTr="002337EE">
        <w:trPr>
          <w:jc w:val="center"/>
        </w:trPr>
        <w:tc>
          <w:tcPr>
            <w:tcW w:w="22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75E59FC" w14:textId="77777777" w:rsidR="00861548" w:rsidRPr="004865EF" w:rsidRDefault="00861548" w:rsidP="00861548">
            <w:pPr>
              <w:widowControl/>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项目</w:t>
            </w:r>
          </w:p>
        </w:tc>
        <w:tc>
          <w:tcPr>
            <w:tcW w:w="912" w:type="pct"/>
            <w:tcBorders>
              <w:top w:val="outset" w:sz="6" w:space="0" w:color="auto"/>
              <w:left w:val="outset" w:sz="6" w:space="0" w:color="auto"/>
              <w:bottom w:val="outset" w:sz="6" w:space="0" w:color="auto"/>
              <w:right w:val="outset" w:sz="6" w:space="0" w:color="auto"/>
            </w:tcBorders>
            <w:shd w:val="clear" w:color="auto" w:fill="FFFFFF"/>
          </w:tcPr>
          <w:p w14:paraId="29AEF84F" w14:textId="77777777" w:rsidR="00861548" w:rsidRPr="004865EF" w:rsidRDefault="00861548" w:rsidP="00861548">
            <w:pPr>
              <w:widowControl/>
              <w:wordWrap w:val="0"/>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2017</w:t>
            </w:r>
            <w:r w:rsidRPr="004865EF">
              <w:rPr>
                <w:rFonts w:ascii="Times New Roman" w:eastAsia="宋体" w:hAnsi="Times New Roman" w:cs="Times New Roman"/>
                <w:b/>
                <w:bCs/>
                <w:kern w:val="0"/>
                <w:szCs w:val="21"/>
              </w:rPr>
              <w:t>年度</w:t>
            </w:r>
          </w:p>
        </w:tc>
        <w:tc>
          <w:tcPr>
            <w:tcW w:w="9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878A76C" w14:textId="77777777" w:rsidR="00861548" w:rsidRPr="004865EF" w:rsidRDefault="00861548" w:rsidP="00861548">
            <w:pPr>
              <w:widowControl/>
              <w:wordWrap w:val="0"/>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2018</w:t>
            </w:r>
            <w:r w:rsidRPr="004865EF">
              <w:rPr>
                <w:rFonts w:ascii="Times New Roman" w:eastAsia="宋体" w:hAnsi="Times New Roman" w:cs="Times New Roman"/>
                <w:b/>
                <w:bCs/>
                <w:kern w:val="0"/>
                <w:szCs w:val="21"/>
              </w:rPr>
              <w:t>年度</w:t>
            </w:r>
          </w:p>
        </w:tc>
        <w:tc>
          <w:tcPr>
            <w:tcW w:w="91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7BBA0F8" w14:textId="77777777" w:rsidR="00861548" w:rsidRPr="004865EF" w:rsidRDefault="00861548" w:rsidP="00861548">
            <w:pPr>
              <w:widowControl/>
              <w:wordWrap w:val="0"/>
              <w:jc w:val="center"/>
              <w:rPr>
                <w:rFonts w:ascii="Times New Roman" w:eastAsia="宋体" w:hAnsi="Times New Roman" w:cs="Times New Roman"/>
                <w:b/>
                <w:bCs/>
                <w:kern w:val="0"/>
                <w:szCs w:val="21"/>
              </w:rPr>
            </w:pPr>
            <w:r w:rsidRPr="004865EF">
              <w:rPr>
                <w:rFonts w:ascii="Times New Roman" w:eastAsia="宋体" w:hAnsi="Times New Roman" w:cs="Times New Roman"/>
                <w:b/>
                <w:bCs/>
                <w:kern w:val="0"/>
                <w:szCs w:val="21"/>
              </w:rPr>
              <w:t>2019</w:t>
            </w:r>
            <w:r w:rsidRPr="004865EF">
              <w:rPr>
                <w:rFonts w:ascii="Times New Roman" w:eastAsia="宋体" w:hAnsi="Times New Roman" w:cs="Times New Roman"/>
                <w:b/>
                <w:bCs/>
                <w:kern w:val="0"/>
                <w:szCs w:val="21"/>
              </w:rPr>
              <w:t>年度</w:t>
            </w:r>
          </w:p>
        </w:tc>
      </w:tr>
      <w:tr w:rsidR="004865EF" w:rsidRPr="004865EF" w14:paraId="4C5AF45D" w14:textId="77777777" w:rsidTr="00675378">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E8195C0" w14:textId="529C19AC" w:rsidR="002337EE" w:rsidRPr="004865EF" w:rsidRDefault="002337EE" w:rsidP="00675378">
            <w:pPr>
              <w:widowControl/>
              <w:wordWrap w:val="0"/>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关联方：北京光环新网科技股份有限公司</w:t>
            </w:r>
          </w:p>
        </w:tc>
      </w:tr>
      <w:tr w:rsidR="004865EF" w:rsidRPr="004865EF" w14:paraId="07AAA6B8" w14:textId="77777777" w:rsidTr="002337EE">
        <w:trPr>
          <w:jc w:val="center"/>
        </w:trPr>
        <w:tc>
          <w:tcPr>
            <w:tcW w:w="22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D307CAC" w14:textId="77777777" w:rsidR="00861548" w:rsidRPr="004865EF" w:rsidRDefault="00861548" w:rsidP="00861548">
            <w:pPr>
              <w:widowControl/>
              <w:jc w:val="lef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销售金额</w:t>
            </w:r>
          </w:p>
        </w:tc>
        <w:tc>
          <w:tcPr>
            <w:tcW w:w="912" w:type="pct"/>
            <w:tcBorders>
              <w:top w:val="outset" w:sz="6" w:space="0" w:color="auto"/>
              <w:left w:val="outset" w:sz="6" w:space="0" w:color="auto"/>
              <w:bottom w:val="outset" w:sz="6" w:space="0" w:color="auto"/>
              <w:right w:val="outset" w:sz="6" w:space="0" w:color="auto"/>
            </w:tcBorders>
            <w:shd w:val="clear" w:color="auto" w:fill="FFFFFF"/>
          </w:tcPr>
          <w:p w14:paraId="282BB444" w14:textId="77777777" w:rsidR="00861548" w:rsidRPr="004865EF" w:rsidRDefault="00861548" w:rsidP="00861548">
            <w:pPr>
              <w:widowControl/>
              <w:wordWrap w:val="0"/>
              <w:ind w:right="110"/>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5,359.10</w:t>
            </w:r>
          </w:p>
        </w:tc>
        <w:tc>
          <w:tcPr>
            <w:tcW w:w="9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FAF701E" w14:textId="638611EB" w:rsidR="00861548" w:rsidRPr="004865EF" w:rsidRDefault="00861548" w:rsidP="00861548">
            <w:pPr>
              <w:widowControl/>
              <w:wordWrap w:val="0"/>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18</w:t>
            </w:r>
            <w:r w:rsidR="008E71EE" w:rsidRPr="004865EF">
              <w:rPr>
                <w:rFonts w:ascii="Times New Roman" w:eastAsia="宋体" w:hAnsi="Times New Roman" w:cs="Times New Roman"/>
                <w:bCs/>
                <w:kern w:val="0"/>
                <w:szCs w:val="21"/>
              </w:rPr>
              <w:t>,</w:t>
            </w:r>
            <w:r w:rsidRPr="004865EF">
              <w:rPr>
                <w:rFonts w:ascii="Times New Roman" w:eastAsia="宋体" w:hAnsi="Times New Roman" w:cs="Times New Roman"/>
                <w:bCs/>
                <w:kern w:val="0"/>
                <w:szCs w:val="21"/>
              </w:rPr>
              <w:t>069.49</w:t>
            </w:r>
          </w:p>
        </w:tc>
        <w:tc>
          <w:tcPr>
            <w:tcW w:w="91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86CF973" w14:textId="77777777" w:rsidR="00861548" w:rsidRPr="004865EF" w:rsidRDefault="00861548" w:rsidP="00861548">
            <w:pPr>
              <w:widowControl/>
              <w:wordWrap w:val="0"/>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20,329.69</w:t>
            </w:r>
          </w:p>
        </w:tc>
      </w:tr>
      <w:tr w:rsidR="004865EF" w:rsidRPr="004865EF" w14:paraId="247C01EF" w14:textId="77777777" w:rsidTr="002337EE">
        <w:trPr>
          <w:jc w:val="center"/>
        </w:trPr>
        <w:tc>
          <w:tcPr>
            <w:tcW w:w="22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8CA90B9" w14:textId="77777777" w:rsidR="00861548" w:rsidRPr="004865EF" w:rsidRDefault="00861548" w:rsidP="00861548">
            <w:pPr>
              <w:widowControl/>
              <w:jc w:val="lef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采购金额</w:t>
            </w:r>
          </w:p>
        </w:tc>
        <w:tc>
          <w:tcPr>
            <w:tcW w:w="912" w:type="pct"/>
            <w:tcBorders>
              <w:top w:val="outset" w:sz="6" w:space="0" w:color="auto"/>
              <w:left w:val="outset" w:sz="6" w:space="0" w:color="auto"/>
              <w:bottom w:val="outset" w:sz="6" w:space="0" w:color="auto"/>
              <w:right w:val="outset" w:sz="6" w:space="0" w:color="auto"/>
            </w:tcBorders>
            <w:shd w:val="clear" w:color="auto" w:fill="FFFFFF"/>
          </w:tcPr>
          <w:p w14:paraId="4E1EE5AB" w14:textId="77777777" w:rsidR="00861548" w:rsidRPr="004865EF" w:rsidRDefault="00861548" w:rsidP="00861548">
            <w:pPr>
              <w:widowControl/>
              <w:ind w:right="110"/>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324.59</w:t>
            </w:r>
          </w:p>
        </w:tc>
        <w:tc>
          <w:tcPr>
            <w:tcW w:w="9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25DB082" w14:textId="77777777" w:rsidR="00861548" w:rsidRPr="004865EF" w:rsidRDefault="00861548" w:rsidP="00861548">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818.55</w:t>
            </w:r>
          </w:p>
        </w:tc>
        <w:tc>
          <w:tcPr>
            <w:tcW w:w="91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F492778" w14:textId="77777777" w:rsidR="00861548" w:rsidRPr="004865EF" w:rsidRDefault="00861548" w:rsidP="00861548">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589.48</w:t>
            </w:r>
          </w:p>
        </w:tc>
      </w:tr>
      <w:tr w:rsidR="004865EF" w:rsidRPr="004865EF" w14:paraId="56E919E5" w14:textId="77777777" w:rsidTr="002337EE">
        <w:trPr>
          <w:jc w:val="center"/>
        </w:trPr>
        <w:tc>
          <w:tcPr>
            <w:tcW w:w="22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462F169" w14:textId="77777777" w:rsidR="00861548" w:rsidRPr="004865EF" w:rsidRDefault="00861548" w:rsidP="00861548">
            <w:pPr>
              <w:widowControl/>
              <w:jc w:val="lef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其他交易金额（关联担保）</w:t>
            </w:r>
          </w:p>
        </w:tc>
        <w:tc>
          <w:tcPr>
            <w:tcW w:w="912" w:type="pct"/>
            <w:tcBorders>
              <w:top w:val="outset" w:sz="6" w:space="0" w:color="auto"/>
              <w:left w:val="outset" w:sz="6" w:space="0" w:color="auto"/>
              <w:bottom w:val="outset" w:sz="6" w:space="0" w:color="auto"/>
              <w:right w:val="outset" w:sz="6" w:space="0" w:color="auto"/>
            </w:tcBorders>
            <w:shd w:val="clear" w:color="auto" w:fill="FFFFFF"/>
          </w:tcPr>
          <w:p w14:paraId="22D41CD7" w14:textId="7EA9F870" w:rsidR="00861548" w:rsidRPr="004865EF" w:rsidRDefault="00833BB7" w:rsidP="00861548">
            <w:pPr>
              <w:widowControl/>
              <w:ind w:right="110"/>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w:t>
            </w:r>
          </w:p>
        </w:tc>
        <w:tc>
          <w:tcPr>
            <w:tcW w:w="9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E6339D3" w14:textId="77777777" w:rsidR="00861548" w:rsidRPr="004865EF" w:rsidRDefault="00861548" w:rsidP="00861548">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62,000.00</w:t>
            </w:r>
          </w:p>
        </w:tc>
        <w:tc>
          <w:tcPr>
            <w:tcW w:w="91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FAE25B2" w14:textId="77777777" w:rsidR="00861548" w:rsidRPr="004865EF" w:rsidRDefault="00861548" w:rsidP="00861548">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62,000.00</w:t>
            </w:r>
          </w:p>
        </w:tc>
      </w:tr>
      <w:tr w:rsidR="004865EF" w:rsidRPr="004865EF" w14:paraId="38A2927B" w14:textId="77777777" w:rsidTr="002337EE">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BF6DDAA" w14:textId="06B268C7" w:rsidR="002337EE" w:rsidRPr="004865EF" w:rsidRDefault="002337EE" w:rsidP="00675378">
            <w:pPr>
              <w:widowControl/>
              <w:jc w:val="left"/>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关联方：北京首信圆方机电设备有限公司（关联关系：</w:t>
            </w:r>
            <w:r w:rsidR="00D86693" w:rsidRPr="004865EF">
              <w:rPr>
                <w:rFonts w:ascii="Times New Roman" w:eastAsia="宋体" w:hAnsi="Times New Roman" w:cs="Times New Roman" w:hint="eastAsia"/>
                <w:b/>
                <w:bCs/>
                <w:kern w:val="0"/>
                <w:szCs w:val="21"/>
              </w:rPr>
              <w:t>子公司关键管理人员控制的企业</w:t>
            </w:r>
            <w:r w:rsidRPr="004865EF">
              <w:rPr>
                <w:rFonts w:ascii="Times New Roman" w:eastAsia="宋体" w:hAnsi="Times New Roman" w:cs="Times New Roman" w:hint="eastAsia"/>
                <w:b/>
                <w:bCs/>
                <w:kern w:val="0"/>
                <w:szCs w:val="21"/>
              </w:rPr>
              <w:t>）</w:t>
            </w:r>
          </w:p>
        </w:tc>
      </w:tr>
      <w:tr w:rsidR="004865EF" w:rsidRPr="004865EF" w14:paraId="4F530A7D" w14:textId="77777777" w:rsidTr="00675378">
        <w:trPr>
          <w:jc w:val="center"/>
        </w:trPr>
        <w:tc>
          <w:tcPr>
            <w:tcW w:w="22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584B268" w14:textId="370E7186" w:rsidR="002337EE" w:rsidRPr="004865EF" w:rsidRDefault="002337EE" w:rsidP="00861548">
            <w:pPr>
              <w:widowControl/>
              <w:jc w:val="left"/>
              <w:rPr>
                <w:rFonts w:ascii="Times New Roman" w:eastAsia="宋体" w:hAnsi="Times New Roman" w:cs="Times New Roman"/>
                <w:bCs/>
                <w:kern w:val="0"/>
                <w:szCs w:val="21"/>
              </w:rPr>
            </w:pPr>
            <w:r w:rsidRPr="004865EF">
              <w:rPr>
                <w:rFonts w:ascii="Times New Roman" w:eastAsia="宋体" w:hAnsi="Times New Roman" w:cs="Times New Roman" w:hint="eastAsia"/>
                <w:bCs/>
                <w:kern w:val="0"/>
                <w:szCs w:val="21"/>
              </w:rPr>
              <w:t>采购金额</w:t>
            </w:r>
          </w:p>
        </w:tc>
        <w:tc>
          <w:tcPr>
            <w:tcW w:w="912" w:type="pct"/>
            <w:tcBorders>
              <w:top w:val="outset" w:sz="6" w:space="0" w:color="auto"/>
              <w:left w:val="outset" w:sz="6" w:space="0" w:color="auto"/>
              <w:bottom w:val="outset" w:sz="6" w:space="0" w:color="auto"/>
              <w:right w:val="outset" w:sz="6" w:space="0" w:color="auto"/>
            </w:tcBorders>
            <w:shd w:val="clear" w:color="auto" w:fill="FFFFFF"/>
            <w:vAlign w:val="center"/>
          </w:tcPr>
          <w:p w14:paraId="3EBD2203" w14:textId="17333BD6" w:rsidR="002337EE" w:rsidRPr="004865EF" w:rsidRDefault="002337EE" w:rsidP="00675378">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1,021.04</w:t>
            </w:r>
          </w:p>
        </w:tc>
        <w:tc>
          <w:tcPr>
            <w:tcW w:w="9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8CEABF2" w14:textId="5252DDE9" w:rsidR="002337EE" w:rsidRPr="004865EF" w:rsidRDefault="002337EE">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w:t>
            </w:r>
          </w:p>
        </w:tc>
        <w:tc>
          <w:tcPr>
            <w:tcW w:w="91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BA76178" w14:textId="46B8B4FC" w:rsidR="002337EE" w:rsidRPr="004865EF" w:rsidRDefault="002337EE">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797.88</w:t>
            </w:r>
          </w:p>
        </w:tc>
      </w:tr>
      <w:tr w:rsidR="004865EF" w:rsidRPr="004865EF" w14:paraId="7F9D90C6" w14:textId="77777777" w:rsidTr="0008265D">
        <w:trPr>
          <w:jc w:val="center"/>
        </w:trPr>
        <w:tc>
          <w:tcPr>
            <w:tcW w:w="1" w:type="pct"/>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11C23FE" w14:textId="4553810D" w:rsidR="002337EE" w:rsidRPr="004865EF" w:rsidRDefault="002337EE" w:rsidP="00675378">
            <w:pPr>
              <w:widowControl/>
              <w:jc w:val="left"/>
              <w:rPr>
                <w:rFonts w:ascii="Times New Roman" w:eastAsia="宋体" w:hAnsi="Times New Roman" w:cs="Times New Roman"/>
                <w:b/>
                <w:bCs/>
                <w:kern w:val="0"/>
                <w:szCs w:val="21"/>
              </w:rPr>
            </w:pPr>
            <w:r w:rsidRPr="004865EF">
              <w:rPr>
                <w:rFonts w:ascii="Times New Roman" w:eastAsia="宋体" w:hAnsi="Times New Roman" w:cs="Times New Roman" w:hint="eastAsia"/>
                <w:b/>
                <w:bCs/>
                <w:kern w:val="0"/>
                <w:szCs w:val="21"/>
              </w:rPr>
              <w:t>关联方：北京德信致远科技有限公司（关联关系：光环新网全资子公司）</w:t>
            </w:r>
          </w:p>
        </w:tc>
      </w:tr>
      <w:tr w:rsidR="004865EF" w:rsidRPr="004865EF" w14:paraId="0D68017A" w14:textId="77777777" w:rsidTr="00675378">
        <w:trPr>
          <w:jc w:val="center"/>
        </w:trPr>
        <w:tc>
          <w:tcPr>
            <w:tcW w:w="22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AD596CA" w14:textId="26CE4D6E" w:rsidR="002337EE" w:rsidRPr="004865EF" w:rsidRDefault="002337EE" w:rsidP="00861548">
            <w:pPr>
              <w:widowControl/>
              <w:jc w:val="left"/>
              <w:rPr>
                <w:rFonts w:ascii="Times New Roman" w:eastAsia="宋体" w:hAnsi="Times New Roman" w:cs="Times New Roman"/>
                <w:bCs/>
                <w:kern w:val="0"/>
                <w:szCs w:val="21"/>
              </w:rPr>
            </w:pPr>
            <w:r w:rsidRPr="004865EF">
              <w:rPr>
                <w:rFonts w:ascii="Times New Roman" w:eastAsia="宋体" w:hAnsi="Times New Roman" w:cs="Times New Roman" w:hint="eastAsia"/>
                <w:bCs/>
                <w:kern w:val="0"/>
                <w:szCs w:val="21"/>
              </w:rPr>
              <w:t>销售金额</w:t>
            </w:r>
          </w:p>
        </w:tc>
        <w:tc>
          <w:tcPr>
            <w:tcW w:w="912" w:type="pct"/>
            <w:tcBorders>
              <w:top w:val="outset" w:sz="6" w:space="0" w:color="auto"/>
              <w:left w:val="outset" w:sz="6" w:space="0" w:color="auto"/>
              <w:bottom w:val="outset" w:sz="6" w:space="0" w:color="auto"/>
              <w:right w:val="outset" w:sz="6" w:space="0" w:color="auto"/>
            </w:tcBorders>
            <w:shd w:val="clear" w:color="auto" w:fill="FFFFFF"/>
            <w:vAlign w:val="center"/>
          </w:tcPr>
          <w:p w14:paraId="4F06A191" w14:textId="4CF73209" w:rsidR="002337EE" w:rsidRPr="004865EF" w:rsidRDefault="002337EE" w:rsidP="00675378">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w:t>
            </w:r>
          </w:p>
        </w:tc>
        <w:tc>
          <w:tcPr>
            <w:tcW w:w="9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C711DE1" w14:textId="7F75D5AE" w:rsidR="002337EE" w:rsidRPr="004865EF" w:rsidRDefault="002337EE">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w:t>
            </w:r>
          </w:p>
        </w:tc>
        <w:tc>
          <w:tcPr>
            <w:tcW w:w="91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A94114A" w14:textId="3F2B579B" w:rsidR="002337EE" w:rsidRPr="004865EF" w:rsidRDefault="002337EE">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27.25</w:t>
            </w:r>
          </w:p>
        </w:tc>
      </w:tr>
      <w:tr w:rsidR="004865EF" w:rsidRPr="004865EF" w14:paraId="79D0D2C8" w14:textId="77777777" w:rsidTr="00675378">
        <w:trPr>
          <w:jc w:val="center"/>
        </w:trPr>
        <w:tc>
          <w:tcPr>
            <w:tcW w:w="22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C77BD26" w14:textId="173238E8" w:rsidR="002337EE" w:rsidRPr="004865EF" w:rsidRDefault="002337EE" w:rsidP="00861548">
            <w:pPr>
              <w:widowControl/>
              <w:jc w:val="left"/>
              <w:rPr>
                <w:rFonts w:ascii="Times New Roman" w:eastAsia="宋体" w:hAnsi="Times New Roman" w:cs="Times New Roman"/>
                <w:bCs/>
                <w:kern w:val="0"/>
                <w:szCs w:val="21"/>
              </w:rPr>
            </w:pPr>
            <w:r w:rsidRPr="004865EF">
              <w:rPr>
                <w:rFonts w:ascii="Times New Roman" w:eastAsia="宋体" w:hAnsi="Times New Roman" w:cs="Times New Roman" w:hint="eastAsia"/>
                <w:bCs/>
                <w:kern w:val="0"/>
                <w:szCs w:val="21"/>
              </w:rPr>
              <w:t>采购金额</w:t>
            </w:r>
          </w:p>
        </w:tc>
        <w:tc>
          <w:tcPr>
            <w:tcW w:w="912" w:type="pct"/>
            <w:tcBorders>
              <w:top w:val="outset" w:sz="6" w:space="0" w:color="auto"/>
              <w:left w:val="outset" w:sz="6" w:space="0" w:color="auto"/>
              <w:bottom w:val="outset" w:sz="6" w:space="0" w:color="auto"/>
              <w:right w:val="outset" w:sz="6" w:space="0" w:color="auto"/>
            </w:tcBorders>
            <w:shd w:val="clear" w:color="auto" w:fill="FFFFFF"/>
            <w:vAlign w:val="center"/>
          </w:tcPr>
          <w:p w14:paraId="78A031B8" w14:textId="6E59F0BE" w:rsidR="002337EE" w:rsidRPr="004865EF" w:rsidRDefault="002337EE" w:rsidP="00675378">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w:t>
            </w:r>
          </w:p>
        </w:tc>
        <w:tc>
          <w:tcPr>
            <w:tcW w:w="912"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4A054A8" w14:textId="6854B1B4" w:rsidR="002337EE" w:rsidRPr="004865EF" w:rsidRDefault="002337EE">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w:t>
            </w:r>
          </w:p>
        </w:tc>
        <w:tc>
          <w:tcPr>
            <w:tcW w:w="91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5DC91C4" w14:textId="663B78DD" w:rsidR="002337EE" w:rsidRPr="004865EF" w:rsidRDefault="002337EE">
            <w:pPr>
              <w:widowControl/>
              <w:jc w:val="right"/>
              <w:rPr>
                <w:rFonts w:ascii="Times New Roman" w:eastAsia="宋体" w:hAnsi="Times New Roman" w:cs="Times New Roman"/>
                <w:bCs/>
                <w:kern w:val="0"/>
                <w:szCs w:val="21"/>
              </w:rPr>
            </w:pPr>
            <w:r w:rsidRPr="004865EF">
              <w:rPr>
                <w:rFonts w:ascii="Times New Roman" w:eastAsia="宋体" w:hAnsi="Times New Roman" w:cs="Times New Roman"/>
                <w:bCs/>
                <w:kern w:val="0"/>
                <w:szCs w:val="21"/>
              </w:rPr>
              <w:t>78.16</w:t>
            </w:r>
          </w:p>
        </w:tc>
      </w:tr>
    </w:tbl>
    <w:p w14:paraId="47934653" w14:textId="77777777" w:rsidR="00861548" w:rsidRPr="004865EF" w:rsidRDefault="00861548">
      <w:pPr>
        <w:pStyle w:val="zhengwen"/>
        <w:rPr>
          <w:lang w:val="zh-CN" w:bidi="zh-CN"/>
        </w:rPr>
      </w:pPr>
      <w:r w:rsidRPr="004865EF">
        <w:rPr>
          <w:lang w:val="zh-CN" w:bidi="zh-CN"/>
        </w:rPr>
        <w:t>2</w:t>
      </w:r>
      <w:r w:rsidRPr="004865EF">
        <w:rPr>
          <w:lang w:val="zh-CN" w:bidi="zh-CN"/>
        </w:rPr>
        <w:t>、内部交易的合理性与定价依据</w:t>
      </w:r>
    </w:p>
    <w:p w14:paraId="0B73524D" w14:textId="285C2AA9" w:rsidR="00001C85" w:rsidRPr="004865EF" w:rsidRDefault="00001C85" w:rsidP="00494620">
      <w:pPr>
        <w:pStyle w:val="zhengwen"/>
        <w:rPr>
          <w:bCs/>
          <w:lang w:val="zh-CN" w:bidi="zh-CN"/>
        </w:rPr>
      </w:pPr>
      <w:r w:rsidRPr="004865EF">
        <w:rPr>
          <w:bCs/>
          <w:lang w:val="zh-CN" w:bidi="zh-CN"/>
        </w:rPr>
        <w:lastRenderedPageBreak/>
        <w:t>科</w:t>
      </w:r>
      <w:proofErr w:type="gramStart"/>
      <w:r w:rsidRPr="004865EF">
        <w:rPr>
          <w:bCs/>
          <w:lang w:val="zh-CN" w:bidi="zh-CN"/>
        </w:rPr>
        <w:t>信盛彩</w:t>
      </w:r>
      <w:proofErr w:type="gramEnd"/>
      <w:r w:rsidRPr="004865EF">
        <w:rPr>
          <w:rFonts w:hint="eastAsia"/>
          <w:bCs/>
          <w:lang w:val="zh-CN" w:bidi="zh-CN"/>
        </w:rPr>
        <w:t>在取得</w:t>
      </w:r>
      <w:r w:rsidRPr="004865EF">
        <w:rPr>
          <w:bCs/>
          <w:lang w:val="zh-CN" w:bidi="zh-CN"/>
        </w:rPr>
        <w:t>IDC</w:t>
      </w:r>
      <w:r w:rsidRPr="004865EF">
        <w:rPr>
          <w:bCs/>
          <w:lang w:val="zh-CN" w:bidi="zh-CN"/>
        </w:rPr>
        <w:t>业务资质证书</w:t>
      </w:r>
      <w:r w:rsidRPr="004865EF">
        <w:rPr>
          <w:rFonts w:hint="eastAsia"/>
          <w:bCs/>
          <w:lang w:val="zh-CN" w:bidi="zh-CN"/>
        </w:rPr>
        <w:t>前，由于无法独立承接业务，因此与光环新网签订</w:t>
      </w:r>
      <w:r w:rsidRPr="004865EF">
        <w:rPr>
          <w:bCs/>
          <w:lang w:val="zh-CN" w:bidi="zh-CN"/>
        </w:rPr>
        <w:t>《数据中心合作协议书》，</w:t>
      </w:r>
      <w:r w:rsidRPr="004865EF">
        <w:rPr>
          <w:rFonts w:hint="eastAsia"/>
          <w:bCs/>
          <w:lang w:val="zh-CN" w:bidi="zh-CN"/>
        </w:rPr>
        <w:t>由光环新网与第三方客户签订合同，提供</w:t>
      </w:r>
      <w:r w:rsidRPr="004865EF">
        <w:rPr>
          <w:bCs/>
          <w:lang w:val="zh-CN" w:bidi="zh-CN"/>
        </w:rPr>
        <w:t>机柜出租</w:t>
      </w:r>
      <w:r w:rsidRPr="004865EF">
        <w:rPr>
          <w:bCs/>
          <w:lang w:val="zh-CN" w:bidi="zh-CN"/>
        </w:rPr>
        <w:t>/</w:t>
      </w:r>
      <w:r w:rsidRPr="004865EF">
        <w:rPr>
          <w:bCs/>
          <w:lang w:val="zh-CN" w:bidi="zh-CN"/>
        </w:rPr>
        <w:t>服务器托管等服务，</w:t>
      </w:r>
      <w:r w:rsidRPr="004865EF">
        <w:rPr>
          <w:rFonts w:hint="eastAsia"/>
          <w:bCs/>
          <w:lang w:val="zh-CN" w:bidi="zh-CN"/>
        </w:rPr>
        <w:t>并按照合同金额</w:t>
      </w:r>
      <w:r w:rsidRPr="004865EF">
        <w:rPr>
          <w:bCs/>
          <w:lang w:val="zh-CN" w:bidi="zh-CN"/>
        </w:rPr>
        <w:t>的</w:t>
      </w:r>
      <w:r w:rsidR="006C4603" w:rsidRPr="004865EF">
        <w:rPr>
          <w:rFonts w:hint="eastAsia"/>
          <w:bCs/>
          <w:lang w:val="zh-CN" w:bidi="zh-CN"/>
        </w:rPr>
        <w:t>一定</w:t>
      </w:r>
      <w:r w:rsidRPr="004865EF">
        <w:rPr>
          <w:bCs/>
          <w:lang w:val="zh-CN" w:bidi="zh-CN"/>
        </w:rPr>
        <w:t>比例</w:t>
      </w:r>
      <w:r w:rsidRPr="004865EF">
        <w:rPr>
          <w:rFonts w:hint="eastAsia"/>
          <w:bCs/>
          <w:lang w:val="zh-CN" w:bidi="zh-CN"/>
        </w:rPr>
        <w:t>与</w:t>
      </w:r>
      <w:r w:rsidRPr="004865EF">
        <w:rPr>
          <w:bCs/>
          <w:lang w:val="zh-CN" w:bidi="zh-CN"/>
        </w:rPr>
        <w:t>科</w:t>
      </w:r>
      <w:proofErr w:type="gramStart"/>
      <w:r w:rsidRPr="004865EF">
        <w:rPr>
          <w:bCs/>
          <w:lang w:val="zh-CN" w:bidi="zh-CN"/>
        </w:rPr>
        <w:t>信盛彩</w:t>
      </w:r>
      <w:proofErr w:type="gramEnd"/>
      <w:r w:rsidRPr="004865EF">
        <w:rPr>
          <w:rFonts w:hint="eastAsia"/>
          <w:bCs/>
          <w:lang w:val="zh-CN" w:bidi="zh-CN"/>
        </w:rPr>
        <w:t>结算；报告期内，</w:t>
      </w:r>
      <w:r w:rsidR="00DE5DA1" w:rsidRPr="004865EF">
        <w:rPr>
          <w:bCs/>
          <w:lang w:val="zh-CN" w:bidi="zh-CN"/>
        </w:rPr>
        <w:t>科</w:t>
      </w:r>
      <w:proofErr w:type="gramStart"/>
      <w:r w:rsidR="00DE5DA1" w:rsidRPr="004865EF">
        <w:rPr>
          <w:bCs/>
          <w:lang w:val="zh-CN" w:bidi="zh-CN"/>
        </w:rPr>
        <w:t>信盛彩</w:t>
      </w:r>
      <w:r w:rsidR="00DE5DA1" w:rsidRPr="004865EF">
        <w:rPr>
          <w:rFonts w:hint="eastAsia"/>
          <w:bCs/>
          <w:lang w:val="zh-CN" w:bidi="zh-CN"/>
        </w:rPr>
        <w:t>向</w:t>
      </w:r>
      <w:proofErr w:type="gramEnd"/>
      <w:r w:rsidR="00DE5DA1" w:rsidRPr="004865EF">
        <w:rPr>
          <w:rFonts w:hint="eastAsia"/>
          <w:bCs/>
          <w:lang w:val="zh-CN" w:bidi="zh-CN"/>
        </w:rPr>
        <w:t>光环新网分别销售</w:t>
      </w:r>
      <w:r w:rsidR="00DE5DA1" w:rsidRPr="004865EF">
        <w:rPr>
          <w:bCs/>
          <w:lang w:val="zh-CN" w:bidi="zh-CN"/>
        </w:rPr>
        <w:t>5,359.10</w:t>
      </w:r>
      <w:r w:rsidR="00DE5DA1" w:rsidRPr="004865EF">
        <w:rPr>
          <w:rFonts w:hint="eastAsia"/>
          <w:bCs/>
          <w:lang w:val="zh-CN" w:bidi="zh-CN"/>
        </w:rPr>
        <w:t>万元、</w:t>
      </w:r>
      <w:r w:rsidR="00DE5DA1" w:rsidRPr="004865EF">
        <w:rPr>
          <w:bCs/>
          <w:lang w:val="zh-CN" w:bidi="zh-CN"/>
        </w:rPr>
        <w:t>18.069.49</w:t>
      </w:r>
      <w:r w:rsidR="00DE5DA1" w:rsidRPr="004865EF">
        <w:rPr>
          <w:rFonts w:hint="eastAsia"/>
          <w:bCs/>
          <w:lang w:val="zh-CN" w:bidi="zh-CN"/>
        </w:rPr>
        <w:t>万元和</w:t>
      </w:r>
      <w:r w:rsidR="00DE5DA1" w:rsidRPr="004865EF">
        <w:rPr>
          <w:bCs/>
          <w:lang w:val="zh-CN" w:bidi="zh-CN"/>
        </w:rPr>
        <w:t>20,329.69</w:t>
      </w:r>
      <w:r w:rsidR="00DE5DA1" w:rsidRPr="004865EF">
        <w:rPr>
          <w:rFonts w:hint="eastAsia"/>
          <w:bCs/>
          <w:lang w:val="zh-CN" w:bidi="zh-CN"/>
        </w:rPr>
        <w:t>万元。</w:t>
      </w:r>
      <w:r w:rsidRPr="004865EF">
        <w:rPr>
          <w:rFonts w:hint="eastAsia"/>
          <w:bCs/>
          <w:lang w:val="zh-CN" w:bidi="zh-CN"/>
        </w:rPr>
        <w:t>2016</w:t>
      </w:r>
      <w:r w:rsidRPr="004865EF">
        <w:rPr>
          <w:rFonts w:hint="eastAsia"/>
          <w:bCs/>
          <w:lang w:val="zh-CN" w:bidi="zh-CN"/>
        </w:rPr>
        <w:t>年</w:t>
      </w:r>
      <w:r w:rsidRPr="004865EF">
        <w:rPr>
          <w:rFonts w:hint="eastAsia"/>
          <w:bCs/>
          <w:lang w:val="zh-CN" w:bidi="zh-CN"/>
        </w:rPr>
        <w:t>12</w:t>
      </w:r>
      <w:r w:rsidRPr="004865EF">
        <w:rPr>
          <w:rFonts w:hint="eastAsia"/>
          <w:bCs/>
          <w:lang w:val="zh-CN" w:bidi="zh-CN"/>
        </w:rPr>
        <w:t>月后，</w:t>
      </w:r>
      <w:r w:rsidRPr="004865EF">
        <w:rPr>
          <w:bCs/>
          <w:lang w:val="zh-CN" w:bidi="zh-CN"/>
        </w:rPr>
        <w:t>科</w:t>
      </w:r>
      <w:proofErr w:type="gramStart"/>
      <w:r w:rsidRPr="004865EF">
        <w:rPr>
          <w:bCs/>
          <w:lang w:val="zh-CN" w:bidi="zh-CN"/>
        </w:rPr>
        <w:t>信盛彩取得</w:t>
      </w:r>
      <w:proofErr w:type="gramEnd"/>
      <w:r w:rsidRPr="004865EF">
        <w:rPr>
          <w:rFonts w:hint="eastAsia"/>
          <w:bCs/>
          <w:lang w:val="zh-CN" w:bidi="zh-CN"/>
        </w:rPr>
        <w:t>相关业务资质后</w:t>
      </w:r>
      <w:r w:rsidRPr="004865EF">
        <w:rPr>
          <w:bCs/>
          <w:lang w:val="zh-CN" w:bidi="zh-CN"/>
        </w:rPr>
        <w:t>，</w:t>
      </w:r>
      <w:r w:rsidRPr="004865EF">
        <w:rPr>
          <w:rFonts w:hint="eastAsia"/>
          <w:bCs/>
          <w:lang w:val="zh-CN" w:bidi="zh-CN"/>
        </w:rPr>
        <w:t>开始</w:t>
      </w:r>
      <w:r w:rsidR="00DE5DA1" w:rsidRPr="004865EF">
        <w:rPr>
          <w:rFonts w:hint="eastAsia"/>
          <w:bCs/>
          <w:lang w:val="zh-CN" w:bidi="zh-CN"/>
        </w:rPr>
        <w:t>逐步</w:t>
      </w:r>
      <w:r w:rsidRPr="004865EF">
        <w:rPr>
          <w:rFonts w:hint="eastAsia"/>
          <w:bCs/>
          <w:lang w:val="zh-CN" w:bidi="zh-CN"/>
        </w:rPr>
        <w:t>独立承接客户资源</w:t>
      </w:r>
      <w:r w:rsidR="00DE5DA1" w:rsidRPr="004865EF">
        <w:rPr>
          <w:rFonts w:hint="eastAsia"/>
          <w:bCs/>
          <w:lang w:val="zh-CN" w:bidi="zh-CN"/>
        </w:rPr>
        <w:t>。</w:t>
      </w:r>
    </w:p>
    <w:p w14:paraId="677440FE" w14:textId="385DF194" w:rsidR="002337EE" w:rsidRPr="004865EF" w:rsidRDefault="00DE5DA1" w:rsidP="002337EE">
      <w:pPr>
        <w:pStyle w:val="zhengwen"/>
        <w:rPr>
          <w:bCs/>
          <w:lang w:val="zh-CN" w:bidi="zh-CN"/>
        </w:rPr>
      </w:pPr>
      <w:r w:rsidRPr="004865EF">
        <w:rPr>
          <w:rFonts w:hint="eastAsia"/>
          <w:bCs/>
          <w:lang w:val="zh-CN" w:bidi="zh-CN"/>
        </w:rPr>
        <w:t>报告期内，科</w:t>
      </w:r>
      <w:proofErr w:type="gramStart"/>
      <w:r w:rsidRPr="004865EF">
        <w:rPr>
          <w:rFonts w:hint="eastAsia"/>
          <w:bCs/>
          <w:lang w:val="zh-CN" w:bidi="zh-CN"/>
        </w:rPr>
        <w:t>信盛彩向</w:t>
      </w:r>
      <w:proofErr w:type="gramEnd"/>
      <w:r w:rsidRPr="004865EF">
        <w:rPr>
          <w:rFonts w:hint="eastAsia"/>
          <w:bCs/>
          <w:lang w:val="zh-CN" w:bidi="zh-CN"/>
        </w:rPr>
        <w:t>光环新网采购带宽使用费分别为</w:t>
      </w:r>
      <w:r w:rsidRPr="004865EF">
        <w:rPr>
          <w:bCs/>
          <w:lang w:val="zh-CN" w:bidi="zh-CN"/>
        </w:rPr>
        <w:t>324.59</w:t>
      </w:r>
      <w:r w:rsidRPr="004865EF">
        <w:rPr>
          <w:rFonts w:hint="eastAsia"/>
          <w:bCs/>
          <w:lang w:val="zh-CN" w:bidi="zh-CN"/>
        </w:rPr>
        <w:t>万元、</w:t>
      </w:r>
      <w:r w:rsidRPr="004865EF">
        <w:rPr>
          <w:bCs/>
          <w:lang w:val="zh-CN" w:bidi="zh-CN"/>
        </w:rPr>
        <w:t>818.55</w:t>
      </w:r>
      <w:r w:rsidRPr="004865EF">
        <w:rPr>
          <w:rFonts w:hint="eastAsia"/>
          <w:bCs/>
          <w:lang w:val="zh-CN" w:bidi="zh-CN"/>
        </w:rPr>
        <w:t>万元和</w:t>
      </w:r>
      <w:r w:rsidRPr="004865EF">
        <w:rPr>
          <w:bCs/>
          <w:lang w:val="zh-CN" w:bidi="zh-CN"/>
        </w:rPr>
        <w:t>589.48</w:t>
      </w:r>
      <w:r w:rsidRPr="004865EF">
        <w:rPr>
          <w:rFonts w:hint="eastAsia"/>
          <w:bCs/>
          <w:lang w:val="zh-CN" w:bidi="zh-CN"/>
        </w:rPr>
        <w:t>万元，主要由于光环新网与电信部门签订了统一的带宽使用合同并支付全部带宽费用，子公司根据机房带宽</w:t>
      </w:r>
      <w:r w:rsidR="00A367FB" w:rsidRPr="004865EF">
        <w:rPr>
          <w:rFonts w:hint="eastAsia"/>
          <w:bCs/>
          <w:lang w:val="zh-CN" w:bidi="zh-CN"/>
        </w:rPr>
        <w:t>实际</w:t>
      </w:r>
      <w:r w:rsidRPr="004865EF">
        <w:rPr>
          <w:rFonts w:hint="eastAsia"/>
          <w:bCs/>
          <w:lang w:val="zh-CN" w:bidi="zh-CN"/>
        </w:rPr>
        <w:t>使用流量分配计算后，统一向光环新网</w:t>
      </w:r>
      <w:r w:rsidR="00A367FB" w:rsidRPr="004865EF">
        <w:rPr>
          <w:rFonts w:hint="eastAsia"/>
          <w:bCs/>
          <w:lang w:val="zh-CN" w:bidi="zh-CN"/>
        </w:rPr>
        <w:t>平价</w:t>
      </w:r>
      <w:r w:rsidRPr="004865EF">
        <w:rPr>
          <w:rFonts w:hint="eastAsia"/>
          <w:bCs/>
          <w:lang w:val="zh-CN" w:bidi="zh-CN"/>
        </w:rPr>
        <w:t>采购。</w:t>
      </w:r>
      <w:r w:rsidR="00A367FB" w:rsidRPr="004865EF">
        <w:rPr>
          <w:rFonts w:hint="eastAsia"/>
          <w:bCs/>
          <w:lang w:val="zh-CN" w:bidi="zh-CN"/>
        </w:rPr>
        <w:t>在</w:t>
      </w:r>
      <w:r w:rsidR="00A367FB" w:rsidRPr="004865EF">
        <w:rPr>
          <w:bCs/>
          <w:lang w:val="zh-CN" w:bidi="zh-CN"/>
        </w:rPr>
        <w:t>机柜出租</w:t>
      </w:r>
      <w:r w:rsidR="00A367FB" w:rsidRPr="004865EF">
        <w:rPr>
          <w:bCs/>
          <w:lang w:val="zh-CN" w:bidi="zh-CN"/>
        </w:rPr>
        <w:t>/</w:t>
      </w:r>
      <w:r w:rsidR="00A367FB" w:rsidRPr="004865EF">
        <w:rPr>
          <w:bCs/>
          <w:lang w:val="zh-CN" w:bidi="zh-CN"/>
        </w:rPr>
        <w:t>服务器托管</w:t>
      </w:r>
      <w:r w:rsidR="00A367FB" w:rsidRPr="004865EF">
        <w:rPr>
          <w:rFonts w:hint="eastAsia"/>
          <w:bCs/>
          <w:lang w:val="zh-CN" w:bidi="zh-CN"/>
        </w:rPr>
        <w:t>业务中，科</w:t>
      </w:r>
      <w:proofErr w:type="gramStart"/>
      <w:r w:rsidR="00A367FB" w:rsidRPr="004865EF">
        <w:rPr>
          <w:rFonts w:hint="eastAsia"/>
          <w:bCs/>
          <w:lang w:val="zh-CN" w:bidi="zh-CN"/>
        </w:rPr>
        <w:t>信盛彩直签客户</w:t>
      </w:r>
      <w:proofErr w:type="gramEnd"/>
      <w:r w:rsidR="00A367FB" w:rsidRPr="004865EF">
        <w:rPr>
          <w:rFonts w:hint="eastAsia"/>
          <w:bCs/>
          <w:lang w:val="zh-CN" w:bidi="zh-CN"/>
        </w:rPr>
        <w:t>和通过光环新网对外签订客户的定价原则一致（</w:t>
      </w:r>
      <w:proofErr w:type="gramStart"/>
      <w:r w:rsidR="00A367FB" w:rsidRPr="004865EF">
        <w:rPr>
          <w:rFonts w:hint="eastAsia"/>
          <w:bCs/>
          <w:lang w:val="zh-CN" w:bidi="zh-CN"/>
        </w:rPr>
        <w:t>如</w:t>
      </w:r>
      <w:r w:rsidR="00A367FB" w:rsidRPr="004865EF">
        <w:rPr>
          <w:bCs/>
          <w:lang w:val="zh-CN" w:bidi="zh-CN"/>
        </w:rPr>
        <w:t>维沃移动通信</w:t>
      </w:r>
      <w:proofErr w:type="gramEnd"/>
      <w:r w:rsidR="00A367FB" w:rsidRPr="004865EF">
        <w:rPr>
          <w:bCs/>
          <w:lang w:val="zh-CN" w:bidi="zh-CN"/>
        </w:rPr>
        <w:t>公司，</w:t>
      </w:r>
      <w:r w:rsidR="00A367FB" w:rsidRPr="004865EF">
        <w:rPr>
          <w:rFonts w:hint="eastAsia"/>
          <w:bCs/>
          <w:lang w:val="zh-CN" w:bidi="zh-CN"/>
        </w:rPr>
        <w:t>与两个主体签订的合同价格一致）</w:t>
      </w:r>
      <w:r w:rsidR="00A367FB" w:rsidRPr="004865EF">
        <w:rPr>
          <w:bCs/>
          <w:lang w:val="zh-CN" w:bidi="zh-CN"/>
        </w:rPr>
        <w:t>；</w:t>
      </w:r>
      <w:r w:rsidR="00A367FB" w:rsidRPr="004865EF">
        <w:rPr>
          <w:rFonts w:hint="eastAsia"/>
          <w:bCs/>
          <w:lang w:val="zh-CN" w:bidi="zh-CN"/>
        </w:rPr>
        <w:t>科</w:t>
      </w:r>
      <w:proofErr w:type="gramStart"/>
      <w:r w:rsidR="00A367FB" w:rsidRPr="004865EF">
        <w:rPr>
          <w:rFonts w:hint="eastAsia"/>
          <w:bCs/>
          <w:lang w:val="zh-CN" w:bidi="zh-CN"/>
        </w:rPr>
        <w:t>信盛彩向</w:t>
      </w:r>
      <w:proofErr w:type="gramEnd"/>
      <w:r w:rsidR="00A367FB" w:rsidRPr="004865EF">
        <w:rPr>
          <w:rFonts w:hint="eastAsia"/>
          <w:bCs/>
          <w:lang w:val="zh-CN" w:bidi="zh-CN"/>
        </w:rPr>
        <w:t>光环新网采购带宽费用，系发行人与电信部门的合作结算模式导致，根据实际使用情况</w:t>
      </w:r>
      <w:r w:rsidR="00DF62ED" w:rsidRPr="004865EF">
        <w:rPr>
          <w:rFonts w:hint="eastAsia"/>
          <w:bCs/>
          <w:lang w:val="zh-CN" w:bidi="zh-CN"/>
        </w:rPr>
        <w:t>平</w:t>
      </w:r>
      <w:r w:rsidR="00A367FB" w:rsidRPr="004865EF">
        <w:rPr>
          <w:rFonts w:hint="eastAsia"/>
          <w:bCs/>
          <w:lang w:val="zh-CN" w:bidi="zh-CN"/>
        </w:rPr>
        <w:t>价采购。</w:t>
      </w:r>
    </w:p>
    <w:p w14:paraId="2AA56703" w14:textId="71EE3978" w:rsidR="002337EE" w:rsidRPr="004865EF" w:rsidRDefault="002337EE" w:rsidP="002337EE">
      <w:pPr>
        <w:pStyle w:val="zhengwen"/>
        <w:rPr>
          <w:bCs/>
          <w:lang w:val="zh-CN" w:bidi="zh-CN"/>
        </w:rPr>
      </w:pPr>
      <w:r w:rsidRPr="004865EF">
        <w:rPr>
          <w:rFonts w:hint="eastAsia"/>
          <w:lang w:val="zh-CN" w:bidi="zh-CN"/>
        </w:rPr>
        <w:t>除销售和采购外，为支持子公司业务发展，报告期内发行人为科</w:t>
      </w:r>
      <w:proofErr w:type="gramStart"/>
      <w:r w:rsidRPr="004865EF">
        <w:rPr>
          <w:rFonts w:hint="eastAsia"/>
          <w:lang w:val="zh-CN" w:bidi="zh-CN"/>
        </w:rPr>
        <w:t>信盛彩银行</w:t>
      </w:r>
      <w:proofErr w:type="gramEnd"/>
      <w:r w:rsidRPr="004865EF">
        <w:rPr>
          <w:rFonts w:hint="eastAsia"/>
          <w:lang w:val="zh-CN" w:bidi="zh-CN"/>
        </w:rPr>
        <w:t>借款提供了关联担保。</w:t>
      </w:r>
    </w:p>
    <w:p w14:paraId="4406DB70" w14:textId="3C81F1AC" w:rsidR="002337EE" w:rsidRPr="004865EF" w:rsidRDefault="00287F1E" w:rsidP="00FE02AF">
      <w:pPr>
        <w:pStyle w:val="zhengwen"/>
        <w:ind w:firstLine="482"/>
        <w:rPr>
          <w:bCs/>
          <w:lang w:val="zh-CN" w:bidi="zh-CN"/>
        </w:rPr>
      </w:pPr>
      <w:r w:rsidRPr="004865EF">
        <w:rPr>
          <w:rFonts w:ascii="楷体" w:eastAsia="楷体" w:hAnsi="楷体" w:hint="eastAsia"/>
          <w:b/>
          <w:bCs/>
          <w:lang w:val="zh-CN" w:bidi="zh-CN"/>
        </w:rPr>
        <w:t>科</w:t>
      </w:r>
      <w:proofErr w:type="gramStart"/>
      <w:r w:rsidRPr="004865EF">
        <w:rPr>
          <w:rFonts w:ascii="楷体" w:eastAsia="楷体" w:hAnsi="楷体" w:hint="eastAsia"/>
          <w:b/>
          <w:bCs/>
          <w:lang w:val="zh-CN" w:bidi="zh-CN"/>
        </w:rPr>
        <w:t>信盛彩因</w:t>
      </w:r>
      <w:proofErr w:type="gramEnd"/>
      <w:r w:rsidRPr="004865EF">
        <w:rPr>
          <w:rFonts w:ascii="楷体" w:eastAsia="楷体" w:hAnsi="楷体" w:hint="eastAsia"/>
          <w:b/>
          <w:bCs/>
          <w:lang w:val="zh-CN" w:bidi="zh-CN"/>
        </w:rPr>
        <w:t>数据机房建设需要采购数据机柜、冷通道等产品，北京首信圆方机电设备有限公司（以下简称“首信圆方”）主营业务为配电柜、网络机柜等的生产销售</w:t>
      </w:r>
      <w:r w:rsidRPr="004865EF">
        <w:rPr>
          <w:rFonts w:ascii="楷体" w:eastAsia="楷体" w:hAnsi="楷体"/>
          <w:b/>
          <w:bCs/>
          <w:lang w:val="zh-CN" w:bidi="zh-CN"/>
        </w:rPr>
        <w:t>，</w:t>
      </w:r>
      <w:r w:rsidRPr="004865EF">
        <w:rPr>
          <w:rFonts w:hint="eastAsia"/>
          <w:bCs/>
          <w:lang w:val="zh-CN" w:bidi="zh-CN"/>
        </w:rPr>
        <w:t>因此</w:t>
      </w:r>
      <w:r w:rsidR="002337EE" w:rsidRPr="004865EF">
        <w:rPr>
          <w:rFonts w:hint="eastAsia"/>
          <w:bCs/>
          <w:lang w:val="zh-CN" w:bidi="zh-CN"/>
        </w:rPr>
        <w:t>科</w:t>
      </w:r>
      <w:proofErr w:type="gramStart"/>
      <w:r w:rsidR="002337EE" w:rsidRPr="004865EF">
        <w:rPr>
          <w:rFonts w:hint="eastAsia"/>
          <w:bCs/>
          <w:lang w:val="zh-CN" w:bidi="zh-CN"/>
        </w:rPr>
        <w:t>信盛彩</w:t>
      </w:r>
      <w:r w:rsidRPr="004865EF">
        <w:rPr>
          <w:rFonts w:hint="eastAsia"/>
          <w:bCs/>
          <w:lang w:val="zh-CN" w:bidi="zh-CN"/>
        </w:rPr>
        <w:t>于</w:t>
      </w:r>
      <w:proofErr w:type="gramEnd"/>
      <w:r w:rsidRPr="004865EF">
        <w:rPr>
          <w:bCs/>
          <w:lang w:val="zh-CN" w:bidi="zh-CN"/>
        </w:rPr>
        <w:t>2017</w:t>
      </w:r>
      <w:r w:rsidRPr="004865EF">
        <w:rPr>
          <w:rFonts w:hint="eastAsia"/>
          <w:bCs/>
          <w:lang w:val="zh-CN" w:bidi="zh-CN"/>
        </w:rPr>
        <w:t>年和</w:t>
      </w:r>
      <w:r w:rsidRPr="004865EF">
        <w:rPr>
          <w:bCs/>
          <w:lang w:val="zh-CN" w:bidi="zh-CN"/>
        </w:rPr>
        <w:t>2019</w:t>
      </w:r>
      <w:r w:rsidRPr="004865EF">
        <w:rPr>
          <w:rFonts w:hint="eastAsia"/>
          <w:bCs/>
          <w:lang w:val="zh-CN" w:bidi="zh-CN"/>
        </w:rPr>
        <w:t>年以市场价格</w:t>
      </w:r>
      <w:r w:rsidR="002337EE" w:rsidRPr="004865EF">
        <w:rPr>
          <w:rFonts w:hint="eastAsia"/>
          <w:bCs/>
          <w:lang w:val="zh-CN" w:bidi="zh-CN"/>
        </w:rPr>
        <w:t>向</w:t>
      </w:r>
      <w:proofErr w:type="gramStart"/>
      <w:r w:rsidR="002337EE" w:rsidRPr="004865EF">
        <w:rPr>
          <w:rFonts w:hint="eastAsia"/>
          <w:bCs/>
          <w:lang w:val="zh-CN" w:bidi="zh-CN"/>
        </w:rPr>
        <w:t>首信圆</w:t>
      </w:r>
      <w:proofErr w:type="gramEnd"/>
      <w:r w:rsidR="002337EE" w:rsidRPr="004865EF">
        <w:rPr>
          <w:rFonts w:hint="eastAsia"/>
          <w:bCs/>
          <w:lang w:val="zh-CN" w:bidi="zh-CN"/>
        </w:rPr>
        <w:t>方采购机柜</w:t>
      </w:r>
      <w:r w:rsidR="002337EE" w:rsidRPr="004865EF">
        <w:rPr>
          <w:bCs/>
          <w:lang w:val="zh-CN" w:bidi="zh-CN"/>
        </w:rPr>
        <w:t>1,021.04</w:t>
      </w:r>
      <w:r w:rsidR="002337EE" w:rsidRPr="004865EF">
        <w:rPr>
          <w:rFonts w:hint="eastAsia"/>
          <w:bCs/>
          <w:lang w:val="zh-CN" w:bidi="zh-CN"/>
        </w:rPr>
        <w:t>万元和</w:t>
      </w:r>
      <w:r w:rsidR="002337EE" w:rsidRPr="004865EF">
        <w:rPr>
          <w:bCs/>
          <w:lang w:val="zh-CN" w:bidi="zh-CN"/>
        </w:rPr>
        <w:t>797.88</w:t>
      </w:r>
      <w:r w:rsidR="002337EE" w:rsidRPr="004865EF">
        <w:rPr>
          <w:rFonts w:hint="eastAsia"/>
          <w:bCs/>
          <w:lang w:val="zh-CN" w:bidi="zh-CN"/>
        </w:rPr>
        <w:t>万元；</w:t>
      </w:r>
      <w:r w:rsidR="002337EE" w:rsidRPr="004865EF">
        <w:rPr>
          <w:bCs/>
          <w:lang w:val="zh-CN" w:bidi="zh-CN"/>
        </w:rPr>
        <w:t>2019</w:t>
      </w:r>
      <w:r w:rsidR="002337EE" w:rsidRPr="004865EF">
        <w:rPr>
          <w:rFonts w:hint="eastAsia"/>
          <w:bCs/>
          <w:lang w:val="zh-CN" w:bidi="zh-CN"/>
        </w:rPr>
        <w:t>年，科</w:t>
      </w:r>
      <w:proofErr w:type="gramStart"/>
      <w:r w:rsidR="002337EE" w:rsidRPr="004865EF">
        <w:rPr>
          <w:rFonts w:hint="eastAsia"/>
          <w:bCs/>
          <w:lang w:val="zh-CN" w:bidi="zh-CN"/>
        </w:rPr>
        <w:t>信盛彩向</w:t>
      </w:r>
      <w:proofErr w:type="gramEnd"/>
      <w:r w:rsidR="002337EE" w:rsidRPr="004865EF">
        <w:rPr>
          <w:rFonts w:hint="eastAsia"/>
          <w:bCs/>
          <w:lang w:val="zh-CN" w:bidi="zh-CN"/>
        </w:rPr>
        <w:t>北京德信致远科技有限公司销售</w:t>
      </w:r>
      <w:r w:rsidR="006922BF" w:rsidRPr="004865EF">
        <w:rPr>
          <w:rFonts w:hint="eastAsia"/>
          <w:bCs/>
          <w:lang w:val="zh-CN" w:bidi="zh-CN"/>
        </w:rPr>
        <w:t>出线柜</w:t>
      </w:r>
      <w:r w:rsidR="002337EE" w:rsidRPr="004865EF">
        <w:rPr>
          <w:rFonts w:hint="eastAsia"/>
          <w:bCs/>
          <w:lang w:val="zh-CN" w:bidi="zh-CN"/>
        </w:rPr>
        <w:t>电缆</w:t>
      </w:r>
      <w:r w:rsidR="002337EE" w:rsidRPr="004865EF">
        <w:rPr>
          <w:bCs/>
          <w:lang w:val="zh-CN" w:bidi="zh-CN"/>
        </w:rPr>
        <w:t>27.25</w:t>
      </w:r>
      <w:r w:rsidR="002F7980" w:rsidRPr="004865EF">
        <w:rPr>
          <w:rFonts w:hint="eastAsia"/>
          <w:bCs/>
          <w:lang w:val="zh-CN" w:bidi="zh-CN"/>
        </w:rPr>
        <w:t>万元，向其</w:t>
      </w:r>
      <w:r w:rsidR="006922BF" w:rsidRPr="004865EF">
        <w:rPr>
          <w:rFonts w:hint="eastAsia"/>
          <w:bCs/>
          <w:lang w:val="zh-CN" w:bidi="zh-CN"/>
        </w:rPr>
        <w:t>采购环境设施监控优化服务</w:t>
      </w:r>
      <w:r w:rsidR="002F7980" w:rsidRPr="004865EF">
        <w:rPr>
          <w:rFonts w:hint="eastAsia"/>
          <w:bCs/>
          <w:lang w:val="zh-CN" w:bidi="zh-CN"/>
        </w:rPr>
        <w:t>和电缆</w:t>
      </w:r>
      <w:r w:rsidR="002337EE" w:rsidRPr="004865EF">
        <w:rPr>
          <w:bCs/>
          <w:lang w:val="zh-CN" w:bidi="zh-CN"/>
        </w:rPr>
        <w:t>51.89</w:t>
      </w:r>
      <w:r w:rsidR="006922BF" w:rsidRPr="004865EF">
        <w:rPr>
          <w:rFonts w:hint="eastAsia"/>
          <w:bCs/>
          <w:lang w:val="zh-CN" w:bidi="zh-CN"/>
        </w:rPr>
        <w:t>万元</w:t>
      </w:r>
      <w:r w:rsidR="002F7980" w:rsidRPr="004865EF">
        <w:rPr>
          <w:rFonts w:hint="eastAsia"/>
          <w:bCs/>
          <w:lang w:val="zh-CN" w:bidi="zh-CN"/>
        </w:rPr>
        <w:t>和</w:t>
      </w:r>
      <w:r w:rsidR="002337EE" w:rsidRPr="004865EF">
        <w:rPr>
          <w:bCs/>
          <w:lang w:val="zh-CN" w:bidi="zh-CN"/>
        </w:rPr>
        <w:t>26.32</w:t>
      </w:r>
      <w:r w:rsidR="002337EE" w:rsidRPr="004865EF">
        <w:rPr>
          <w:rFonts w:hint="eastAsia"/>
          <w:bCs/>
          <w:lang w:val="zh-CN" w:bidi="zh-CN"/>
        </w:rPr>
        <w:t>万元。</w:t>
      </w:r>
    </w:p>
    <w:p w14:paraId="6BD905F4" w14:textId="15D2F9BF" w:rsidR="00A367FB" w:rsidRPr="004865EF" w:rsidRDefault="00A367FB" w:rsidP="00494620">
      <w:pPr>
        <w:pStyle w:val="zhengwen"/>
        <w:rPr>
          <w:bCs/>
          <w:lang w:val="zh-CN" w:bidi="zh-CN"/>
        </w:rPr>
      </w:pPr>
      <w:r w:rsidRPr="004865EF">
        <w:rPr>
          <w:rFonts w:hint="eastAsia"/>
          <w:bCs/>
          <w:lang w:val="zh-CN" w:bidi="zh-CN"/>
        </w:rPr>
        <w:t>综上，科</w:t>
      </w:r>
      <w:proofErr w:type="gramStart"/>
      <w:r w:rsidRPr="004865EF">
        <w:rPr>
          <w:rFonts w:hint="eastAsia"/>
          <w:bCs/>
          <w:lang w:val="zh-CN" w:bidi="zh-CN"/>
        </w:rPr>
        <w:t>信盛彩</w:t>
      </w:r>
      <w:proofErr w:type="gramEnd"/>
      <w:r w:rsidRPr="004865EF">
        <w:rPr>
          <w:rFonts w:hint="eastAsia"/>
          <w:bCs/>
          <w:lang w:val="zh-CN" w:bidi="zh-CN"/>
        </w:rPr>
        <w:t>与</w:t>
      </w:r>
      <w:r w:rsidR="006922BF" w:rsidRPr="004865EF">
        <w:rPr>
          <w:rFonts w:hint="eastAsia"/>
          <w:bCs/>
          <w:lang w:val="zh-CN" w:bidi="zh-CN"/>
        </w:rPr>
        <w:t>上述关联方</w:t>
      </w:r>
      <w:r w:rsidRPr="004865EF">
        <w:rPr>
          <w:rFonts w:hint="eastAsia"/>
          <w:bCs/>
          <w:lang w:val="zh-CN" w:bidi="zh-CN"/>
        </w:rPr>
        <w:t>的</w:t>
      </w:r>
      <w:r w:rsidRPr="004865EF">
        <w:rPr>
          <w:rFonts w:hint="eastAsia"/>
          <w:lang w:val="zh-CN" w:bidi="zh-CN"/>
        </w:rPr>
        <w:t>内部交易具有合理性、必要性及公允性，销售和采购业务均未形成对</w:t>
      </w:r>
      <w:r w:rsidR="006922BF" w:rsidRPr="004865EF">
        <w:rPr>
          <w:rFonts w:hint="eastAsia"/>
          <w:lang w:val="zh-CN" w:bidi="zh-CN"/>
        </w:rPr>
        <w:t>科</w:t>
      </w:r>
      <w:proofErr w:type="gramStart"/>
      <w:r w:rsidR="006922BF" w:rsidRPr="004865EF">
        <w:rPr>
          <w:rFonts w:hint="eastAsia"/>
          <w:lang w:val="zh-CN" w:bidi="zh-CN"/>
        </w:rPr>
        <w:t>信盛彩</w:t>
      </w:r>
      <w:proofErr w:type="gramEnd"/>
      <w:r w:rsidRPr="004865EF">
        <w:rPr>
          <w:rFonts w:hint="eastAsia"/>
          <w:lang w:val="zh-CN" w:bidi="zh-CN"/>
        </w:rPr>
        <w:t>的业绩支持，</w:t>
      </w:r>
      <w:r w:rsidRPr="004865EF">
        <w:rPr>
          <w:rFonts w:hint="eastAsia"/>
          <w:bCs/>
          <w:lang w:val="zh-CN" w:bidi="zh-CN"/>
        </w:rPr>
        <w:t>不存在</w:t>
      </w:r>
      <w:r w:rsidR="006922BF" w:rsidRPr="004865EF">
        <w:rPr>
          <w:rFonts w:hint="eastAsia"/>
          <w:bCs/>
          <w:lang w:val="zh-CN" w:bidi="zh-CN"/>
        </w:rPr>
        <w:t>关联方</w:t>
      </w:r>
      <w:r w:rsidRPr="004865EF">
        <w:rPr>
          <w:rFonts w:hint="eastAsia"/>
          <w:bCs/>
          <w:lang w:val="zh-CN" w:bidi="zh-CN"/>
        </w:rPr>
        <w:t>向科</w:t>
      </w:r>
      <w:proofErr w:type="gramStart"/>
      <w:r w:rsidRPr="004865EF">
        <w:rPr>
          <w:rFonts w:hint="eastAsia"/>
          <w:bCs/>
          <w:lang w:val="zh-CN" w:bidi="zh-CN"/>
        </w:rPr>
        <w:t>信盛彩业务</w:t>
      </w:r>
      <w:proofErr w:type="gramEnd"/>
      <w:r w:rsidRPr="004865EF">
        <w:rPr>
          <w:rFonts w:hint="eastAsia"/>
          <w:bCs/>
          <w:lang w:val="zh-CN" w:bidi="zh-CN"/>
        </w:rPr>
        <w:t>倾斜、通过显失公允的关联交易或者由关联方承担成本、费用等方式提升并购标的业绩的情形。</w:t>
      </w:r>
    </w:p>
    <w:p w14:paraId="62CB2DA7" w14:textId="78DF6F3F" w:rsidR="002131DA" w:rsidRPr="004865EF" w:rsidRDefault="002131DA" w:rsidP="002131DA">
      <w:pPr>
        <w:pStyle w:val="2"/>
      </w:pPr>
      <w:r w:rsidRPr="004865EF">
        <w:rPr>
          <w:rFonts w:hint="eastAsia"/>
        </w:rPr>
        <w:lastRenderedPageBreak/>
        <w:t>二、上海</w:t>
      </w:r>
      <w:proofErr w:type="gramStart"/>
      <w:r w:rsidRPr="004865EF">
        <w:rPr>
          <w:rFonts w:hint="eastAsia"/>
        </w:rPr>
        <w:t>开域是否</w:t>
      </w:r>
      <w:proofErr w:type="gramEnd"/>
      <w:r w:rsidRPr="004865EF">
        <w:rPr>
          <w:rFonts w:hint="eastAsia"/>
        </w:rPr>
        <w:t>构成无双科技的关联方、双方交易是否有商业实质、交易价格是否合理和公允</w:t>
      </w:r>
    </w:p>
    <w:p w14:paraId="27A34100" w14:textId="77777777" w:rsidR="002131DA" w:rsidRPr="004865EF" w:rsidRDefault="002131DA" w:rsidP="002131DA">
      <w:pPr>
        <w:keepNext/>
        <w:keepLines/>
        <w:spacing w:beforeLines="50" w:before="120" w:afterLines="50" w:after="120" w:line="360" w:lineRule="auto"/>
        <w:ind w:firstLineChars="200" w:firstLine="482"/>
        <w:rPr>
          <w:rFonts w:ascii="Times New Roman" w:eastAsia="宋体" w:hAnsi="Times New Roman" w:cs="Times New Roman"/>
          <w:b/>
          <w:kern w:val="0"/>
          <w:sz w:val="24"/>
          <w:szCs w:val="32"/>
        </w:rPr>
      </w:pPr>
      <w:r w:rsidRPr="004865EF">
        <w:rPr>
          <w:rFonts w:ascii="Times New Roman" w:eastAsia="宋体" w:hAnsi="Times New Roman" w:cs="Times New Roman" w:hint="eastAsia"/>
          <w:b/>
          <w:kern w:val="0"/>
          <w:sz w:val="24"/>
          <w:szCs w:val="32"/>
        </w:rPr>
        <w:t>（一）上海</w:t>
      </w:r>
      <w:proofErr w:type="gramStart"/>
      <w:r w:rsidRPr="004865EF">
        <w:rPr>
          <w:rFonts w:ascii="Times New Roman" w:eastAsia="宋体" w:hAnsi="Times New Roman" w:cs="Times New Roman" w:hint="eastAsia"/>
          <w:b/>
          <w:kern w:val="0"/>
          <w:sz w:val="24"/>
          <w:szCs w:val="32"/>
        </w:rPr>
        <w:t>开域是否</w:t>
      </w:r>
      <w:proofErr w:type="gramEnd"/>
      <w:r w:rsidRPr="004865EF">
        <w:rPr>
          <w:rFonts w:ascii="Times New Roman" w:eastAsia="宋体" w:hAnsi="Times New Roman" w:cs="Times New Roman" w:hint="eastAsia"/>
          <w:b/>
          <w:kern w:val="0"/>
          <w:sz w:val="24"/>
          <w:szCs w:val="32"/>
        </w:rPr>
        <w:t>构成无双科技的关联方</w:t>
      </w:r>
    </w:p>
    <w:p w14:paraId="3D0174F7" w14:textId="77777777" w:rsidR="002131DA" w:rsidRPr="004865EF" w:rsidRDefault="002131DA" w:rsidP="002131DA">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1</w:t>
      </w:r>
      <w:r w:rsidRPr="004865EF">
        <w:rPr>
          <w:rFonts w:ascii="Times New Roman" w:eastAsia="宋体" w:hAnsi="Times New Roman" w:cs="Times New Roman" w:hint="eastAsia"/>
          <w:sz w:val="24"/>
          <w:szCs w:val="22"/>
        </w:rPr>
        <w:t>、上海开域的基本情况</w:t>
      </w:r>
    </w:p>
    <w:p w14:paraId="7BF10B02" w14:textId="77777777" w:rsidR="002131DA" w:rsidRPr="004865EF" w:rsidRDefault="002131DA" w:rsidP="002131DA">
      <w:pPr>
        <w:pStyle w:val="zhengwen"/>
      </w:pPr>
      <w:r w:rsidRPr="004865EF">
        <w:rPr>
          <w:rFonts w:hint="eastAsia"/>
        </w:rPr>
        <w:t>上海开域信息科技有限公司（以下简称“上海开域”）于</w:t>
      </w:r>
      <w:r w:rsidRPr="004865EF">
        <w:rPr>
          <w:rFonts w:hint="eastAsia"/>
        </w:rPr>
        <w:t>2017</w:t>
      </w:r>
      <w:r w:rsidRPr="004865EF">
        <w:rPr>
          <w:rFonts w:hint="eastAsia"/>
        </w:rPr>
        <w:t>年</w:t>
      </w:r>
      <w:r w:rsidRPr="004865EF">
        <w:rPr>
          <w:rFonts w:hint="eastAsia"/>
        </w:rPr>
        <w:t>11</w:t>
      </w:r>
      <w:r w:rsidRPr="004865EF">
        <w:rPr>
          <w:rFonts w:hint="eastAsia"/>
        </w:rPr>
        <w:t>月设立，</w:t>
      </w:r>
      <w:proofErr w:type="gramStart"/>
      <w:r w:rsidRPr="004865EF">
        <w:rPr>
          <w:rFonts w:hint="eastAsia"/>
        </w:rPr>
        <w:t>由私募股权投资</w:t>
      </w:r>
      <w:proofErr w:type="gramEnd"/>
      <w:r w:rsidRPr="004865EF">
        <w:rPr>
          <w:rFonts w:hint="eastAsia"/>
        </w:rPr>
        <w:t>基金</w:t>
      </w:r>
      <w:r w:rsidRPr="004865EF">
        <w:rPr>
          <w:rFonts w:hint="eastAsia"/>
        </w:rPr>
        <w:t>KKR</w:t>
      </w:r>
      <w:r w:rsidRPr="004865EF">
        <w:rPr>
          <w:rFonts w:hint="eastAsia"/>
        </w:rPr>
        <w:t>（</w:t>
      </w:r>
      <w:r w:rsidRPr="004865EF">
        <w:rPr>
          <w:rFonts w:hint="eastAsia"/>
        </w:rPr>
        <w:t>Kohlberg Kravis Roberts</w:t>
      </w:r>
      <w:r w:rsidRPr="004865EF">
        <w:rPr>
          <w:rFonts w:hint="eastAsia"/>
        </w:rPr>
        <w:t>，以下简称“</w:t>
      </w:r>
      <w:r w:rsidRPr="004865EF">
        <w:rPr>
          <w:rFonts w:hint="eastAsia"/>
        </w:rPr>
        <w:t>KKR</w:t>
      </w:r>
      <w:r w:rsidRPr="004865EF">
        <w:rPr>
          <w:rFonts w:hint="eastAsia"/>
        </w:rPr>
        <w:t>”）通过其控股公司</w:t>
      </w:r>
      <w:r w:rsidRPr="004865EF">
        <w:rPr>
          <w:rFonts w:hint="eastAsia"/>
        </w:rPr>
        <w:t>Cue Holdings Limited</w:t>
      </w:r>
      <w:r w:rsidRPr="004865EF">
        <w:rPr>
          <w:rFonts w:hint="eastAsia"/>
        </w:rPr>
        <w:t>（以下简称“开域集团”）在新加坡设立的全资</w:t>
      </w:r>
      <w:r w:rsidRPr="004865EF">
        <w:rPr>
          <w:rFonts w:hint="eastAsia"/>
        </w:rPr>
        <w:t>SPV</w:t>
      </w:r>
      <w:r w:rsidRPr="004865EF">
        <w:rPr>
          <w:rFonts w:hint="eastAsia"/>
        </w:rPr>
        <w:t>公司</w:t>
      </w:r>
      <w:r w:rsidRPr="004865EF">
        <w:rPr>
          <w:rFonts w:hint="eastAsia"/>
        </w:rPr>
        <w:t>Sino Ad Investment Pte. Ltd.</w:t>
      </w:r>
      <w:r w:rsidRPr="004865EF">
        <w:rPr>
          <w:rFonts w:hint="eastAsia"/>
        </w:rPr>
        <w:t>持有</w:t>
      </w:r>
      <w:r w:rsidRPr="004865EF">
        <w:rPr>
          <w:rFonts w:hint="eastAsia"/>
        </w:rPr>
        <w:t>100%</w:t>
      </w:r>
      <w:r w:rsidRPr="004865EF">
        <w:rPr>
          <w:rFonts w:hint="eastAsia"/>
        </w:rPr>
        <w:t>股权，旨在通过上海</w:t>
      </w:r>
      <w:proofErr w:type="gramStart"/>
      <w:r w:rsidRPr="004865EF">
        <w:rPr>
          <w:rFonts w:hint="eastAsia"/>
        </w:rPr>
        <w:t>开域对</w:t>
      </w:r>
      <w:proofErr w:type="gramEnd"/>
      <w:r w:rsidRPr="004865EF">
        <w:rPr>
          <w:rFonts w:hint="eastAsia"/>
        </w:rPr>
        <w:t>国内营销产业进行整合，基于大数据和人工智能技术打造企业服务和</w:t>
      </w:r>
      <w:r w:rsidRPr="004865EF">
        <w:rPr>
          <w:rFonts w:hint="eastAsia"/>
        </w:rPr>
        <w:t>SaaS</w:t>
      </w:r>
      <w:proofErr w:type="gramStart"/>
      <w:r w:rsidRPr="004865EF">
        <w:rPr>
          <w:rFonts w:hint="eastAsia"/>
        </w:rPr>
        <w:t>云计算</w:t>
      </w:r>
      <w:proofErr w:type="gramEnd"/>
      <w:r w:rsidRPr="004865EF">
        <w:rPr>
          <w:rFonts w:hint="eastAsia"/>
        </w:rPr>
        <w:t>应用的整合性产业平台。上海</w:t>
      </w:r>
      <w:proofErr w:type="gramStart"/>
      <w:r w:rsidRPr="004865EF">
        <w:rPr>
          <w:rFonts w:hint="eastAsia"/>
        </w:rPr>
        <w:t>开域针对产业链不同</w:t>
      </w:r>
      <w:proofErr w:type="gramEnd"/>
      <w:r w:rsidRPr="004865EF">
        <w:rPr>
          <w:rFonts w:hint="eastAsia"/>
        </w:rPr>
        <w:t>环节，先后收购了包括南京安与吉信息技术有限公司（原</w:t>
      </w:r>
      <w:proofErr w:type="gramStart"/>
      <w:r w:rsidRPr="004865EF">
        <w:rPr>
          <w:rFonts w:hint="eastAsia"/>
        </w:rPr>
        <w:t>受施侃控制</w:t>
      </w:r>
      <w:proofErr w:type="gramEnd"/>
      <w:r w:rsidRPr="004865EF">
        <w:rPr>
          <w:rFonts w:hint="eastAsia"/>
        </w:rPr>
        <w:t>，以下简称“南京安与吉”）、北京齐欣互动科技有限公司（以下简称“齐欣互动”）在内的多家营销行业公司。在被上海</w:t>
      </w:r>
      <w:proofErr w:type="gramStart"/>
      <w:r w:rsidRPr="004865EF">
        <w:rPr>
          <w:rFonts w:hint="eastAsia"/>
        </w:rPr>
        <w:t>开域收购</w:t>
      </w:r>
      <w:proofErr w:type="gramEnd"/>
      <w:r w:rsidRPr="004865EF">
        <w:rPr>
          <w:rFonts w:hint="eastAsia"/>
        </w:rPr>
        <w:t>后，各家公司基于原有业务强项开始整合分工，并各派驻人员在</w:t>
      </w:r>
      <w:proofErr w:type="gramStart"/>
      <w:r w:rsidRPr="004865EF">
        <w:rPr>
          <w:rFonts w:hint="eastAsia"/>
        </w:rPr>
        <w:t>上海开域层面</w:t>
      </w:r>
      <w:proofErr w:type="gramEnd"/>
      <w:r w:rsidRPr="004865EF">
        <w:rPr>
          <w:rFonts w:hint="eastAsia"/>
        </w:rPr>
        <w:t>任职。</w:t>
      </w:r>
    </w:p>
    <w:p w14:paraId="69403F6A" w14:textId="77777777" w:rsidR="002131DA" w:rsidRPr="004865EF" w:rsidRDefault="002131DA" w:rsidP="002131DA">
      <w:pPr>
        <w:pStyle w:val="zhengwen"/>
      </w:pPr>
      <w:r w:rsidRPr="004865EF">
        <w:t>2</w:t>
      </w:r>
      <w:r w:rsidRPr="004865EF">
        <w:rPr>
          <w:rFonts w:hint="eastAsia"/>
        </w:rPr>
        <w:t>、施侃在无双科技和上海开域的任职情况</w:t>
      </w:r>
    </w:p>
    <w:p w14:paraId="60CDB0BB" w14:textId="77777777" w:rsidR="002131DA" w:rsidRPr="004865EF" w:rsidRDefault="002131DA" w:rsidP="002131DA">
      <w:pPr>
        <w:pStyle w:val="zhengwen"/>
      </w:pPr>
      <w:r w:rsidRPr="004865EF">
        <w:rPr>
          <w:rFonts w:hint="eastAsia"/>
        </w:rPr>
        <w:t>发行人于</w:t>
      </w:r>
      <w:r w:rsidRPr="004865EF">
        <w:rPr>
          <w:rFonts w:hint="eastAsia"/>
        </w:rPr>
        <w:t>2016</w:t>
      </w:r>
      <w:r w:rsidRPr="004865EF">
        <w:rPr>
          <w:rFonts w:hint="eastAsia"/>
        </w:rPr>
        <w:t>年</w:t>
      </w:r>
      <w:r w:rsidRPr="004865EF">
        <w:rPr>
          <w:rFonts w:hint="eastAsia"/>
        </w:rPr>
        <w:t>3</w:t>
      </w:r>
      <w:r w:rsidRPr="004865EF">
        <w:rPr>
          <w:rFonts w:hint="eastAsia"/>
        </w:rPr>
        <w:t>月发行股份收购无双科技</w:t>
      </w:r>
      <w:r w:rsidRPr="004865EF">
        <w:rPr>
          <w:rFonts w:hint="eastAsia"/>
        </w:rPr>
        <w:t>100%</w:t>
      </w:r>
      <w:r w:rsidRPr="004865EF">
        <w:rPr>
          <w:rFonts w:hint="eastAsia"/>
        </w:rPr>
        <w:t>股权，</w:t>
      </w:r>
      <w:proofErr w:type="gramStart"/>
      <w:r w:rsidRPr="004865EF">
        <w:rPr>
          <w:rFonts w:hint="eastAsia"/>
        </w:rPr>
        <w:t>施侃于</w:t>
      </w:r>
      <w:proofErr w:type="gramEnd"/>
      <w:r w:rsidRPr="004865EF">
        <w:rPr>
          <w:rFonts w:hint="eastAsia"/>
        </w:rPr>
        <w:t>收购完成后</w:t>
      </w:r>
      <w:r w:rsidRPr="004865EF">
        <w:t>至</w:t>
      </w:r>
      <w:r w:rsidRPr="004865EF">
        <w:t>2018</w:t>
      </w:r>
      <w:r w:rsidRPr="004865EF">
        <w:t>年</w:t>
      </w:r>
      <w:r w:rsidRPr="004865EF">
        <w:t>6</w:t>
      </w:r>
      <w:r w:rsidRPr="004865EF">
        <w:t>月担任无双科技董事、经理；</w:t>
      </w:r>
      <w:r w:rsidRPr="004865EF">
        <w:t>2018</w:t>
      </w:r>
      <w:r w:rsidRPr="004865EF">
        <w:t>年</w:t>
      </w:r>
      <w:r w:rsidRPr="004865EF">
        <w:t>6</w:t>
      </w:r>
      <w:r w:rsidRPr="004865EF">
        <w:t>月，</w:t>
      </w:r>
      <w:proofErr w:type="gramStart"/>
      <w:r w:rsidRPr="004865EF">
        <w:t>施侃辞去</w:t>
      </w:r>
      <w:proofErr w:type="gramEnd"/>
      <w:r w:rsidRPr="004865EF">
        <w:rPr>
          <w:rFonts w:hint="eastAsia"/>
        </w:rPr>
        <w:t>在</w:t>
      </w:r>
      <w:r w:rsidRPr="004865EF">
        <w:t>无双科技</w:t>
      </w:r>
      <w:r w:rsidRPr="004865EF">
        <w:rPr>
          <w:rFonts w:hint="eastAsia"/>
        </w:rPr>
        <w:t>全部</w:t>
      </w:r>
      <w:r w:rsidRPr="004865EF">
        <w:t>职务。</w:t>
      </w:r>
      <w:r w:rsidRPr="004865EF">
        <w:rPr>
          <w:rFonts w:hint="eastAsia"/>
        </w:rPr>
        <w:t>2020</w:t>
      </w:r>
      <w:r w:rsidRPr="004865EF">
        <w:rPr>
          <w:rFonts w:hint="eastAsia"/>
        </w:rPr>
        <w:t>年</w:t>
      </w:r>
      <w:r w:rsidRPr="004865EF">
        <w:rPr>
          <w:rFonts w:hint="eastAsia"/>
        </w:rPr>
        <w:t>5</w:t>
      </w:r>
      <w:r w:rsidRPr="004865EF">
        <w:rPr>
          <w:rFonts w:hint="eastAsia"/>
        </w:rPr>
        <w:t>月至今，</w:t>
      </w:r>
      <w:proofErr w:type="gramStart"/>
      <w:r w:rsidRPr="004865EF">
        <w:rPr>
          <w:rFonts w:hint="eastAsia"/>
        </w:rPr>
        <w:t>开域国际</w:t>
      </w:r>
      <w:proofErr w:type="gramEnd"/>
      <w:r w:rsidRPr="004865EF">
        <w:rPr>
          <w:rFonts w:hint="eastAsia"/>
        </w:rPr>
        <w:t>控股有限公司（以下简称“开域国际”，系</w:t>
      </w:r>
      <w:r w:rsidRPr="004865EF">
        <w:t xml:space="preserve"> Sino Ad Investment Pte. Ltd.</w:t>
      </w:r>
      <w:r w:rsidRPr="004865EF">
        <w:rPr>
          <w:rFonts w:hint="eastAsia"/>
        </w:rPr>
        <w:t>的全资子公司）入股无双科技，</w:t>
      </w:r>
      <w:proofErr w:type="gramStart"/>
      <w:r w:rsidRPr="004865EF">
        <w:rPr>
          <w:rFonts w:hint="eastAsia"/>
        </w:rPr>
        <w:t>施侃经</w:t>
      </w:r>
      <w:proofErr w:type="gramEnd"/>
      <w:r w:rsidRPr="004865EF">
        <w:rPr>
          <w:rFonts w:hint="eastAsia"/>
        </w:rPr>
        <w:t>其提名担任无双科技董事。</w:t>
      </w:r>
    </w:p>
    <w:p w14:paraId="4E01CD00" w14:textId="77777777" w:rsidR="002131DA" w:rsidRPr="004865EF" w:rsidRDefault="002131DA" w:rsidP="002131DA">
      <w:pPr>
        <w:pStyle w:val="zhengwen"/>
      </w:pPr>
      <w:proofErr w:type="gramStart"/>
      <w:r w:rsidRPr="004865EF">
        <w:rPr>
          <w:rFonts w:hint="eastAsia"/>
        </w:rPr>
        <w:t>施侃于</w:t>
      </w:r>
      <w:proofErr w:type="gramEnd"/>
      <w:r w:rsidRPr="004865EF">
        <w:rPr>
          <w:rFonts w:hint="eastAsia"/>
        </w:rPr>
        <w:t>2018</w:t>
      </w:r>
      <w:r w:rsidRPr="004865EF">
        <w:rPr>
          <w:rFonts w:hint="eastAsia"/>
        </w:rPr>
        <w:t>年后主要负责上海开域的业务拓展，其自</w:t>
      </w:r>
      <w:r w:rsidRPr="004865EF">
        <w:rPr>
          <w:rFonts w:hint="eastAsia"/>
        </w:rPr>
        <w:t>2018</w:t>
      </w:r>
      <w:r w:rsidRPr="004865EF">
        <w:rPr>
          <w:rFonts w:hint="eastAsia"/>
        </w:rPr>
        <w:t>年</w:t>
      </w:r>
      <w:r w:rsidRPr="004865EF">
        <w:rPr>
          <w:rFonts w:hint="eastAsia"/>
        </w:rPr>
        <w:t>1</w:t>
      </w:r>
      <w:r w:rsidRPr="004865EF">
        <w:rPr>
          <w:rFonts w:hint="eastAsia"/>
        </w:rPr>
        <w:t>月起担任</w:t>
      </w:r>
      <w:proofErr w:type="gramStart"/>
      <w:r w:rsidRPr="004865EF">
        <w:rPr>
          <w:rFonts w:hint="eastAsia"/>
        </w:rPr>
        <w:t>上海开域董事</w:t>
      </w:r>
      <w:proofErr w:type="gramEnd"/>
      <w:r w:rsidRPr="004865EF">
        <w:rPr>
          <w:rFonts w:hint="eastAsia"/>
        </w:rPr>
        <w:t>，自</w:t>
      </w:r>
      <w:r w:rsidRPr="004865EF">
        <w:rPr>
          <w:rFonts w:hint="eastAsia"/>
        </w:rPr>
        <w:t>2020</w:t>
      </w:r>
      <w:r w:rsidRPr="004865EF">
        <w:rPr>
          <w:rFonts w:hint="eastAsia"/>
        </w:rPr>
        <w:t>年</w:t>
      </w:r>
      <w:r w:rsidRPr="004865EF">
        <w:rPr>
          <w:rFonts w:hint="eastAsia"/>
        </w:rPr>
        <w:t>2</w:t>
      </w:r>
      <w:r w:rsidRPr="004865EF">
        <w:rPr>
          <w:rFonts w:hint="eastAsia"/>
        </w:rPr>
        <w:t>月起同时担任法定代表人。经保荐机构向相关方进行访谈和确认，</w:t>
      </w:r>
      <w:r w:rsidRPr="004865EF">
        <w:rPr>
          <w:rFonts w:hint="eastAsia"/>
        </w:rPr>
        <w:t>KKR</w:t>
      </w:r>
      <w:r w:rsidRPr="004865EF">
        <w:rPr>
          <w:rFonts w:hint="eastAsia"/>
        </w:rPr>
        <w:t>为开域集团的控股股东，并具有控制权；</w:t>
      </w:r>
      <w:proofErr w:type="gramStart"/>
      <w:r w:rsidRPr="004865EF">
        <w:rPr>
          <w:rFonts w:hint="eastAsia"/>
        </w:rPr>
        <w:t>施侃为开</w:t>
      </w:r>
      <w:proofErr w:type="gramEnd"/>
      <w:r w:rsidRPr="004865EF">
        <w:rPr>
          <w:rFonts w:hint="eastAsia"/>
        </w:rPr>
        <w:t>域集团的少数股东，持股比例约</w:t>
      </w:r>
      <w:r w:rsidRPr="004865EF">
        <w:rPr>
          <w:rFonts w:hint="eastAsia"/>
        </w:rPr>
        <w:t>11.5%</w:t>
      </w:r>
      <w:r w:rsidRPr="004865EF">
        <w:rPr>
          <w:rFonts w:hint="eastAsia"/>
        </w:rPr>
        <w:t>，因此</w:t>
      </w:r>
      <w:proofErr w:type="gramStart"/>
      <w:r w:rsidRPr="004865EF">
        <w:rPr>
          <w:rFonts w:hint="eastAsia"/>
        </w:rPr>
        <w:t>施侃</w:t>
      </w:r>
      <w:r w:rsidRPr="004865EF">
        <w:t>对上海开域具有</w:t>
      </w:r>
      <w:proofErr w:type="gramEnd"/>
      <w:r w:rsidRPr="004865EF">
        <w:t>重大影响但无法</w:t>
      </w:r>
      <w:r w:rsidRPr="004865EF">
        <w:rPr>
          <w:rFonts w:hint="eastAsia"/>
        </w:rPr>
        <w:t>形成</w:t>
      </w:r>
      <w:r w:rsidRPr="004865EF">
        <w:t>控制。</w:t>
      </w:r>
    </w:p>
    <w:p w14:paraId="36225563" w14:textId="77777777" w:rsidR="002131DA" w:rsidRPr="004865EF" w:rsidRDefault="002131DA" w:rsidP="002131DA">
      <w:pPr>
        <w:widowControl/>
        <w:spacing w:beforeLines="50" w:before="120" w:line="360" w:lineRule="auto"/>
        <w:ind w:firstLineChars="200" w:firstLine="480"/>
        <w:rPr>
          <w:rFonts w:ascii="Times New Roman" w:eastAsia="宋体" w:hAnsi="Times New Roman" w:cs="Times New Roman"/>
          <w:kern w:val="0"/>
          <w:sz w:val="24"/>
          <w:szCs w:val="22"/>
        </w:rPr>
      </w:pPr>
      <w:r w:rsidRPr="004865EF">
        <w:rPr>
          <w:rFonts w:ascii="Times New Roman" w:eastAsia="宋体" w:hAnsi="Times New Roman" w:cs="Times New Roman"/>
          <w:kern w:val="0"/>
          <w:sz w:val="24"/>
          <w:szCs w:val="22"/>
        </w:rPr>
        <w:t>3</w:t>
      </w:r>
      <w:r w:rsidRPr="004865EF">
        <w:rPr>
          <w:rFonts w:ascii="Times New Roman" w:eastAsia="宋体" w:hAnsi="Times New Roman" w:cs="Times New Roman" w:hint="eastAsia"/>
          <w:kern w:val="0"/>
          <w:sz w:val="24"/>
          <w:szCs w:val="22"/>
        </w:rPr>
        <w:t>、根据《企业会计准则解释第</w:t>
      </w:r>
      <w:r w:rsidRPr="004865EF">
        <w:rPr>
          <w:rFonts w:ascii="Times New Roman" w:eastAsia="宋体" w:hAnsi="Times New Roman" w:cs="Times New Roman" w:hint="eastAsia"/>
          <w:kern w:val="0"/>
          <w:sz w:val="24"/>
          <w:szCs w:val="22"/>
        </w:rPr>
        <w:t>1</w:t>
      </w:r>
      <w:r w:rsidRPr="004865EF">
        <w:rPr>
          <w:rFonts w:ascii="Times New Roman" w:eastAsia="宋体" w:hAnsi="Times New Roman" w:cs="Times New Roman"/>
          <w:kern w:val="0"/>
          <w:sz w:val="24"/>
          <w:szCs w:val="22"/>
        </w:rPr>
        <w:t>3</w:t>
      </w:r>
      <w:r w:rsidRPr="004865EF">
        <w:rPr>
          <w:rFonts w:ascii="Times New Roman" w:eastAsia="宋体" w:hAnsi="Times New Roman" w:cs="Times New Roman" w:hint="eastAsia"/>
          <w:kern w:val="0"/>
          <w:sz w:val="24"/>
          <w:szCs w:val="22"/>
        </w:rPr>
        <w:t>号》的相关规定，上海</w:t>
      </w:r>
      <w:proofErr w:type="gramStart"/>
      <w:r w:rsidRPr="004865EF">
        <w:rPr>
          <w:rFonts w:ascii="Times New Roman" w:eastAsia="宋体" w:hAnsi="Times New Roman" w:cs="Times New Roman" w:hint="eastAsia"/>
          <w:kern w:val="0"/>
          <w:sz w:val="24"/>
          <w:szCs w:val="22"/>
        </w:rPr>
        <w:t>开域不</w:t>
      </w:r>
      <w:proofErr w:type="gramEnd"/>
      <w:r w:rsidRPr="004865EF">
        <w:rPr>
          <w:rFonts w:ascii="Times New Roman" w:eastAsia="宋体" w:hAnsi="Times New Roman" w:cs="Times New Roman" w:hint="eastAsia"/>
          <w:kern w:val="0"/>
          <w:sz w:val="24"/>
          <w:szCs w:val="22"/>
        </w:rPr>
        <w:t>属于发行人和无双科技的关联方</w:t>
      </w:r>
    </w:p>
    <w:p w14:paraId="5E328F61" w14:textId="77777777" w:rsidR="002131DA" w:rsidRPr="004865EF" w:rsidRDefault="002131DA" w:rsidP="002131DA">
      <w:pPr>
        <w:pStyle w:val="zhengwen"/>
      </w:pPr>
      <w:proofErr w:type="gramStart"/>
      <w:r w:rsidRPr="004865EF">
        <w:rPr>
          <w:rFonts w:hint="eastAsia"/>
        </w:rPr>
        <w:t>施侃于</w:t>
      </w:r>
      <w:proofErr w:type="gramEnd"/>
      <w:r w:rsidRPr="004865EF">
        <w:rPr>
          <w:rFonts w:hint="eastAsia"/>
        </w:rPr>
        <w:t>2018</w:t>
      </w:r>
      <w:r w:rsidRPr="004865EF">
        <w:rPr>
          <w:rFonts w:hint="eastAsia"/>
        </w:rPr>
        <w:t>年</w:t>
      </w:r>
      <w:r w:rsidRPr="004865EF">
        <w:rPr>
          <w:rFonts w:hint="eastAsia"/>
        </w:rPr>
        <w:t>6</w:t>
      </w:r>
      <w:r w:rsidRPr="004865EF">
        <w:rPr>
          <w:rFonts w:hint="eastAsia"/>
        </w:rPr>
        <w:t>月从无双科技离职，自</w:t>
      </w:r>
      <w:r w:rsidRPr="004865EF">
        <w:rPr>
          <w:rFonts w:hint="eastAsia"/>
        </w:rPr>
        <w:t>2018</w:t>
      </w:r>
      <w:r w:rsidRPr="004865EF">
        <w:rPr>
          <w:rFonts w:hint="eastAsia"/>
        </w:rPr>
        <w:t>年</w:t>
      </w:r>
      <w:r w:rsidRPr="004865EF">
        <w:rPr>
          <w:rFonts w:hint="eastAsia"/>
        </w:rPr>
        <w:t>1</w:t>
      </w:r>
      <w:r w:rsidRPr="004865EF">
        <w:rPr>
          <w:rFonts w:hint="eastAsia"/>
        </w:rPr>
        <w:t>月起担任</w:t>
      </w:r>
      <w:proofErr w:type="gramStart"/>
      <w:r w:rsidRPr="004865EF">
        <w:rPr>
          <w:rFonts w:hint="eastAsia"/>
        </w:rPr>
        <w:t>上海开域董事</w:t>
      </w:r>
      <w:proofErr w:type="gramEnd"/>
      <w:r w:rsidRPr="004865EF">
        <w:rPr>
          <w:rFonts w:hint="eastAsia"/>
        </w:rPr>
        <w:t>、</w:t>
      </w:r>
      <w:r w:rsidRPr="004865EF">
        <w:rPr>
          <w:rFonts w:hint="eastAsia"/>
        </w:rPr>
        <w:lastRenderedPageBreak/>
        <w:t>自</w:t>
      </w:r>
      <w:r w:rsidRPr="004865EF">
        <w:rPr>
          <w:rFonts w:hint="eastAsia"/>
        </w:rPr>
        <w:t>2020</w:t>
      </w:r>
      <w:r w:rsidRPr="004865EF">
        <w:rPr>
          <w:rFonts w:hint="eastAsia"/>
        </w:rPr>
        <w:t>年</w:t>
      </w:r>
      <w:r w:rsidRPr="004865EF">
        <w:rPr>
          <w:rFonts w:hint="eastAsia"/>
        </w:rPr>
        <w:t>2</w:t>
      </w:r>
      <w:r w:rsidRPr="004865EF">
        <w:rPr>
          <w:rFonts w:hint="eastAsia"/>
        </w:rPr>
        <w:t>月起同时担任法定代表人，对上海</w:t>
      </w:r>
      <w:proofErr w:type="gramStart"/>
      <w:r w:rsidRPr="004865EF">
        <w:rPr>
          <w:rFonts w:hint="eastAsia"/>
        </w:rPr>
        <w:t>开域具有</w:t>
      </w:r>
      <w:proofErr w:type="gramEnd"/>
      <w:r w:rsidRPr="004865EF">
        <w:rPr>
          <w:rFonts w:hint="eastAsia"/>
        </w:rPr>
        <w:t>重大影响但无法构成控制。根据《企业会计准则解释第</w:t>
      </w:r>
      <w:r w:rsidRPr="004865EF">
        <w:rPr>
          <w:rFonts w:hint="eastAsia"/>
        </w:rPr>
        <w:t>13</w:t>
      </w:r>
      <w:r w:rsidRPr="004865EF">
        <w:rPr>
          <w:rFonts w:hint="eastAsia"/>
        </w:rPr>
        <w:t>号—关联方判断和业务判断》，拥有相同关键管理人员的两个或两个以上企业不构成关联方或企业与其关键管理人员具有重大影响的其他企业不构成关联方。因此，上海</w:t>
      </w:r>
      <w:proofErr w:type="gramStart"/>
      <w:r w:rsidRPr="004865EF">
        <w:rPr>
          <w:rFonts w:hint="eastAsia"/>
        </w:rPr>
        <w:t>开域不</w:t>
      </w:r>
      <w:proofErr w:type="gramEnd"/>
      <w:r w:rsidRPr="004865EF">
        <w:rPr>
          <w:rFonts w:hint="eastAsia"/>
        </w:rPr>
        <w:t>属于发行人和无双科技的关联方，无双科技与上海开域、齐欣互动及其关联方之间的交易不构成关联交易。</w:t>
      </w:r>
    </w:p>
    <w:p w14:paraId="54B362F7" w14:textId="77777777" w:rsidR="002131DA" w:rsidRPr="004865EF" w:rsidRDefault="002131DA" w:rsidP="002131DA">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sz w:val="24"/>
          <w:szCs w:val="22"/>
        </w:rPr>
        <w:t>4</w:t>
      </w:r>
      <w:r w:rsidRPr="004865EF">
        <w:rPr>
          <w:rFonts w:ascii="Times New Roman" w:eastAsia="宋体" w:hAnsi="Times New Roman" w:cs="Times New Roman" w:hint="eastAsia"/>
          <w:sz w:val="24"/>
          <w:szCs w:val="22"/>
        </w:rPr>
        <w:t>、根据《上市规则》的相关规定，</w:t>
      </w:r>
      <w:proofErr w:type="gramStart"/>
      <w:r w:rsidRPr="004865EF">
        <w:rPr>
          <w:rFonts w:ascii="Times New Roman" w:eastAsia="宋体" w:hAnsi="Times New Roman" w:cs="Times New Roman" w:hint="eastAsia"/>
          <w:sz w:val="24"/>
          <w:szCs w:val="22"/>
        </w:rPr>
        <w:t>上海开域也</w:t>
      </w:r>
      <w:proofErr w:type="gramEnd"/>
      <w:r w:rsidRPr="004865EF">
        <w:rPr>
          <w:rFonts w:ascii="Times New Roman" w:eastAsia="宋体" w:hAnsi="Times New Roman" w:cs="Times New Roman" w:hint="eastAsia"/>
          <w:sz w:val="24"/>
          <w:szCs w:val="22"/>
        </w:rPr>
        <w:t>不属于发行人的关联方</w:t>
      </w:r>
    </w:p>
    <w:p w14:paraId="00E878B3" w14:textId="77777777" w:rsidR="002131DA" w:rsidRPr="004865EF" w:rsidRDefault="002131DA" w:rsidP="002131DA">
      <w:pPr>
        <w:pStyle w:val="zhengwen"/>
      </w:pPr>
      <w:r w:rsidRPr="004865EF">
        <w:rPr>
          <w:rFonts w:hint="eastAsia"/>
        </w:rPr>
        <w:t>按照《深圳证券交易所创业板股票上市规则》（</w:t>
      </w:r>
      <w:r w:rsidRPr="004865EF">
        <w:rPr>
          <w:rFonts w:hint="eastAsia"/>
        </w:rPr>
        <w:t>2</w:t>
      </w:r>
      <w:r w:rsidRPr="004865EF">
        <w:t>020</w:t>
      </w:r>
      <w:r w:rsidRPr="004865EF">
        <w:rPr>
          <w:rFonts w:hint="eastAsia"/>
        </w:rPr>
        <w:t>年修订）（以下简称“上市规则”）第</w:t>
      </w:r>
      <w:r w:rsidRPr="004865EF">
        <w:rPr>
          <w:rFonts w:hint="eastAsia"/>
        </w:rPr>
        <w:t>7</w:t>
      </w:r>
      <w:r w:rsidRPr="004865EF">
        <w:t>.2.1</w:t>
      </w:r>
      <w:r w:rsidRPr="004865EF">
        <w:rPr>
          <w:rFonts w:hint="eastAsia"/>
        </w:rPr>
        <w:t>条的规定，上市公司的关联交易是指上市公司或者其控股子公司与上市公司关联人之间发生的转移资源或者义务的事项。根据上市</w:t>
      </w:r>
      <w:proofErr w:type="gramStart"/>
      <w:r w:rsidRPr="004865EF">
        <w:rPr>
          <w:rFonts w:hint="eastAsia"/>
        </w:rPr>
        <w:t>规则第</w:t>
      </w:r>
      <w:r w:rsidRPr="004865EF">
        <w:rPr>
          <w:rFonts w:hint="eastAsia"/>
        </w:rPr>
        <w:t>7</w:t>
      </w:r>
      <w:proofErr w:type="gramEnd"/>
      <w:r w:rsidRPr="004865EF">
        <w:t>.2.2</w:t>
      </w:r>
      <w:r w:rsidRPr="004865EF">
        <w:rPr>
          <w:rFonts w:hint="eastAsia"/>
        </w:rPr>
        <w:t>条的规定，上市公司的关联人包括关联法人和关联自然人。</w:t>
      </w:r>
    </w:p>
    <w:p w14:paraId="716B0BC5" w14:textId="77777777" w:rsidR="002131DA" w:rsidRPr="004865EF" w:rsidRDefault="002131DA" w:rsidP="002131DA">
      <w:pPr>
        <w:pStyle w:val="zhengwen"/>
      </w:pPr>
      <w:r w:rsidRPr="004865EF">
        <w:rPr>
          <w:rFonts w:hint="eastAsia"/>
        </w:rPr>
        <w:t>根据上市</w:t>
      </w:r>
      <w:proofErr w:type="gramStart"/>
      <w:r w:rsidRPr="004865EF">
        <w:rPr>
          <w:rFonts w:hint="eastAsia"/>
        </w:rPr>
        <w:t>规则第</w:t>
      </w:r>
      <w:r w:rsidRPr="004865EF">
        <w:rPr>
          <w:rFonts w:hint="eastAsia"/>
        </w:rPr>
        <w:t>7</w:t>
      </w:r>
      <w:proofErr w:type="gramEnd"/>
      <w:r w:rsidRPr="004865EF">
        <w:rPr>
          <w:rFonts w:hint="eastAsia"/>
        </w:rPr>
        <w:t>.2.3</w:t>
      </w:r>
      <w:r w:rsidRPr="004865EF">
        <w:rPr>
          <w:rFonts w:hint="eastAsia"/>
        </w:rPr>
        <w:t>条的规定，具有下列情形之一的法人或者其他组织，为上市公司的关联法人：（一）直接或者间接控制上市公司的法人或者其他组织；（二）由前项所述法人直接或者间接控制的除上市公司及其控股子公司以外的法人或者其他组织；（三）由上市公司的关联自然人直接或者间接控制的，或者担任董事（独立董事除外）、高级管理人员的，除上市公司及其控股子公司以外的法人或者其他组织；（四）持有上市公司</w:t>
      </w:r>
      <w:r w:rsidRPr="004865EF">
        <w:rPr>
          <w:rFonts w:hint="eastAsia"/>
        </w:rPr>
        <w:t xml:space="preserve"> 5%</w:t>
      </w:r>
      <w:r w:rsidRPr="004865EF">
        <w:rPr>
          <w:rFonts w:hint="eastAsia"/>
        </w:rPr>
        <w:t>以上股份的法人或者一致行动人；（五）中国证监会、交易所或者上市公司根据实质重于形式的原则认定的其他与上市公司有特殊关系，可能造成上市公司对其利益倾斜的法人或者其他组织。</w:t>
      </w:r>
    </w:p>
    <w:p w14:paraId="32AF6CDE" w14:textId="77777777" w:rsidR="002131DA" w:rsidRPr="004865EF" w:rsidRDefault="002131DA" w:rsidP="002131DA">
      <w:pPr>
        <w:pStyle w:val="zhengwen"/>
      </w:pPr>
      <w:r w:rsidRPr="004865EF">
        <w:rPr>
          <w:rFonts w:hint="eastAsia"/>
        </w:rPr>
        <w:t>根据上市</w:t>
      </w:r>
      <w:proofErr w:type="gramStart"/>
      <w:r w:rsidRPr="004865EF">
        <w:rPr>
          <w:rFonts w:hint="eastAsia"/>
        </w:rPr>
        <w:t>规则第</w:t>
      </w:r>
      <w:r w:rsidRPr="004865EF">
        <w:rPr>
          <w:rFonts w:hint="eastAsia"/>
        </w:rPr>
        <w:t>7</w:t>
      </w:r>
      <w:proofErr w:type="gramEnd"/>
      <w:r w:rsidRPr="004865EF">
        <w:rPr>
          <w:rFonts w:hint="eastAsia"/>
        </w:rPr>
        <w:t>.2.</w:t>
      </w:r>
      <w:r w:rsidRPr="004865EF">
        <w:t>5</w:t>
      </w:r>
      <w:r w:rsidRPr="004865EF">
        <w:rPr>
          <w:rFonts w:hint="eastAsia"/>
        </w:rPr>
        <w:t>条的规定，具有下列情形之一的自然人，为上市公司的关联自然人：（一）直接或者间接持有上市公司</w:t>
      </w:r>
      <w:r w:rsidRPr="004865EF">
        <w:rPr>
          <w:rFonts w:hint="eastAsia"/>
        </w:rPr>
        <w:t>5%</w:t>
      </w:r>
      <w:r w:rsidRPr="004865EF">
        <w:rPr>
          <w:rFonts w:hint="eastAsia"/>
        </w:rPr>
        <w:t>以上股份的自然人；（二）上市公司董事、监事及高级管理人员；（三）直接或者间接控制上市公司的法人或者其他组织的董事、监事及高级管理人员；（四）本条</w:t>
      </w:r>
      <w:r w:rsidRPr="004865EF">
        <w:rPr>
          <w:rFonts w:hint="eastAsia"/>
        </w:rPr>
        <w:t>1</w:t>
      </w:r>
      <w:r w:rsidRPr="004865EF">
        <w:rPr>
          <w:rFonts w:hint="eastAsia"/>
        </w:rPr>
        <w:t>至</w:t>
      </w:r>
      <w:r w:rsidRPr="004865EF">
        <w:rPr>
          <w:rFonts w:hint="eastAsia"/>
        </w:rPr>
        <w:t>3</w:t>
      </w:r>
      <w:r w:rsidRPr="004865EF">
        <w:rPr>
          <w:rFonts w:hint="eastAsia"/>
        </w:rPr>
        <w:t>项所述人士的关系密切的家庭成员，包括配偶、父母、配偶的父母、兄弟姐妹及其配偶、年满十八周岁的子女及其配偶、配偶的兄弟姐妹和子女配偶的父母；（五）中国证监会、交易所或者上市公司根据实质重于形式的原则认定的其他与上市公司有特殊关系，可能造成上市公司对其利益倾斜的自然人。</w:t>
      </w:r>
    </w:p>
    <w:p w14:paraId="0EF06009" w14:textId="77777777" w:rsidR="002131DA" w:rsidRPr="004865EF" w:rsidRDefault="002131DA" w:rsidP="002131DA">
      <w:pPr>
        <w:pStyle w:val="zhengwen"/>
      </w:pPr>
      <w:r w:rsidRPr="004865EF">
        <w:rPr>
          <w:rFonts w:hint="eastAsia"/>
        </w:rPr>
        <w:t>根据上市</w:t>
      </w:r>
      <w:proofErr w:type="gramStart"/>
      <w:r w:rsidRPr="004865EF">
        <w:rPr>
          <w:rFonts w:hint="eastAsia"/>
        </w:rPr>
        <w:t>规则第</w:t>
      </w:r>
      <w:r w:rsidRPr="004865EF">
        <w:rPr>
          <w:rFonts w:hint="eastAsia"/>
        </w:rPr>
        <w:t>7</w:t>
      </w:r>
      <w:proofErr w:type="gramEnd"/>
      <w:r w:rsidRPr="004865EF">
        <w:rPr>
          <w:rFonts w:hint="eastAsia"/>
        </w:rPr>
        <w:t>.2.</w:t>
      </w:r>
      <w:r w:rsidRPr="004865EF">
        <w:t>6</w:t>
      </w:r>
      <w:r w:rsidRPr="004865EF">
        <w:rPr>
          <w:rFonts w:hint="eastAsia"/>
        </w:rPr>
        <w:t>条的规定，具有下列情形之一的法人或者自然人，视同为上市公司的关联人：（一）因与上市公司或者其关联人签署协议或者</w:t>
      </w:r>
      <w:proofErr w:type="gramStart"/>
      <w:r w:rsidRPr="004865EF">
        <w:rPr>
          <w:rFonts w:hint="eastAsia"/>
        </w:rPr>
        <w:t>作出</w:t>
      </w:r>
      <w:proofErr w:type="gramEnd"/>
      <w:r w:rsidRPr="004865EF">
        <w:rPr>
          <w:rFonts w:hint="eastAsia"/>
        </w:rPr>
        <w:t>安</w:t>
      </w:r>
      <w:r w:rsidRPr="004865EF">
        <w:rPr>
          <w:rFonts w:hint="eastAsia"/>
        </w:rPr>
        <w:lastRenderedPageBreak/>
        <w:t>排，在协议或者安排生效后，或者在未来十二个月内，具有本</w:t>
      </w:r>
      <w:proofErr w:type="gramStart"/>
      <w:r w:rsidRPr="004865EF">
        <w:rPr>
          <w:rFonts w:hint="eastAsia"/>
        </w:rPr>
        <w:t>规则第</w:t>
      </w:r>
      <w:r w:rsidRPr="004865EF">
        <w:rPr>
          <w:rFonts w:hint="eastAsia"/>
        </w:rPr>
        <w:t>7</w:t>
      </w:r>
      <w:proofErr w:type="gramEnd"/>
      <w:r w:rsidRPr="004865EF">
        <w:rPr>
          <w:rFonts w:hint="eastAsia"/>
        </w:rPr>
        <w:t>.2.3</w:t>
      </w:r>
      <w:r w:rsidRPr="004865EF">
        <w:rPr>
          <w:rFonts w:hint="eastAsia"/>
        </w:rPr>
        <w:t>条或者第</w:t>
      </w:r>
      <w:r w:rsidRPr="004865EF">
        <w:rPr>
          <w:rFonts w:hint="eastAsia"/>
        </w:rPr>
        <w:t>7.2.5</w:t>
      </w:r>
      <w:r w:rsidRPr="004865EF">
        <w:rPr>
          <w:rFonts w:hint="eastAsia"/>
        </w:rPr>
        <w:t>条规定情形之一的；（二）过去十二个月内，曾经具有第</w:t>
      </w:r>
      <w:r w:rsidRPr="004865EF">
        <w:rPr>
          <w:rFonts w:hint="eastAsia"/>
        </w:rPr>
        <w:t>7.2.3</w:t>
      </w:r>
      <w:r w:rsidRPr="004865EF">
        <w:rPr>
          <w:rFonts w:hint="eastAsia"/>
        </w:rPr>
        <w:t>条或者第</w:t>
      </w:r>
      <w:r w:rsidRPr="004865EF">
        <w:rPr>
          <w:rFonts w:hint="eastAsia"/>
        </w:rPr>
        <w:t>7.2.5</w:t>
      </w:r>
      <w:r w:rsidRPr="004865EF">
        <w:rPr>
          <w:rFonts w:hint="eastAsia"/>
        </w:rPr>
        <w:t>条规定情形之一的。</w:t>
      </w:r>
    </w:p>
    <w:p w14:paraId="36A0F583" w14:textId="77777777" w:rsidR="002131DA" w:rsidRPr="004865EF" w:rsidRDefault="002131DA" w:rsidP="002131DA">
      <w:pPr>
        <w:pStyle w:val="zhengwen"/>
      </w:pPr>
      <w:r w:rsidRPr="004865EF">
        <w:rPr>
          <w:rFonts w:hint="eastAsia"/>
        </w:rPr>
        <w:t>自发行人</w:t>
      </w:r>
      <w:r w:rsidRPr="004865EF">
        <w:rPr>
          <w:rFonts w:hint="eastAsia"/>
        </w:rPr>
        <w:t>2016</w:t>
      </w:r>
      <w:r w:rsidRPr="004865EF">
        <w:rPr>
          <w:rFonts w:hint="eastAsia"/>
        </w:rPr>
        <w:t>年</w:t>
      </w:r>
      <w:r w:rsidRPr="004865EF">
        <w:rPr>
          <w:rFonts w:hint="eastAsia"/>
        </w:rPr>
        <w:t>3</w:t>
      </w:r>
      <w:r w:rsidRPr="004865EF">
        <w:rPr>
          <w:rFonts w:hint="eastAsia"/>
        </w:rPr>
        <w:t>月收购无双科技至今，</w:t>
      </w:r>
      <w:proofErr w:type="gramStart"/>
      <w:r w:rsidRPr="004865EF">
        <w:rPr>
          <w:rFonts w:hint="eastAsia"/>
        </w:rPr>
        <w:t>施侃未</w:t>
      </w:r>
      <w:proofErr w:type="gramEnd"/>
      <w:r w:rsidRPr="004865EF">
        <w:rPr>
          <w:rFonts w:hint="eastAsia"/>
        </w:rPr>
        <w:t>直接或间接持有上市公司</w:t>
      </w:r>
      <w:r w:rsidRPr="004865EF">
        <w:rPr>
          <w:rFonts w:hint="eastAsia"/>
        </w:rPr>
        <w:t>5%</w:t>
      </w:r>
      <w:r w:rsidRPr="004865EF">
        <w:rPr>
          <w:rFonts w:hint="eastAsia"/>
        </w:rPr>
        <w:t>以上股权，未担任上市公司的董事、监事及高级管理人员职务，不属于前述上市</w:t>
      </w:r>
      <w:proofErr w:type="gramStart"/>
      <w:r w:rsidRPr="004865EF">
        <w:rPr>
          <w:rFonts w:hint="eastAsia"/>
        </w:rPr>
        <w:t>规则第</w:t>
      </w:r>
      <w:r w:rsidRPr="004865EF">
        <w:rPr>
          <w:rFonts w:hint="eastAsia"/>
        </w:rPr>
        <w:t>7</w:t>
      </w:r>
      <w:proofErr w:type="gramEnd"/>
      <w:r w:rsidRPr="004865EF">
        <w:rPr>
          <w:rFonts w:hint="eastAsia"/>
        </w:rPr>
        <w:t>.2.5</w:t>
      </w:r>
      <w:r w:rsidRPr="004865EF">
        <w:rPr>
          <w:rFonts w:hint="eastAsia"/>
        </w:rPr>
        <w:t>条规定的情形；报告期内，公司能够有效控制无双科技，对其重大经营活动进行有效管理和决策，除</w:t>
      </w:r>
      <w:r w:rsidRPr="004865EF">
        <w:rPr>
          <w:rFonts w:hint="eastAsia"/>
        </w:rPr>
        <w:t>2018</w:t>
      </w:r>
      <w:r w:rsidRPr="004865EF">
        <w:rPr>
          <w:rFonts w:hint="eastAsia"/>
        </w:rPr>
        <w:t>年</w:t>
      </w:r>
      <w:r w:rsidRPr="004865EF">
        <w:rPr>
          <w:rFonts w:hint="eastAsia"/>
        </w:rPr>
        <w:t>6</w:t>
      </w:r>
      <w:r w:rsidRPr="004865EF">
        <w:rPr>
          <w:rFonts w:hint="eastAsia"/>
        </w:rPr>
        <w:t>月</w:t>
      </w:r>
      <w:proofErr w:type="gramStart"/>
      <w:r w:rsidRPr="004865EF">
        <w:rPr>
          <w:rFonts w:hint="eastAsia"/>
        </w:rPr>
        <w:t>之前施侃曾</w:t>
      </w:r>
      <w:proofErr w:type="gramEnd"/>
      <w:r w:rsidRPr="004865EF">
        <w:rPr>
          <w:rFonts w:hint="eastAsia"/>
        </w:rPr>
        <w:t>任无双科技高管外，施侃、上海</w:t>
      </w:r>
      <w:proofErr w:type="gramStart"/>
      <w:r w:rsidRPr="004865EF">
        <w:rPr>
          <w:rFonts w:hint="eastAsia"/>
        </w:rPr>
        <w:t>开域与</w:t>
      </w:r>
      <w:proofErr w:type="gramEnd"/>
      <w:r w:rsidRPr="004865EF">
        <w:rPr>
          <w:rFonts w:hint="eastAsia"/>
        </w:rPr>
        <w:t>上市公司无其他特殊关系，无法形成上市公司对其利益倾斜的可能性，因此施侃、上海</w:t>
      </w:r>
      <w:proofErr w:type="gramStart"/>
      <w:r w:rsidRPr="004865EF">
        <w:rPr>
          <w:rFonts w:hint="eastAsia"/>
        </w:rPr>
        <w:t>开域不</w:t>
      </w:r>
      <w:proofErr w:type="gramEnd"/>
      <w:r w:rsidRPr="004865EF">
        <w:rPr>
          <w:rFonts w:hint="eastAsia"/>
        </w:rPr>
        <w:t>属于前述上市规则中关于关联自然人和关联法人规定的情形。综上所述，上海</w:t>
      </w:r>
      <w:proofErr w:type="gramStart"/>
      <w:r w:rsidRPr="004865EF">
        <w:rPr>
          <w:rFonts w:hint="eastAsia"/>
        </w:rPr>
        <w:t>开域不</w:t>
      </w:r>
      <w:proofErr w:type="gramEnd"/>
      <w:r w:rsidRPr="004865EF">
        <w:rPr>
          <w:rFonts w:hint="eastAsia"/>
        </w:rPr>
        <w:t>属于发行人的关联方。</w:t>
      </w:r>
    </w:p>
    <w:p w14:paraId="57F77DED" w14:textId="77777777" w:rsidR="002131DA" w:rsidRPr="004865EF" w:rsidRDefault="002131DA" w:rsidP="002131DA">
      <w:pPr>
        <w:keepNext/>
        <w:keepLines/>
        <w:spacing w:beforeLines="50" w:before="120" w:afterLines="50" w:after="120" w:line="360" w:lineRule="auto"/>
        <w:ind w:firstLineChars="200" w:firstLine="482"/>
        <w:rPr>
          <w:rFonts w:ascii="Times New Roman" w:eastAsia="宋体" w:hAnsi="Times New Roman" w:cs="Times New Roman"/>
          <w:b/>
          <w:kern w:val="0"/>
          <w:sz w:val="24"/>
          <w:szCs w:val="32"/>
        </w:rPr>
      </w:pPr>
      <w:r w:rsidRPr="004865EF">
        <w:rPr>
          <w:rFonts w:ascii="Times New Roman" w:eastAsia="宋体" w:hAnsi="Times New Roman" w:cs="Times New Roman" w:hint="eastAsia"/>
          <w:b/>
          <w:kern w:val="0"/>
          <w:sz w:val="24"/>
          <w:szCs w:val="32"/>
        </w:rPr>
        <w:t>（二）双方交易是否有商业实质、交易价格是否合理和公允</w:t>
      </w:r>
    </w:p>
    <w:p w14:paraId="3794BB0E" w14:textId="5566985F" w:rsidR="002131DA" w:rsidRPr="004865EF" w:rsidRDefault="002131DA" w:rsidP="00884051">
      <w:pPr>
        <w:widowControl/>
        <w:spacing w:beforeLines="50" w:before="120" w:line="360" w:lineRule="auto"/>
        <w:ind w:firstLineChars="200" w:firstLine="480"/>
        <w:rPr>
          <w:rFonts w:ascii="Times New Roman" w:eastAsia="宋体" w:hAnsi="Times New Roman" w:cs="Times New Roman"/>
          <w:kern w:val="0"/>
          <w:sz w:val="24"/>
          <w:szCs w:val="22"/>
        </w:rPr>
      </w:pPr>
      <w:r w:rsidRPr="004865EF">
        <w:rPr>
          <w:rFonts w:ascii="Times New Roman" w:eastAsia="宋体" w:hAnsi="Times New Roman" w:cs="Times New Roman"/>
          <w:kern w:val="0"/>
          <w:sz w:val="24"/>
          <w:szCs w:val="22"/>
        </w:rPr>
        <w:t>2019</w:t>
      </w:r>
      <w:r w:rsidRPr="004865EF">
        <w:rPr>
          <w:rFonts w:ascii="Times New Roman" w:eastAsia="宋体" w:hAnsi="Times New Roman" w:cs="Times New Roman"/>
          <w:kern w:val="0"/>
          <w:sz w:val="24"/>
          <w:szCs w:val="22"/>
        </w:rPr>
        <w:t>年，</w:t>
      </w:r>
      <w:r w:rsidRPr="004865EF">
        <w:rPr>
          <w:rFonts w:ascii="Times New Roman" w:eastAsia="宋体" w:hAnsi="Times New Roman" w:cs="Times New Roman" w:hint="eastAsia"/>
          <w:kern w:val="0"/>
          <w:sz w:val="24"/>
          <w:szCs w:val="22"/>
        </w:rPr>
        <w:t>无双科技</w:t>
      </w:r>
      <w:r w:rsidRPr="004865EF">
        <w:rPr>
          <w:rFonts w:ascii="Times New Roman" w:eastAsia="宋体" w:hAnsi="Times New Roman" w:cs="Times New Roman"/>
          <w:kern w:val="0"/>
          <w:sz w:val="24"/>
          <w:szCs w:val="22"/>
        </w:rPr>
        <w:t>与上海</w:t>
      </w:r>
      <w:proofErr w:type="gramStart"/>
      <w:r w:rsidRPr="004865EF">
        <w:rPr>
          <w:rFonts w:ascii="Times New Roman" w:eastAsia="宋体" w:hAnsi="Times New Roman" w:cs="Times New Roman"/>
          <w:kern w:val="0"/>
          <w:sz w:val="24"/>
          <w:szCs w:val="22"/>
        </w:rPr>
        <w:t>开域签订</w:t>
      </w:r>
      <w:proofErr w:type="gramEnd"/>
      <w:r w:rsidRPr="004865EF">
        <w:rPr>
          <w:rFonts w:ascii="Times New Roman" w:eastAsia="宋体" w:hAnsi="Times New Roman" w:cs="Times New Roman"/>
          <w:kern w:val="0"/>
          <w:sz w:val="24"/>
          <w:szCs w:val="22"/>
        </w:rPr>
        <w:t>了网络推广服务合同，作为上海</w:t>
      </w:r>
      <w:proofErr w:type="gramStart"/>
      <w:r w:rsidRPr="004865EF">
        <w:rPr>
          <w:rFonts w:ascii="Times New Roman" w:eastAsia="宋体" w:hAnsi="Times New Roman" w:cs="Times New Roman"/>
          <w:kern w:val="0"/>
          <w:sz w:val="24"/>
          <w:szCs w:val="22"/>
        </w:rPr>
        <w:t>开域推广</w:t>
      </w:r>
      <w:proofErr w:type="gramEnd"/>
      <w:r w:rsidRPr="004865EF">
        <w:rPr>
          <w:rFonts w:ascii="Times New Roman" w:eastAsia="宋体" w:hAnsi="Times New Roman" w:cs="Times New Roman"/>
          <w:kern w:val="0"/>
          <w:sz w:val="24"/>
          <w:szCs w:val="22"/>
        </w:rPr>
        <w:t>投放代理商向百度购买推广资源服务。</w:t>
      </w:r>
      <w:r w:rsidRPr="004865EF">
        <w:rPr>
          <w:rFonts w:ascii="Times New Roman" w:eastAsia="宋体" w:hAnsi="Times New Roman" w:cs="Times New Roman"/>
          <w:kern w:val="0"/>
          <w:sz w:val="24"/>
          <w:szCs w:val="22"/>
        </w:rPr>
        <w:t>2019</w:t>
      </w:r>
      <w:r w:rsidRPr="004865EF">
        <w:rPr>
          <w:rFonts w:ascii="Times New Roman" w:eastAsia="宋体" w:hAnsi="Times New Roman" w:cs="Times New Roman"/>
          <w:kern w:val="0"/>
          <w:sz w:val="24"/>
          <w:szCs w:val="22"/>
        </w:rPr>
        <w:t>年度</w:t>
      </w:r>
      <w:r w:rsidRPr="004865EF">
        <w:rPr>
          <w:rFonts w:ascii="Times New Roman" w:eastAsia="宋体" w:hAnsi="Times New Roman" w:cs="Times New Roman" w:hint="eastAsia"/>
          <w:kern w:val="0"/>
          <w:sz w:val="24"/>
          <w:szCs w:val="22"/>
        </w:rPr>
        <w:t>，</w:t>
      </w:r>
      <w:r w:rsidRPr="004865EF">
        <w:rPr>
          <w:rFonts w:ascii="Times New Roman" w:eastAsia="宋体" w:hAnsi="Times New Roman" w:cs="Times New Roman"/>
          <w:kern w:val="0"/>
          <w:sz w:val="24"/>
          <w:szCs w:val="22"/>
        </w:rPr>
        <w:t>上海</w:t>
      </w:r>
      <w:proofErr w:type="gramStart"/>
      <w:r w:rsidRPr="004865EF">
        <w:rPr>
          <w:rFonts w:ascii="Times New Roman" w:eastAsia="宋体" w:hAnsi="Times New Roman" w:cs="Times New Roman"/>
          <w:kern w:val="0"/>
          <w:sz w:val="24"/>
          <w:szCs w:val="22"/>
        </w:rPr>
        <w:t>开域向</w:t>
      </w:r>
      <w:proofErr w:type="gramEnd"/>
      <w:r w:rsidRPr="004865EF">
        <w:rPr>
          <w:rFonts w:ascii="Times New Roman" w:eastAsia="宋体" w:hAnsi="Times New Roman" w:cs="Times New Roman"/>
          <w:kern w:val="0"/>
          <w:sz w:val="24"/>
          <w:szCs w:val="22"/>
        </w:rPr>
        <w:t>无双科技采购</w:t>
      </w:r>
      <w:r w:rsidRPr="004865EF">
        <w:rPr>
          <w:rFonts w:ascii="Times New Roman" w:eastAsia="宋体" w:hAnsi="Times New Roman" w:cs="Times New Roman" w:hint="eastAsia"/>
          <w:kern w:val="0"/>
          <w:sz w:val="24"/>
          <w:szCs w:val="22"/>
        </w:rPr>
        <w:t>推广服务</w:t>
      </w:r>
      <w:r w:rsidRPr="004865EF">
        <w:rPr>
          <w:rFonts w:ascii="Times New Roman" w:eastAsia="宋体" w:hAnsi="Times New Roman" w:cs="Times New Roman"/>
          <w:kern w:val="0"/>
          <w:sz w:val="24"/>
          <w:szCs w:val="22"/>
        </w:rPr>
        <w:t>71,622.09</w:t>
      </w:r>
      <w:r w:rsidRPr="004865EF">
        <w:rPr>
          <w:rFonts w:ascii="Times New Roman" w:eastAsia="宋体" w:hAnsi="Times New Roman" w:cs="Times New Roman" w:hint="eastAsia"/>
          <w:kern w:val="0"/>
          <w:sz w:val="24"/>
          <w:szCs w:val="22"/>
        </w:rPr>
        <w:t>万元。根据合同约定，</w:t>
      </w:r>
      <w:proofErr w:type="gramStart"/>
      <w:r w:rsidRPr="004865EF">
        <w:rPr>
          <w:rFonts w:ascii="Times New Roman" w:eastAsia="宋体" w:hAnsi="Times New Roman" w:cs="Times New Roman"/>
          <w:kern w:val="0"/>
          <w:sz w:val="24"/>
          <w:szCs w:val="22"/>
        </w:rPr>
        <w:t>上海开域在</w:t>
      </w:r>
      <w:proofErr w:type="gramEnd"/>
      <w:r w:rsidRPr="004865EF">
        <w:rPr>
          <w:rFonts w:ascii="Times New Roman" w:eastAsia="宋体" w:hAnsi="Times New Roman" w:cs="Times New Roman" w:hint="eastAsia"/>
          <w:kern w:val="0"/>
          <w:sz w:val="24"/>
          <w:szCs w:val="22"/>
        </w:rPr>
        <w:t>无双科技向</w:t>
      </w:r>
      <w:r w:rsidRPr="004865EF">
        <w:rPr>
          <w:rFonts w:ascii="Times New Roman" w:eastAsia="宋体" w:hAnsi="Times New Roman" w:cs="Times New Roman"/>
          <w:kern w:val="0"/>
          <w:sz w:val="24"/>
          <w:szCs w:val="22"/>
        </w:rPr>
        <w:t>百度媒体付款前</w:t>
      </w:r>
      <w:r w:rsidRPr="004865EF">
        <w:rPr>
          <w:rFonts w:ascii="Times New Roman" w:eastAsia="宋体" w:hAnsi="Times New Roman" w:cs="Times New Roman" w:hint="eastAsia"/>
          <w:kern w:val="0"/>
          <w:sz w:val="24"/>
          <w:szCs w:val="22"/>
        </w:rPr>
        <w:t>应</w:t>
      </w:r>
      <w:r w:rsidRPr="004865EF">
        <w:rPr>
          <w:rFonts w:ascii="Times New Roman" w:eastAsia="宋体" w:hAnsi="Times New Roman" w:cs="Times New Roman"/>
          <w:kern w:val="0"/>
          <w:sz w:val="24"/>
          <w:szCs w:val="22"/>
        </w:rPr>
        <w:t>向无双</w:t>
      </w:r>
      <w:r w:rsidRPr="004865EF">
        <w:rPr>
          <w:rFonts w:ascii="Times New Roman" w:eastAsia="宋体" w:hAnsi="Times New Roman" w:cs="Times New Roman" w:hint="eastAsia"/>
          <w:kern w:val="0"/>
          <w:sz w:val="24"/>
          <w:szCs w:val="22"/>
        </w:rPr>
        <w:t>科技</w:t>
      </w:r>
      <w:r w:rsidRPr="004865EF">
        <w:rPr>
          <w:rFonts w:ascii="Times New Roman" w:eastAsia="宋体" w:hAnsi="Times New Roman" w:cs="Times New Roman"/>
          <w:kern w:val="0"/>
          <w:sz w:val="24"/>
          <w:szCs w:val="22"/>
        </w:rPr>
        <w:t>支付相应款项，如果延迟付款应支付每天千分之五的违约金，</w:t>
      </w:r>
      <w:r w:rsidRPr="004865EF">
        <w:rPr>
          <w:rFonts w:ascii="Times New Roman" w:eastAsia="宋体" w:hAnsi="Times New Roman" w:cs="Times New Roman" w:hint="eastAsia"/>
          <w:kern w:val="0"/>
          <w:sz w:val="24"/>
          <w:szCs w:val="22"/>
        </w:rPr>
        <w:t>无双科技</w:t>
      </w:r>
      <w:r w:rsidRPr="004865EF">
        <w:rPr>
          <w:rFonts w:ascii="Times New Roman" w:eastAsia="宋体" w:hAnsi="Times New Roman" w:cs="Times New Roman"/>
          <w:kern w:val="0"/>
          <w:sz w:val="24"/>
          <w:szCs w:val="22"/>
        </w:rPr>
        <w:t>将取得的百度</w:t>
      </w:r>
      <w:proofErr w:type="gramStart"/>
      <w:r w:rsidRPr="004865EF">
        <w:rPr>
          <w:rFonts w:ascii="Times New Roman" w:eastAsia="宋体" w:hAnsi="Times New Roman" w:cs="Times New Roman"/>
          <w:kern w:val="0"/>
          <w:sz w:val="24"/>
          <w:szCs w:val="22"/>
        </w:rPr>
        <w:t>优惠返点全部</w:t>
      </w:r>
      <w:proofErr w:type="gramEnd"/>
      <w:r w:rsidRPr="004865EF">
        <w:rPr>
          <w:rFonts w:ascii="Times New Roman" w:eastAsia="宋体" w:hAnsi="Times New Roman" w:cs="Times New Roman"/>
          <w:kern w:val="0"/>
          <w:sz w:val="24"/>
          <w:szCs w:val="22"/>
        </w:rPr>
        <w:t>返给上海开域。</w:t>
      </w:r>
    </w:p>
    <w:p w14:paraId="1DC1F9E3" w14:textId="41CC0934" w:rsidR="002131DA" w:rsidRPr="004865EF" w:rsidRDefault="002131DA" w:rsidP="00884051">
      <w:pPr>
        <w:widowControl/>
        <w:spacing w:beforeLines="50" w:before="120" w:line="360" w:lineRule="auto"/>
        <w:ind w:firstLineChars="200" w:firstLine="480"/>
        <w:rPr>
          <w:rFonts w:ascii="Times New Roman" w:eastAsia="宋体" w:hAnsi="Times New Roman" w:cs="Times New Roman"/>
          <w:kern w:val="0"/>
          <w:sz w:val="24"/>
          <w:szCs w:val="22"/>
        </w:rPr>
      </w:pPr>
      <w:r w:rsidRPr="004865EF">
        <w:rPr>
          <w:rFonts w:ascii="Times New Roman" w:eastAsia="宋体" w:hAnsi="Times New Roman" w:cs="Times New Roman" w:hint="eastAsia"/>
          <w:kern w:val="0"/>
          <w:sz w:val="24"/>
          <w:szCs w:val="22"/>
        </w:rPr>
        <w:t>无双科技与上海开</w:t>
      </w:r>
      <w:proofErr w:type="gramStart"/>
      <w:r w:rsidRPr="004865EF">
        <w:rPr>
          <w:rFonts w:ascii="Times New Roman" w:eastAsia="宋体" w:hAnsi="Times New Roman" w:cs="Times New Roman" w:hint="eastAsia"/>
          <w:kern w:val="0"/>
          <w:sz w:val="24"/>
          <w:szCs w:val="22"/>
        </w:rPr>
        <w:t>域的返点政策</w:t>
      </w:r>
      <w:proofErr w:type="gramEnd"/>
      <w:r w:rsidRPr="004865EF">
        <w:rPr>
          <w:rFonts w:ascii="Times New Roman" w:eastAsia="宋体" w:hAnsi="Times New Roman" w:cs="Times New Roman" w:hint="eastAsia"/>
          <w:kern w:val="0"/>
          <w:sz w:val="24"/>
          <w:szCs w:val="22"/>
        </w:rPr>
        <w:t>具有商业合理性，主要由于</w:t>
      </w:r>
      <w:proofErr w:type="gramStart"/>
      <w:r w:rsidRPr="004865EF">
        <w:rPr>
          <w:rFonts w:ascii="Times New Roman" w:eastAsia="宋体" w:hAnsi="Times New Roman" w:cs="Times New Roman" w:hint="eastAsia"/>
          <w:kern w:val="0"/>
          <w:sz w:val="24"/>
          <w:szCs w:val="22"/>
        </w:rPr>
        <w:t>上海开域代理</w:t>
      </w:r>
      <w:proofErr w:type="gramEnd"/>
      <w:r w:rsidRPr="004865EF">
        <w:rPr>
          <w:rFonts w:ascii="Times New Roman" w:eastAsia="宋体" w:hAnsi="Times New Roman" w:cs="Times New Roman" w:hint="eastAsia"/>
          <w:kern w:val="0"/>
          <w:sz w:val="24"/>
          <w:szCs w:val="22"/>
        </w:rPr>
        <w:t>的终端客户为国内知名电商，</w:t>
      </w:r>
      <w:r w:rsidRPr="004865EF">
        <w:rPr>
          <w:rFonts w:ascii="Times New Roman" w:eastAsia="宋体" w:hAnsi="Times New Roman" w:cs="Times New Roman"/>
          <w:kern w:val="0"/>
          <w:sz w:val="24"/>
          <w:szCs w:val="22"/>
        </w:rPr>
        <w:t>属于行业内的重要战略客户，营销投放金额大，企业信用良好，具有良好的业务宣传示范作用，提高无双科技行业内的口碑影响；</w:t>
      </w:r>
      <w:r w:rsidRPr="004865EF">
        <w:rPr>
          <w:rFonts w:ascii="Times New Roman" w:eastAsia="宋体" w:hAnsi="Times New Roman" w:cs="Times New Roman" w:hint="eastAsia"/>
          <w:kern w:val="0"/>
          <w:sz w:val="24"/>
          <w:szCs w:val="22"/>
        </w:rPr>
        <w:t>同时，与上海开域的交易能够</w:t>
      </w:r>
      <w:r w:rsidRPr="004865EF">
        <w:rPr>
          <w:rFonts w:ascii="Times New Roman" w:eastAsia="宋体" w:hAnsi="Times New Roman" w:cs="Times New Roman"/>
          <w:kern w:val="0"/>
          <w:sz w:val="24"/>
          <w:szCs w:val="22"/>
        </w:rPr>
        <w:t>扩大</w:t>
      </w:r>
      <w:r w:rsidRPr="004865EF">
        <w:rPr>
          <w:rFonts w:ascii="Times New Roman" w:eastAsia="宋体" w:hAnsi="Times New Roman" w:cs="Times New Roman" w:hint="eastAsia"/>
          <w:kern w:val="0"/>
          <w:sz w:val="24"/>
          <w:szCs w:val="22"/>
        </w:rPr>
        <w:t>无双科技的</w:t>
      </w:r>
      <w:r w:rsidRPr="004865EF">
        <w:rPr>
          <w:rFonts w:ascii="Times New Roman" w:eastAsia="宋体" w:hAnsi="Times New Roman" w:cs="Times New Roman"/>
          <w:kern w:val="0"/>
          <w:sz w:val="24"/>
          <w:szCs w:val="22"/>
        </w:rPr>
        <w:t>业务</w:t>
      </w:r>
      <w:r w:rsidRPr="004865EF">
        <w:rPr>
          <w:rFonts w:ascii="Times New Roman" w:eastAsia="宋体" w:hAnsi="Times New Roman" w:cs="Times New Roman" w:hint="eastAsia"/>
          <w:kern w:val="0"/>
          <w:sz w:val="24"/>
          <w:szCs w:val="22"/>
        </w:rPr>
        <w:t>规模</w:t>
      </w:r>
      <w:r w:rsidRPr="004865EF">
        <w:rPr>
          <w:rFonts w:ascii="Times New Roman" w:eastAsia="宋体" w:hAnsi="Times New Roman" w:cs="Times New Roman"/>
          <w:kern w:val="0"/>
          <w:sz w:val="24"/>
          <w:szCs w:val="22"/>
        </w:rPr>
        <w:t>，完成百度对于年度经销任务</w:t>
      </w:r>
      <w:r w:rsidRPr="004865EF">
        <w:rPr>
          <w:rFonts w:ascii="Times New Roman" w:eastAsia="宋体" w:hAnsi="Times New Roman" w:cs="Times New Roman" w:hint="eastAsia"/>
          <w:kern w:val="0"/>
          <w:sz w:val="24"/>
          <w:szCs w:val="22"/>
        </w:rPr>
        <w:t>指标，提升整体业务</w:t>
      </w:r>
      <w:proofErr w:type="gramStart"/>
      <w:r w:rsidRPr="004865EF">
        <w:rPr>
          <w:rFonts w:ascii="Times New Roman" w:eastAsia="宋体" w:hAnsi="Times New Roman" w:cs="Times New Roman" w:hint="eastAsia"/>
          <w:kern w:val="0"/>
          <w:sz w:val="24"/>
          <w:szCs w:val="22"/>
        </w:rPr>
        <w:t>的返点比例</w:t>
      </w:r>
      <w:proofErr w:type="gramEnd"/>
      <w:r w:rsidRPr="004865EF">
        <w:rPr>
          <w:rFonts w:ascii="Times New Roman" w:eastAsia="宋体" w:hAnsi="Times New Roman" w:cs="Times New Roman" w:hint="eastAsia"/>
          <w:kern w:val="0"/>
          <w:sz w:val="24"/>
          <w:szCs w:val="22"/>
        </w:rPr>
        <w:t>和盈利水平，且无双科技在该业务中不需要提供垫资。上海</w:t>
      </w:r>
      <w:proofErr w:type="gramStart"/>
      <w:r w:rsidRPr="004865EF">
        <w:rPr>
          <w:rFonts w:ascii="Times New Roman" w:eastAsia="宋体" w:hAnsi="Times New Roman" w:cs="Times New Roman" w:hint="eastAsia"/>
          <w:kern w:val="0"/>
          <w:sz w:val="24"/>
          <w:szCs w:val="22"/>
        </w:rPr>
        <w:t>开域</w:t>
      </w:r>
      <w:r w:rsidR="00B05057" w:rsidRPr="004865EF">
        <w:rPr>
          <w:rFonts w:ascii="Times New Roman" w:eastAsia="宋体" w:hAnsi="Times New Roman" w:cs="Times New Roman" w:hint="eastAsia"/>
          <w:kern w:val="0"/>
          <w:sz w:val="24"/>
          <w:szCs w:val="22"/>
        </w:rPr>
        <w:t>与</w:t>
      </w:r>
      <w:proofErr w:type="gramEnd"/>
      <w:r w:rsidR="00B05057" w:rsidRPr="004865EF">
        <w:rPr>
          <w:rFonts w:ascii="Times New Roman" w:eastAsia="宋体" w:hAnsi="Times New Roman" w:cs="Times New Roman" w:hint="eastAsia"/>
          <w:kern w:val="0"/>
          <w:sz w:val="24"/>
          <w:szCs w:val="22"/>
        </w:rPr>
        <w:t>终端客户同样存在</w:t>
      </w:r>
      <w:proofErr w:type="gramStart"/>
      <w:r w:rsidR="00B05057" w:rsidRPr="004865EF">
        <w:rPr>
          <w:rFonts w:ascii="Times New Roman" w:eastAsia="宋体" w:hAnsi="Times New Roman" w:cs="Times New Roman" w:hint="eastAsia"/>
          <w:kern w:val="0"/>
          <w:sz w:val="24"/>
          <w:szCs w:val="22"/>
        </w:rPr>
        <w:t>优惠返点政策</w:t>
      </w:r>
      <w:proofErr w:type="gramEnd"/>
      <w:r w:rsidR="00B05057" w:rsidRPr="004865EF">
        <w:rPr>
          <w:rFonts w:ascii="Times New Roman" w:eastAsia="宋体" w:hAnsi="Times New Roman" w:cs="Times New Roman" w:hint="eastAsia"/>
          <w:kern w:val="0"/>
          <w:sz w:val="24"/>
          <w:szCs w:val="22"/>
        </w:rPr>
        <w:t>，上海</w:t>
      </w:r>
      <w:proofErr w:type="gramStart"/>
      <w:r w:rsidR="00B05057" w:rsidRPr="004865EF">
        <w:rPr>
          <w:rFonts w:ascii="Times New Roman" w:eastAsia="宋体" w:hAnsi="Times New Roman" w:cs="Times New Roman" w:hint="eastAsia"/>
          <w:kern w:val="0"/>
          <w:sz w:val="24"/>
          <w:szCs w:val="22"/>
        </w:rPr>
        <w:t>开域</w:t>
      </w:r>
      <w:r w:rsidRPr="004865EF">
        <w:rPr>
          <w:rFonts w:ascii="Times New Roman" w:eastAsia="宋体" w:hAnsi="Times New Roman" w:cs="Times New Roman" w:hint="eastAsia"/>
          <w:kern w:val="0"/>
          <w:sz w:val="24"/>
          <w:szCs w:val="22"/>
        </w:rPr>
        <w:t>取得</w:t>
      </w:r>
      <w:proofErr w:type="gramEnd"/>
      <w:r w:rsidR="00B05057" w:rsidRPr="004865EF">
        <w:rPr>
          <w:rFonts w:ascii="Times New Roman" w:eastAsia="宋体" w:hAnsi="Times New Roman" w:cs="Times New Roman" w:hint="eastAsia"/>
          <w:kern w:val="0"/>
          <w:sz w:val="24"/>
          <w:szCs w:val="22"/>
        </w:rPr>
        <w:t>的</w:t>
      </w:r>
      <w:proofErr w:type="gramStart"/>
      <w:r w:rsidR="00B05057" w:rsidRPr="004865EF">
        <w:rPr>
          <w:rFonts w:ascii="Times New Roman" w:eastAsia="宋体" w:hAnsi="Times New Roman" w:cs="Times New Roman" w:hint="eastAsia"/>
          <w:kern w:val="0"/>
          <w:sz w:val="24"/>
          <w:szCs w:val="22"/>
        </w:rPr>
        <w:t>大部分</w:t>
      </w:r>
      <w:r w:rsidRPr="004865EF">
        <w:rPr>
          <w:rFonts w:ascii="Times New Roman" w:eastAsia="宋体" w:hAnsi="Times New Roman" w:cs="Times New Roman" w:hint="eastAsia"/>
          <w:kern w:val="0"/>
          <w:sz w:val="24"/>
          <w:szCs w:val="22"/>
        </w:rPr>
        <w:t>返点</w:t>
      </w:r>
      <w:r w:rsidR="00B05057" w:rsidRPr="004865EF">
        <w:rPr>
          <w:rFonts w:ascii="Times New Roman" w:eastAsia="宋体" w:hAnsi="Times New Roman" w:cs="Times New Roman" w:hint="eastAsia"/>
          <w:kern w:val="0"/>
          <w:sz w:val="24"/>
          <w:szCs w:val="22"/>
        </w:rPr>
        <w:t>最终</w:t>
      </w:r>
      <w:proofErr w:type="gramEnd"/>
      <w:r w:rsidR="00B05057" w:rsidRPr="004865EF">
        <w:rPr>
          <w:rFonts w:ascii="Times New Roman" w:eastAsia="宋体" w:hAnsi="Times New Roman" w:cs="Times New Roman" w:hint="eastAsia"/>
          <w:kern w:val="0"/>
          <w:sz w:val="24"/>
          <w:szCs w:val="22"/>
        </w:rPr>
        <w:t>以充</w:t>
      </w:r>
      <w:proofErr w:type="gramStart"/>
      <w:r w:rsidR="00B05057" w:rsidRPr="004865EF">
        <w:rPr>
          <w:rFonts w:ascii="Times New Roman" w:eastAsia="宋体" w:hAnsi="Times New Roman" w:cs="Times New Roman" w:hint="eastAsia"/>
          <w:kern w:val="0"/>
          <w:sz w:val="24"/>
          <w:szCs w:val="22"/>
        </w:rPr>
        <w:t>值优惠</w:t>
      </w:r>
      <w:proofErr w:type="gramEnd"/>
      <w:r w:rsidR="00B05057" w:rsidRPr="004865EF">
        <w:rPr>
          <w:rFonts w:ascii="Times New Roman" w:eastAsia="宋体" w:hAnsi="Times New Roman" w:cs="Times New Roman" w:hint="eastAsia"/>
          <w:kern w:val="0"/>
          <w:sz w:val="24"/>
          <w:szCs w:val="22"/>
        </w:rPr>
        <w:t>的形式给予客户</w:t>
      </w:r>
      <w:r w:rsidRPr="004865EF">
        <w:rPr>
          <w:rFonts w:ascii="Times New Roman" w:eastAsia="宋体" w:hAnsi="Times New Roman" w:cs="Times New Roman" w:hint="eastAsia"/>
          <w:kern w:val="0"/>
          <w:sz w:val="24"/>
          <w:szCs w:val="22"/>
        </w:rPr>
        <w:t>，同时上海</w:t>
      </w:r>
      <w:proofErr w:type="gramStart"/>
      <w:r w:rsidRPr="004865EF">
        <w:rPr>
          <w:rFonts w:ascii="Times New Roman" w:eastAsia="宋体" w:hAnsi="Times New Roman" w:cs="Times New Roman" w:hint="eastAsia"/>
          <w:kern w:val="0"/>
          <w:sz w:val="24"/>
          <w:szCs w:val="22"/>
        </w:rPr>
        <w:t>开域</w:t>
      </w:r>
      <w:r w:rsidR="00B05057" w:rsidRPr="004865EF">
        <w:rPr>
          <w:rFonts w:ascii="Times New Roman" w:eastAsia="宋体" w:hAnsi="Times New Roman" w:cs="Times New Roman" w:hint="eastAsia"/>
          <w:kern w:val="0"/>
          <w:sz w:val="24"/>
          <w:szCs w:val="22"/>
        </w:rPr>
        <w:t>提供</w:t>
      </w:r>
      <w:proofErr w:type="gramEnd"/>
      <w:r w:rsidRPr="004865EF">
        <w:rPr>
          <w:rFonts w:ascii="Times New Roman" w:eastAsia="宋体" w:hAnsi="Times New Roman" w:cs="Times New Roman" w:hint="eastAsia"/>
          <w:kern w:val="0"/>
          <w:sz w:val="24"/>
          <w:szCs w:val="22"/>
        </w:rPr>
        <w:t>垫资</w:t>
      </w:r>
      <w:r w:rsidR="00910C8D" w:rsidRPr="004865EF">
        <w:rPr>
          <w:rFonts w:ascii="Times New Roman" w:eastAsia="宋体" w:hAnsi="Times New Roman" w:cs="Times New Roman" w:hint="eastAsia"/>
          <w:kern w:val="0"/>
          <w:sz w:val="24"/>
          <w:szCs w:val="22"/>
        </w:rPr>
        <w:t>存在资金成本</w:t>
      </w:r>
      <w:r w:rsidRPr="004865EF">
        <w:rPr>
          <w:rFonts w:ascii="Times New Roman" w:eastAsia="宋体" w:hAnsi="Times New Roman" w:cs="Times New Roman" w:hint="eastAsia"/>
          <w:kern w:val="0"/>
          <w:sz w:val="24"/>
          <w:szCs w:val="22"/>
        </w:rPr>
        <w:t>，</w:t>
      </w:r>
      <w:r w:rsidR="00B05057" w:rsidRPr="004865EF">
        <w:rPr>
          <w:rFonts w:ascii="Times New Roman" w:eastAsia="宋体" w:hAnsi="Times New Roman" w:cs="Times New Roman" w:hint="eastAsia"/>
          <w:kern w:val="0"/>
          <w:sz w:val="24"/>
          <w:szCs w:val="22"/>
        </w:rPr>
        <w:t>因此</w:t>
      </w:r>
      <w:r w:rsidRPr="004865EF">
        <w:rPr>
          <w:rFonts w:ascii="Times New Roman" w:eastAsia="宋体" w:hAnsi="Times New Roman" w:cs="Times New Roman" w:hint="eastAsia"/>
          <w:sz w:val="24"/>
          <w:szCs w:val="22"/>
        </w:rPr>
        <w:t>不存在上市公司对其利益倾斜的情况。</w:t>
      </w:r>
    </w:p>
    <w:p w14:paraId="359C28F8" w14:textId="77777777" w:rsidR="002131DA" w:rsidRPr="004865EF" w:rsidRDefault="002131DA" w:rsidP="002131DA">
      <w:pPr>
        <w:widowControl/>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kern w:val="0"/>
          <w:sz w:val="24"/>
          <w:szCs w:val="22"/>
        </w:rPr>
        <w:t>综上所述，</w:t>
      </w:r>
      <w:r w:rsidRPr="004865EF">
        <w:rPr>
          <w:rFonts w:ascii="Times New Roman" w:eastAsia="宋体" w:hAnsi="Times New Roman" w:cs="Times New Roman" w:hint="eastAsia"/>
          <w:sz w:val="24"/>
          <w:szCs w:val="22"/>
        </w:rPr>
        <w:t>无双科技与上海开域的交易具有商业合理性，交易条款符合双方利益诉求。</w:t>
      </w:r>
    </w:p>
    <w:p w14:paraId="42DC9214" w14:textId="29C65069" w:rsidR="002131DA" w:rsidRPr="004865EF" w:rsidRDefault="002131DA" w:rsidP="002131DA">
      <w:pPr>
        <w:pStyle w:val="2"/>
      </w:pPr>
      <w:r w:rsidRPr="004865EF">
        <w:rPr>
          <w:rFonts w:hint="eastAsia"/>
        </w:rPr>
        <w:t>三、发行人及其子公司是否还存在其他关联方和关联交易</w:t>
      </w:r>
    </w:p>
    <w:p w14:paraId="22DCD6E5" w14:textId="77777777" w:rsidR="002131DA" w:rsidRPr="004865EF" w:rsidRDefault="002131DA" w:rsidP="002131DA">
      <w:pPr>
        <w:spacing w:beforeLines="50" w:before="120" w:line="360" w:lineRule="auto"/>
        <w:ind w:firstLineChars="200"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经核查，除在定期报告中已披露的关联方和关联交易外，</w:t>
      </w:r>
      <w:r w:rsidRPr="004865EF">
        <w:rPr>
          <w:rFonts w:ascii="Times New Roman" w:eastAsia="宋体" w:hAnsi="Times New Roman" w:cs="Times New Roman"/>
          <w:sz w:val="24"/>
          <w:szCs w:val="22"/>
        </w:rPr>
        <w:t>发行人及其子公司</w:t>
      </w:r>
      <w:r w:rsidRPr="004865EF">
        <w:rPr>
          <w:rFonts w:ascii="Times New Roman" w:eastAsia="宋体" w:hAnsi="Times New Roman" w:cs="Times New Roman" w:hint="eastAsia"/>
          <w:sz w:val="24"/>
          <w:szCs w:val="22"/>
        </w:rPr>
        <w:lastRenderedPageBreak/>
        <w:t>不</w:t>
      </w:r>
      <w:r w:rsidRPr="004865EF">
        <w:rPr>
          <w:rFonts w:ascii="Times New Roman" w:eastAsia="宋体" w:hAnsi="Times New Roman" w:cs="Times New Roman"/>
          <w:sz w:val="24"/>
          <w:szCs w:val="22"/>
        </w:rPr>
        <w:t>存在其他关联方和关联交易。</w:t>
      </w:r>
    </w:p>
    <w:p w14:paraId="52D12B22" w14:textId="38964922" w:rsidR="00861548" w:rsidRPr="004865EF" w:rsidRDefault="002131DA">
      <w:pPr>
        <w:pStyle w:val="2"/>
      </w:pPr>
      <w:r w:rsidRPr="004865EF">
        <w:rPr>
          <w:rFonts w:hint="eastAsia"/>
        </w:rPr>
        <w:t>四</w:t>
      </w:r>
      <w:r w:rsidR="00861548" w:rsidRPr="004865EF">
        <w:rPr>
          <w:rFonts w:hint="eastAsia"/>
        </w:rPr>
        <w:t>、</w:t>
      </w:r>
      <w:r w:rsidR="00080062" w:rsidRPr="004865EF">
        <w:rPr>
          <w:rFonts w:hint="eastAsia"/>
        </w:rPr>
        <w:t>中介机构</w:t>
      </w:r>
      <w:r w:rsidR="00A679BC" w:rsidRPr="004865EF">
        <w:rPr>
          <w:rFonts w:hint="eastAsia"/>
        </w:rPr>
        <w:t>核查</w:t>
      </w:r>
      <w:r w:rsidR="00861548" w:rsidRPr="004865EF">
        <w:rPr>
          <w:rFonts w:hint="eastAsia"/>
        </w:rPr>
        <w:t>意见</w:t>
      </w:r>
    </w:p>
    <w:p w14:paraId="30AD4CB1" w14:textId="77777777" w:rsidR="00B2262D" w:rsidRPr="004865EF" w:rsidRDefault="00B2262D" w:rsidP="00A66425">
      <w:pPr>
        <w:pStyle w:val="zhengwen"/>
        <w:ind w:firstLine="482"/>
        <w:rPr>
          <w:b/>
        </w:rPr>
      </w:pPr>
      <w:r w:rsidRPr="004865EF">
        <w:rPr>
          <w:rFonts w:hint="eastAsia"/>
          <w:b/>
        </w:rPr>
        <w:t>（一）核查程序</w:t>
      </w:r>
    </w:p>
    <w:p w14:paraId="4FDB5EA9" w14:textId="4A9CDCB6" w:rsidR="00B2262D" w:rsidRPr="004865EF" w:rsidRDefault="00B2262D" w:rsidP="00494620">
      <w:pPr>
        <w:pStyle w:val="zhengwen"/>
      </w:pPr>
      <w:r w:rsidRPr="004865EF">
        <w:rPr>
          <w:rFonts w:hint="eastAsia"/>
        </w:rPr>
        <w:t>针对上述问题，保荐机构及</w:t>
      </w:r>
      <w:r w:rsidR="00211306" w:rsidRPr="004865EF">
        <w:rPr>
          <w:rFonts w:hint="eastAsia"/>
        </w:rPr>
        <w:t>申报会计师</w:t>
      </w:r>
      <w:r w:rsidRPr="004865EF">
        <w:rPr>
          <w:rFonts w:hint="eastAsia"/>
        </w:rPr>
        <w:t>履行了以下核查程序：</w:t>
      </w:r>
    </w:p>
    <w:p w14:paraId="508F134D" w14:textId="0F725C50" w:rsidR="00D940F8" w:rsidRPr="004865EF" w:rsidRDefault="00D940F8" w:rsidP="00494620">
      <w:pPr>
        <w:pStyle w:val="zhengwen"/>
      </w:pPr>
      <w:r w:rsidRPr="004865EF">
        <w:rPr>
          <w:rFonts w:hint="eastAsia"/>
        </w:rPr>
        <w:t>1</w:t>
      </w:r>
      <w:r w:rsidR="00DF62ED" w:rsidRPr="004865EF">
        <w:rPr>
          <w:rFonts w:hint="eastAsia"/>
        </w:rPr>
        <w:t>、询问发行人业务和财务负责人，了解内部交易的原因、背景</w:t>
      </w:r>
      <w:r w:rsidRPr="004865EF">
        <w:rPr>
          <w:rFonts w:hint="eastAsia"/>
        </w:rPr>
        <w:t>、定价依据</w:t>
      </w:r>
      <w:r w:rsidR="00DF62ED" w:rsidRPr="004865EF">
        <w:rPr>
          <w:rFonts w:hint="eastAsia"/>
        </w:rPr>
        <w:t>和</w:t>
      </w:r>
      <w:r w:rsidRPr="004865EF">
        <w:rPr>
          <w:rFonts w:hint="eastAsia"/>
        </w:rPr>
        <w:t>会计处理方式；</w:t>
      </w:r>
    </w:p>
    <w:p w14:paraId="5F8B17CD" w14:textId="43380ED2" w:rsidR="00D940F8" w:rsidRPr="004865EF" w:rsidRDefault="00D940F8" w:rsidP="00494620">
      <w:pPr>
        <w:pStyle w:val="zhengwen"/>
      </w:pPr>
      <w:r w:rsidRPr="004865EF">
        <w:rPr>
          <w:rFonts w:hint="eastAsia"/>
        </w:rPr>
        <w:t>2</w:t>
      </w:r>
      <w:r w:rsidRPr="004865EF">
        <w:rPr>
          <w:rFonts w:hint="eastAsia"/>
        </w:rPr>
        <w:t>、抽查关联交易的合同、原始凭单及其他相关资料；</w:t>
      </w:r>
    </w:p>
    <w:p w14:paraId="761CF926" w14:textId="314C1BB7" w:rsidR="00D940F8" w:rsidRPr="004865EF" w:rsidRDefault="00D940F8" w:rsidP="00494620">
      <w:pPr>
        <w:pStyle w:val="zhengwen"/>
      </w:pPr>
      <w:r w:rsidRPr="004865EF">
        <w:rPr>
          <w:rFonts w:hint="eastAsia"/>
        </w:rPr>
        <w:t>3</w:t>
      </w:r>
      <w:r w:rsidRPr="004865EF">
        <w:rPr>
          <w:rFonts w:hint="eastAsia"/>
        </w:rPr>
        <w:t>、查询发行人明细账并抽取成本、费用凭证，核查是否存在互相承担成本、费用的情况</w:t>
      </w:r>
      <w:r w:rsidR="009C02C8" w:rsidRPr="004865EF">
        <w:rPr>
          <w:rFonts w:hint="eastAsia"/>
        </w:rPr>
        <w:t>。</w:t>
      </w:r>
    </w:p>
    <w:p w14:paraId="50F05106" w14:textId="6CAD0E4B" w:rsidR="002131DA" w:rsidRPr="004865EF" w:rsidRDefault="002131DA" w:rsidP="002131DA">
      <w:pPr>
        <w:pStyle w:val="zhengwen"/>
      </w:pPr>
      <w:r w:rsidRPr="004865EF">
        <w:t>4</w:t>
      </w:r>
      <w:r w:rsidRPr="004865EF">
        <w:t>、访谈</w:t>
      </w:r>
      <w:r w:rsidRPr="004865EF">
        <w:rPr>
          <w:rFonts w:hint="eastAsia"/>
        </w:rPr>
        <w:t>无双科技相关负责人，了解无双科技与上海开域的交易、定价等相关情况；查阅无双科技与上海开域的合同、结算单据等，确认服务内容、服务期限、结算方式、</w:t>
      </w:r>
      <w:proofErr w:type="gramStart"/>
      <w:r w:rsidRPr="004865EF">
        <w:rPr>
          <w:rFonts w:hint="eastAsia"/>
        </w:rPr>
        <w:t>返点政策</w:t>
      </w:r>
      <w:proofErr w:type="gramEnd"/>
      <w:r w:rsidRPr="004865EF">
        <w:rPr>
          <w:rFonts w:hint="eastAsia"/>
        </w:rPr>
        <w:t>等；</w:t>
      </w:r>
    </w:p>
    <w:p w14:paraId="2E612501" w14:textId="15D12D49" w:rsidR="002131DA" w:rsidRPr="004865EF" w:rsidRDefault="002131DA" w:rsidP="002131DA">
      <w:pPr>
        <w:pStyle w:val="zhengwen"/>
      </w:pPr>
      <w:r w:rsidRPr="004865EF">
        <w:rPr>
          <w:rFonts w:hint="eastAsia"/>
        </w:rPr>
        <w:t>5</w:t>
      </w:r>
      <w:r w:rsidRPr="004865EF">
        <w:rPr>
          <w:rFonts w:hint="eastAsia"/>
        </w:rPr>
        <w:t>、访谈施侃和上海</w:t>
      </w:r>
      <w:proofErr w:type="gramStart"/>
      <w:r w:rsidRPr="004865EF">
        <w:rPr>
          <w:rFonts w:hint="eastAsia"/>
        </w:rPr>
        <w:t>开域相关</w:t>
      </w:r>
      <w:proofErr w:type="gramEnd"/>
      <w:r w:rsidRPr="004865EF">
        <w:rPr>
          <w:rFonts w:hint="eastAsia"/>
        </w:rPr>
        <w:t>负责人，了解上海开域、</w:t>
      </w:r>
      <w:proofErr w:type="gramStart"/>
      <w:r w:rsidRPr="004865EF">
        <w:rPr>
          <w:rFonts w:hint="eastAsia"/>
        </w:rPr>
        <w:t>开域集团</w:t>
      </w:r>
      <w:proofErr w:type="gramEnd"/>
      <w:r w:rsidRPr="004865EF">
        <w:rPr>
          <w:rFonts w:hint="eastAsia"/>
        </w:rPr>
        <w:t>的相关情况，询问上海</w:t>
      </w:r>
      <w:proofErr w:type="gramStart"/>
      <w:r w:rsidRPr="004865EF">
        <w:rPr>
          <w:rFonts w:hint="eastAsia"/>
        </w:rPr>
        <w:t>开域与</w:t>
      </w:r>
      <w:proofErr w:type="gramEnd"/>
      <w:r w:rsidRPr="004865EF">
        <w:rPr>
          <w:rFonts w:hint="eastAsia"/>
        </w:rPr>
        <w:t>无双科技的交易、定价、结算方式等信息；</w:t>
      </w:r>
    </w:p>
    <w:p w14:paraId="5FD55853" w14:textId="1853AA18" w:rsidR="002131DA" w:rsidRPr="004865EF" w:rsidRDefault="002131DA" w:rsidP="002131DA">
      <w:pPr>
        <w:pStyle w:val="zhengwen"/>
      </w:pPr>
      <w:r w:rsidRPr="004865EF">
        <w:rPr>
          <w:rFonts w:hint="eastAsia"/>
        </w:rPr>
        <w:t>6</w:t>
      </w:r>
      <w:r w:rsidRPr="004865EF">
        <w:rPr>
          <w:rFonts w:hint="eastAsia"/>
        </w:rPr>
        <w:t>、调取百度后台终端客户的充</w:t>
      </w:r>
      <w:proofErr w:type="gramStart"/>
      <w:r w:rsidRPr="004865EF">
        <w:rPr>
          <w:rFonts w:hint="eastAsia"/>
        </w:rPr>
        <w:t>值消费</w:t>
      </w:r>
      <w:proofErr w:type="gramEnd"/>
      <w:r w:rsidRPr="004865EF">
        <w:rPr>
          <w:rFonts w:hint="eastAsia"/>
        </w:rPr>
        <w:t>记录，与无双科技进行核对；</w:t>
      </w:r>
    </w:p>
    <w:p w14:paraId="16AA5480" w14:textId="125D249A" w:rsidR="002131DA" w:rsidRPr="004865EF" w:rsidRDefault="002131DA" w:rsidP="002131DA">
      <w:pPr>
        <w:pStyle w:val="zhengwen"/>
      </w:pPr>
      <w:r w:rsidRPr="004865EF">
        <w:rPr>
          <w:rFonts w:hint="eastAsia"/>
        </w:rPr>
        <w:t>7</w:t>
      </w:r>
      <w:r w:rsidRPr="004865EF">
        <w:rPr>
          <w:rFonts w:hint="eastAsia"/>
        </w:rPr>
        <w:t>、通过公开信息查询上海开域、齐欣互动、南京安与吉等公司基本情况；查阅《企业会计准则》、《深圳证券交易所创业板股票上市规则》及相关解释，与发行人相关管理人员进行访谈，了解关联方及其交易，按照规则要求确认关联方和关联交易。</w:t>
      </w:r>
    </w:p>
    <w:p w14:paraId="420BA71B" w14:textId="77777777" w:rsidR="00DF62ED" w:rsidRPr="004865EF" w:rsidRDefault="00DF62ED" w:rsidP="00A66425">
      <w:pPr>
        <w:pStyle w:val="zhengwen"/>
        <w:ind w:firstLine="482"/>
        <w:rPr>
          <w:b/>
        </w:rPr>
      </w:pPr>
      <w:r w:rsidRPr="004865EF">
        <w:rPr>
          <w:rFonts w:hint="eastAsia"/>
          <w:b/>
        </w:rPr>
        <w:t>（二）核查意见</w:t>
      </w:r>
    </w:p>
    <w:p w14:paraId="4982C30B" w14:textId="6536F62F" w:rsidR="00D940F8" w:rsidRPr="004865EF" w:rsidRDefault="00D940F8" w:rsidP="00494620">
      <w:pPr>
        <w:pStyle w:val="zhengwen"/>
      </w:pPr>
      <w:r w:rsidRPr="004865EF">
        <w:rPr>
          <w:rFonts w:hint="eastAsia"/>
        </w:rPr>
        <w:t>经核查，保荐机构及</w:t>
      </w:r>
      <w:r w:rsidR="00211306" w:rsidRPr="004865EF">
        <w:rPr>
          <w:rFonts w:hint="eastAsia"/>
        </w:rPr>
        <w:t>申报会计师</w:t>
      </w:r>
      <w:r w:rsidRPr="004865EF">
        <w:rPr>
          <w:rFonts w:hint="eastAsia"/>
        </w:rPr>
        <w:t>认为：</w:t>
      </w:r>
    </w:p>
    <w:p w14:paraId="120C49F6" w14:textId="2592A6BE" w:rsidR="00D940F8" w:rsidRPr="004865EF" w:rsidRDefault="00D940F8" w:rsidP="00494620">
      <w:pPr>
        <w:pStyle w:val="zhengwen"/>
      </w:pPr>
      <w:r w:rsidRPr="004865EF">
        <w:rPr>
          <w:rFonts w:hint="eastAsia"/>
        </w:rPr>
        <w:t>光环新网</w:t>
      </w:r>
      <w:r w:rsidR="002337EE" w:rsidRPr="004865EF">
        <w:rPr>
          <w:rFonts w:hint="eastAsia"/>
        </w:rPr>
        <w:t>及其关联方</w:t>
      </w:r>
      <w:r w:rsidRPr="004865EF">
        <w:rPr>
          <w:rFonts w:hint="eastAsia"/>
        </w:rPr>
        <w:t>不存在向并购标的业务倾斜、通过显失公允的关联交易或者由关联方承担成本、费用等方式提升并购标的业绩的情形。</w:t>
      </w:r>
    </w:p>
    <w:p w14:paraId="0D945EC0" w14:textId="77777777" w:rsidR="002131DA" w:rsidRPr="004865EF" w:rsidRDefault="002131DA" w:rsidP="002131DA">
      <w:pPr>
        <w:pStyle w:val="zhengwen"/>
      </w:pPr>
      <w:r w:rsidRPr="004865EF">
        <w:rPr>
          <w:rFonts w:hint="eastAsia"/>
        </w:rPr>
        <w:t>经核查，保荐机构认为：</w:t>
      </w:r>
    </w:p>
    <w:p w14:paraId="744E3944" w14:textId="712B94A6" w:rsidR="002131DA" w:rsidRPr="004865EF" w:rsidRDefault="002131DA" w:rsidP="002131DA">
      <w:pPr>
        <w:spacing w:beforeLines="50" w:before="120" w:line="360" w:lineRule="auto"/>
        <w:ind w:firstLineChars="200" w:firstLine="480"/>
        <w:rPr>
          <w:rFonts w:ascii="Times New Roman" w:eastAsia="宋体" w:hAnsi="Times New Roman" w:cs="Times New Roman"/>
          <w:szCs w:val="22"/>
        </w:rPr>
      </w:pPr>
      <w:r w:rsidRPr="004865EF">
        <w:rPr>
          <w:rFonts w:ascii="Times New Roman" w:eastAsia="宋体" w:hAnsi="Times New Roman" w:cs="Times New Roman"/>
          <w:sz w:val="24"/>
          <w:szCs w:val="22"/>
        </w:rPr>
        <w:t>上海</w:t>
      </w:r>
      <w:proofErr w:type="gramStart"/>
      <w:r w:rsidRPr="004865EF">
        <w:rPr>
          <w:rFonts w:ascii="Times New Roman" w:eastAsia="宋体" w:hAnsi="Times New Roman" w:cs="Times New Roman"/>
          <w:sz w:val="24"/>
          <w:szCs w:val="22"/>
        </w:rPr>
        <w:t>开域</w:t>
      </w:r>
      <w:r w:rsidRPr="004865EF">
        <w:rPr>
          <w:rFonts w:ascii="Times New Roman" w:eastAsia="宋体" w:hAnsi="Times New Roman" w:cs="Times New Roman" w:hint="eastAsia"/>
          <w:sz w:val="24"/>
          <w:szCs w:val="22"/>
        </w:rPr>
        <w:t>不</w:t>
      </w:r>
      <w:proofErr w:type="gramEnd"/>
      <w:r w:rsidRPr="004865EF">
        <w:rPr>
          <w:rFonts w:ascii="Times New Roman" w:eastAsia="宋体" w:hAnsi="Times New Roman" w:cs="Times New Roman" w:hint="eastAsia"/>
          <w:sz w:val="24"/>
          <w:szCs w:val="22"/>
        </w:rPr>
        <w:t>属于</w:t>
      </w:r>
      <w:r w:rsidRPr="004865EF">
        <w:rPr>
          <w:rFonts w:ascii="Times New Roman" w:eastAsia="宋体" w:hAnsi="Times New Roman" w:cs="Times New Roman"/>
          <w:sz w:val="24"/>
          <w:szCs w:val="22"/>
        </w:rPr>
        <w:t>无双科技的关联方，双方交易</w:t>
      </w:r>
      <w:r w:rsidRPr="004865EF">
        <w:rPr>
          <w:rFonts w:ascii="Times New Roman" w:eastAsia="宋体" w:hAnsi="Times New Roman" w:cs="Times New Roman" w:hint="eastAsia"/>
          <w:sz w:val="24"/>
          <w:szCs w:val="22"/>
        </w:rPr>
        <w:t>具有</w:t>
      </w:r>
      <w:r w:rsidRPr="004865EF">
        <w:rPr>
          <w:rFonts w:ascii="Times New Roman" w:eastAsia="宋体" w:hAnsi="Times New Roman" w:cs="Times New Roman"/>
          <w:sz w:val="24"/>
          <w:szCs w:val="22"/>
        </w:rPr>
        <w:t>商业实质，交易价格</w:t>
      </w:r>
      <w:r w:rsidRPr="004865EF">
        <w:rPr>
          <w:rFonts w:ascii="Times New Roman" w:eastAsia="宋体" w:hAnsi="Times New Roman" w:cs="Times New Roman" w:hint="eastAsia"/>
          <w:sz w:val="24"/>
          <w:szCs w:val="22"/>
        </w:rPr>
        <w:t>公允合理</w:t>
      </w:r>
      <w:r w:rsidRPr="004865EF">
        <w:rPr>
          <w:rFonts w:ascii="Times New Roman" w:eastAsia="宋体" w:hAnsi="Times New Roman" w:cs="Times New Roman"/>
          <w:sz w:val="24"/>
          <w:szCs w:val="22"/>
        </w:rPr>
        <w:t>；</w:t>
      </w:r>
      <w:r w:rsidRPr="004865EF">
        <w:rPr>
          <w:rFonts w:ascii="Times New Roman" w:eastAsia="宋体" w:hAnsi="Times New Roman" w:cs="Times New Roman" w:hint="eastAsia"/>
          <w:sz w:val="24"/>
          <w:szCs w:val="22"/>
        </w:rPr>
        <w:t>除在定期报告中已披露的关联方和关联交易外，</w:t>
      </w:r>
      <w:r w:rsidRPr="004865EF">
        <w:rPr>
          <w:rFonts w:ascii="Times New Roman" w:eastAsia="宋体" w:hAnsi="Times New Roman" w:cs="Times New Roman"/>
          <w:sz w:val="24"/>
          <w:szCs w:val="22"/>
        </w:rPr>
        <w:t>发行人及其子公司</w:t>
      </w:r>
      <w:r w:rsidRPr="004865EF">
        <w:rPr>
          <w:rFonts w:ascii="Times New Roman" w:eastAsia="宋体" w:hAnsi="Times New Roman" w:cs="Times New Roman" w:hint="eastAsia"/>
          <w:sz w:val="24"/>
          <w:szCs w:val="22"/>
        </w:rPr>
        <w:t>不</w:t>
      </w:r>
      <w:r w:rsidRPr="004865EF">
        <w:rPr>
          <w:rFonts w:ascii="Times New Roman" w:eastAsia="宋体" w:hAnsi="Times New Roman" w:cs="Times New Roman"/>
          <w:sz w:val="24"/>
          <w:szCs w:val="22"/>
        </w:rPr>
        <w:t>存在</w:t>
      </w:r>
      <w:r w:rsidRPr="004865EF">
        <w:rPr>
          <w:rFonts w:ascii="Times New Roman" w:eastAsia="宋体" w:hAnsi="Times New Roman" w:cs="Times New Roman"/>
          <w:sz w:val="24"/>
          <w:szCs w:val="22"/>
        </w:rPr>
        <w:lastRenderedPageBreak/>
        <w:t>其他关联方和关联交易。</w:t>
      </w:r>
    </w:p>
    <w:p w14:paraId="730DEE4E" w14:textId="04FECDAA" w:rsidR="00D940F8" w:rsidRPr="004865EF" w:rsidRDefault="00D940F8" w:rsidP="00A66425">
      <w:pPr>
        <w:pStyle w:val="zhengwen"/>
        <w:ind w:firstLine="482"/>
        <w:rPr>
          <w:b/>
        </w:rPr>
      </w:pPr>
      <w:r w:rsidRPr="004865EF">
        <w:rPr>
          <w:rFonts w:hint="eastAsia"/>
          <w:b/>
        </w:rPr>
        <w:t>（三）会计师对并购子公司的业绩真实性的核查情况</w:t>
      </w:r>
    </w:p>
    <w:p w14:paraId="184AF2B5" w14:textId="77777777" w:rsidR="00577D23" w:rsidRPr="004865EF" w:rsidRDefault="00577D23" w:rsidP="00577D23">
      <w:pPr>
        <w:pStyle w:val="zhengwen"/>
      </w:pPr>
      <w:r w:rsidRPr="004865EF">
        <w:t>1</w:t>
      </w:r>
      <w:r w:rsidRPr="004865EF">
        <w:t>、了解查看公司董事会及股东会决议等，与相关人员了解收购股权的目的，确认交易的真实性、合</w:t>
      </w:r>
      <w:proofErr w:type="gramStart"/>
      <w:r w:rsidRPr="004865EF">
        <w:t>规</w:t>
      </w:r>
      <w:proofErr w:type="gramEnd"/>
      <w:r w:rsidRPr="004865EF">
        <w:t>性；</w:t>
      </w:r>
    </w:p>
    <w:p w14:paraId="0E4DD848" w14:textId="77777777" w:rsidR="00577D23" w:rsidRPr="004865EF" w:rsidRDefault="00577D23" w:rsidP="00577D23">
      <w:pPr>
        <w:pStyle w:val="zhengwen"/>
      </w:pPr>
      <w:r w:rsidRPr="004865EF">
        <w:t>2</w:t>
      </w:r>
      <w:r w:rsidRPr="004865EF">
        <w:t>、查看被收购公司工商资料，了解被收购公司股东基本情况、房屋抵押质押及债权债务等情况；</w:t>
      </w:r>
    </w:p>
    <w:p w14:paraId="5B6F036B" w14:textId="77777777" w:rsidR="00577D23" w:rsidRPr="004865EF" w:rsidRDefault="00577D23" w:rsidP="00577D23">
      <w:pPr>
        <w:pStyle w:val="zhengwen"/>
      </w:pPr>
      <w:r w:rsidRPr="004865EF">
        <w:t>3</w:t>
      </w:r>
      <w:r w:rsidRPr="004865EF">
        <w:t>、了解并购双方诉求，对被收购公司的业务、资产（包括固定资产、在建工程、无形资产和长期待摊）和人员情况进行了解、访谈及实地抽查；</w:t>
      </w:r>
    </w:p>
    <w:p w14:paraId="4CE301BA" w14:textId="77777777" w:rsidR="00577D23" w:rsidRPr="004865EF" w:rsidRDefault="00577D23" w:rsidP="00577D23">
      <w:pPr>
        <w:pStyle w:val="zhengwen"/>
      </w:pPr>
      <w:r w:rsidRPr="004865EF">
        <w:t>4</w:t>
      </w:r>
      <w:r w:rsidRPr="004865EF">
        <w:t>、查看收购股权的相关资料，包括但不限于被收购公司的评估报告及估值情况、被收购公司基准日财务数据等；</w:t>
      </w:r>
    </w:p>
    <w:p w14:paraId="3BC61EF4" w14:textId="77777777" w:rsidR="00577D23" w:rsidRPr="004865EF" w:rsidRDefault="00577D23" w:rsidP="00577D23">
      <w:pPr>
        <w:pStyle w:val="zhengwen"/>
      </w:pPr>
      <w:r w:rsidRPr="004865EF">
        <w:t>5</w:t>
      </w:r>
      <w:r w:rsidRPr="004865EF">
        <w:t>、与被并购子公司管理层进行访谈，了解公司会计政策，经营情况、重大变化等，对被并购公司销售与收款、采购与付款、实物资产的内部控制进行测试，以评价相关的关键内部控制的设计和运行有效性；</w:t>
      </w:r>
      <w:r w:rsidRPr="004865EF">
        <w:t xml:space="preserve"> </w:t>
      </w:r>
    </w:p>
    <w:p w14:paraId="3A9E3D13" w14:textId="77777777" w:rsidR="00577D23" w:rsidRPr="004865EF" w:rsidRDefault="00577D23" w:rsidP="00577D23">
      <w:pPr>
        <w:pStyle w:val="zhengwen"/>
      </w:pPr>
      <w:r w:rsidRPr="004865EF">
        <w:t>6</w:t>
      </w:r>
      <w:r w:rsidRPr="004865EF">
        <w:t>、核查被并购子公司服务合同情况，查看合同约定服务内容、服务期限、结算方式等，通过本期和上期比较数据分析收入成本的构成及价格是否异常；计算毛利率，与上期比较，分析毛利率的变化原因，检查各期之间是否存在重大波动，并查明原因；对被并购子公司大额往来款、销售、采购及所有银行存款进行函证，对未回函的往来款等查验期后收付款，以确认数据的准确性；</w:t>
      </w:r>
    </w:p>
    <w:p w14:paraId="6399D1D9" w14:textId="485FE11D" w:rsidR="00577D23" w:rsidRPr="004865EF" w:rsidRDefault="00577D23" w:rsidP="00577D23">
      <w:pPr>
        <w:pStyle w:val="zhengwen"/>
      </w:pPr>
      <w:r w:rsidRPr="004865EF">
        <w:t>7</w:t>
      </w:r>
      <w:r w:rsidRPr="004865EF">
        <w:t>、对被并购子公司所有实物资产查验相关证照、实物盘点，以确认实物资产的使用状况等；对并购子公司大额收支情况，了解业务发生的真实性，查验相关原始凭单、审批手续等；</w:t>
      </w:r>
    </w:p>
    <w:p w14:paraId="1F146AC5" w14:textId="77777777" w:rsidR="00577D23" w:rsidRPr="004865EF" w:rsidRDefault="00577D23" w:rsidP="00577D23">
      <w:pPr>
        <w:pStyle w:val="zhengwen"/>
      </w:pPr>
      <w:r w:rsidRPr="004865EF">
        <w:t>8</w:t>
      </w:r>
      <w:r w:rsidRPr="004865EF">
        <w:t>、查验被并购子公司客户和供应商的企业信息登记情况，以此判断是否存在关联方的款项，同时了解交易的商业理由及关联交易的定价依据，抽查关联交易的合同、原始凭单及其他相关资料；</w:t>
      </w:r>
    </w:p>
    <w:p w14:paraId="6D50C17C" w14:textId="77777777" w:rsidR="00577D23" w:rsidRPr="004865EF" w:rsidRDefault="00577D23" w:rsidP="00577D23">
      <w:pPr>
        <w:pStyle w:val="zhengwen"/>
      </w:pPr>
      <w:r w:rsidRPr="004865EF">
        <w:t>9</w:t>
      </w:r>
      <w:r w:rsidRPr="004865EF">
        <w:t>、查看被并购子公司各年审计报告及承诺兑现情况报告等资料，确认承诺</w:t>
      </w:r>
      <w:proofErr w:type="gramStart"/>
      <w:r w:rsidRPr="004865EF">
        <w:t>期业绩</w:t>
      </w:r>
      <w:proofErr w:type="gramEnd"/>
      <w:r w:rsidRPr="004865EF">
        <w:t>的真实性、合理性等。</w:t>
      </w:r>
    </w:p>
    <w:p w14:paraId="25364F6F" w14:textId="77777777" w:rsidR="00333E01" w:rsidRPr="004865EF" w:rsidRDefault="00577D23" w:rsidP="00A66425">
      <w:pPr>
        <w:pStyle w:val="zhengwen"/>
      </w:pPr>
      <w:r w:rsidRPr="004865EF">
        <w:rPr>
          <w:rFonts w:hint="eastAsia"/>
        </w:rPr>
        <w:t>经核查，申报会计师认为已对并购子公司实施了全面的审计程序，获取的主</w:t>
      </w:r>
      <w:r w:rsidRPr="004865EF">
        <w:rPr>
          <w:rFonts w:hint="eastAsia"/>
        </w:rPr>
        <w:lastRenderedPageBreak/>
        <w:t>要审计证据充足，并购子公司的业绩具有真实性。</w:t>
      </w:r>
      <w:bookmarkEnd w:id="33"/>
    </w:p>
    <w:p w14:paraId="763E92F5" w14:textId="3A57FC40" w:rsidR="005E5A0F" w:rsidRPr="004865EF" w:rsidRDefault="005E5A0F" w:rsidP="00333E01">
      <w:pPr>
        <w:pStyle w:val="-"/>
        <w:spacing w:beforeLines="50" w:before="120" w:line="360" w:lineRule="auto"/>
        <w:ind w:firstLineChars="200" w:firstLine="482"/>
        <w:rPr>
          <w:rFonts w:ascii="黑体" w:eastAsia="黑体" w:hAnsi="黑体"/>
          <w:b/>
          <w:sz w:val="24"/>
        </w:rPr>
      </w:pPr>
      <w:r w:rsidRPr="004865EF">
        <w:rPr>
          <w:rFonts w:ascii="黑体" w:eastAsia="黑体" w:hAnsi="黑体"/>
          <w:b/>
          <w:sz w:val="24"/>
        </w:rPr>
        <w:br w:type="page"/>
      </w:r>
    </w:p>
    <w:p w14:paraId="31296FE1" w14:textId="1CCCE5C8" w:rsidR="000F60C2" w:rsidRPr="004865EF" w:rsidRDefault="004865EF" w:rsidP="000F60C2">
      <w:pPr>
        <w:spacing w:after="440" w:line="502" w:lineRule="exact"/>
        <w:ind w:firstLine="140"/>
        <w:jc w:val="left"/>
        <w:rPr>
          <w:rFonts w:ascii="宋体" w:eastAsia="宋体" w:hAnsi="宋体" w:cs="黑体"/>
          <w:sz w:val="24"/>
          <w:lang w:val="zh-CN" w:bidi="zh-CN"/>
        </w:rPr>
      </w:pPr>
      <w:r>
        <w:rPr>
          <w:rFonts w:ascii="宋体" w:eastAsia="宋体" w:hAnsi="宋体" w:cs="黑体"/>
          <w:noProof/>
          <w:sz w:val="24"/>
        </w:rPr>
        <w:lastRenderedPageBreak/>
        <w:drawing>
          <wp:anchor distT="0" distB="0" distL="114300" distR="114300" simplePos="0" relativeHeight="251658240" behindDoc="0" locked="0" layoutInCell="1" allowOverlap="1" wp14:anchorId="6336ED92" wp14:editId="638DB631">
            <wp:simplePos x="0" y="0"/>
            <wp:positionH relativeFrom="margin">
              <wp:posOffset>-1131570</wp:posOffset>
            </wp:positionH>
            <wp:positionV relativeFrom="paragraph">
              <wp:posOffset>-902969</wp:posOffset>
            </wp:positionV>
            <wp:extent cx="7533125" cy="90868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页面_1.jpg"/>
                    <pic:cNvPicPr/>
                  </pic:nvPicPr>
                  <pic:blipFill rotWithShape="1">
                    <a:blip r:embed="rId16" cstate="print">
                      <a:extLst>
                        <a:ext uri="{28A0092B-C50C-407E-A947-70E740481C1C}">
                          <a14:useLocalDpi xmlns:a14="http://schemas.microsoft.com/office/drawing/2010/main" val="0"/>
                        </a:ext>
                      </a:extLst>
                    </a:blip>
                    <a:srcRect b="14746"/>
                    <a:stretch/>
                  </pic:blipFill>
                  <pic:spPr bwMode="auto">
                    <a:xfrm>
                      <a:off x="0" y="0"/>
                      <a:ext cx="7538765" cy="90936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60C2" w:rsidRPr="004865EF">
        <w:rPr>
          <w:rFonts w:ascii="宋体" w:eastAsia="宋体" w:hAnsi="宋体" w:cs="黑体"/>
          <w:sz w:val="24"/>
          <w:lang w:val="zh-CN" w:bidi="zh-CN"/>
        </w:rPr>
        <w:t>（</w:t>
      </w:r>
      <w:r w:rsidR="000F60C2" w:rsidRPr="004865EF">
        <w:rPr>
          <w:rFonts w:ascii="宋体" w:eastAsia="宋体" w:hAnsi="宋体" w:cs="黑体" w:hint="eastAsia"/>
          <w:sz w:val="24"/>
          <w:lang w:val="zh-CN" w:bidi="zh-CN"/>
        </w:rPr>
        <w:t>本</w:t>
      </w:r>
      <w:r w:rsidR="000F60C2" w:rsidRPr="004865EF">
        <w:rPr>
          <w:rFonts w:ascii="宋体" w:eastAsia="宋体" w:hAnsi="宋体" w:cs="黑体"/>
          <w:sz w:val="24"/>
          <w:lang w:val="zh-CN" w:bidi="zh-CN"/>
        </w:rPr>
        <w:t>页无正文，为《</w:t>
      </w:r>
      <w:r w:rsidR="00EF5C0C" w:rsidRPr="004865EF">
        <w:rPr>
          <w:rFonts w:ascii="Times New Roman" w:eastAsia="宋体" w:hAnsi="Times New Roman" w:cs="Times New Roman" w:hint="eastAsia"/>
          <w:sz w:val="24"/>
          <w:szCs w:val="22"/>
        </w:rPr>
        <w:t>关于北京光环新网科技股份有限公司申请向特定对象发行</w:t>
      </w:r>
      <w:bookmarkStart w:id="35" w:name="_GoBack"/>
      <w:bookmarkEnd w:id="35"/>
      <w:r w:rsidR="00EF5C0C" w:rsidRPr="004865EF">
        <w:rPr>
          <w:rFonts w:ascii="Times New Roman" w:eastAsia="宋体" w:hAnsi="Times New Roman" w:cs="Times New Roman" w:hint="eastAsia"/>
          <w:sz w:val="24"/>
          <w:szCs w:val="22"/>
        </w:rPr>
        <w:t>股票的审核问询函的回复</w:t>
      </w:r>
      <w:r w:rsidR="000F60C2" w:rsidRPr="004865EF">
        <w:rPr>
          <w:rFonts w:ascii="宋体" w:eastAsia="宋体" w:hAnsi="宋体" w:cs="黑体"/>
          <w:sz w:val="24"/>
          <w:lang w:val="zh-CN" w:bidi="zh-CN"/>
        </w:rPr>
        <w:t>》的签章页）</w:t>
      </w:r>
    </w:p>
    <w:p w14:paraId="1DB5E0D5" w14:textId="7017EC2F" w:rsidR="000F60C2" w:rsidRPr="004865EF" w:rsidRDefault="000F60C2" w:rsidP="000F60C2">
      <w:pPr>
        <w:spacing w:after="440" w:line="502" w:lineRule="exact"/>
        <w:ind w:firstLine="140"/>
        <w:jc w:val="left"/>
        <w:rPr>
          <w:rFonts w:ascii="宋体" w:eastAsia="宋体" w:hAnsi="宋体" w:cs="黑体"/>
          <w:sz w:val="24"/>
          <w:lang w:val="zh-CN" w:bidi="zh-CN"/>
        </w:rPr>
      </w:pPr>
    </w:p>
    <w:p w14:paraId="657F19E7" w14:textId="3597FB78" w:rsidR="000F60C2" w:rsidRPr="004865EF" w:rsidRDefault="000F60C2" w:rsidP="000F60C2">
      <w:pPr>
        <w:spacing w:after="440" w:line="502" w:lineRule="exact"/>
        <w:ind w:firstLine="140"/>
        <w:jc w:val="left"/>
        <w:rPr>
          <w:rFonts w:ascii="宋体" w:eastAsia="宋体" w:hAnsi="宋体" w:cs="黑体"/>
          <w:sz w:val="24"/>
          <w:lang w:val="zh-CN" w:bidi="zh-CN"/>
        </w:rPr>
      </w:pPr>
    </w:p>
    <w:p w14:paraId="58119A8B" w14:textId="2E1EE181" w:rsidR="000F60C2" w:rsidRPr="004865EF" w:rsidRDefault="000F60C2" w:rsidP="000F60C2">
      <w:pPr>
        <w:spacing w:after="440" w:line="502" w:lineRule="exact"/>
        <w:ind w:firstLine="140"/>
        <w:jc w:val="left"/>
        <w:rPr>
          <w:rFonts w:ascii="宋体" w:eastAsia="宋体" w:hAnsi="宋体" w:cs="黑体"/>
          <w:sz w:val="24"/>
          <w:lang w:val="zh-CN" w:bidi="zh-CN"/>
        </w:rPr>
      </w:pPr>
    </w:p>
    <w:p w14:paraId="3662A85A" w14:textId="77777777" w:rsidR="000F60C2" w:rsidRPr="004865EF" w:rsidRDefault="000F60C2" w:rsidP="000F60C2">
      <w:pPr>
        <w:spacing w:after="440" w:line="502" w:lineRule="exact"/>
        <w:ind w:firstLine="140"/>
        <w:jc w:val="left"/>
        <w:rPr>
          <w:rFonts w:ascii="宋体" w:eastAsia="宋体" w:hAnsi="宋体" w:cs="黑体"/>
          <w:sz w:val="24"/>
          <w:lang w:val="zh-CN" w:bidi="zh-CN"/>
        </w:rPr>
      </w:pPr>
    </w:p>
    <w:p w14:paraId="01E16715" w14:textId="77777777" w:rsidR="000F60C2" w:rsidRPr="004865EF" w:rsidRDefault="000F60C2" w:rsidP="000F60C2">
      <w:pPr>
        <w:tabs>
          <w:tab w:val="left" w:pos="8280"/>
        </w:tabs>
        <w:spacing w:beforeLines="50" w:before="120" w:line="360" w:lineRule="auto"/>
        <w:ind w:right="26" w:firstLineChars="1350" w:firstLine="3240"/>
        <w:jc w:val="right"/>
        <w:rPr>
          <w:rFonts w:ascii="Times New Roman" w:eastAsia="宋体" w:hAnsi="Times New Roman" w:cs="Times New Roman"/>
          <w:sz w:val="24"/>
        </w:rPr>
      </w:pPr>
      <w:r w:rsidRPr="004865EF">
        <w:rPr>
          <w:rFonts w:ascii="Times New Roman" w:eastAsia="宋体" w:hAnsi="Times New Roman" w:cs="Times New Roman" w:hint="eastAsia"/>
          <w:sz w:val="24"/>
        </w:rPr>
        <w:t>北京光环新网</w:t>
      </w:r>
      <w:r w:rsidRPr="004865EF">
        <w:rPr>
          <w:rFonts w:ascii="Times New Roman" w:eastAsia="宋体" w:hAnsi="Times New Roman" w:cs="Times New Roman"/>
          <w:sz w:val="24"/>
        </w:rPr>
        <w:t>科技股份</w:t>
      </w:r>
      <w:r w:rsidRPr="004865EF">
        <w:rPr>
          <w:rFonts w:ascii="Times New Roman" w:eastAsia="宋体" w:hAnsi="Times New Roman" w:cs="Times New Roman" w:hint="eastAsia"/>
          <w:sz w:val="24"/>
        </w:rPr>
        <w:t>有</w:t>
      </w:r>
      <w:r w:rsidRPr="004865EF">
        <w:rPr>
          <w:rFonts w:ascii="Times New Roman" w:eastAsia="宋体" w:hAnsi="Times New Roman" w:cs="Times New Roman"/>
          <w:sz w:val="24"/>
        </w:rPr>
        <w:t>限公司</w:t>
      </w:r>
    </w:p>
    <w:p w14:paraId="3F3C30B3" w14:textId="77777777" w:rsidR="000F60C2" w:rsidRPr="004865EF" w:rsidRDefault="000F60C2" w:rsidP="000F60C2">
      <w:pPr>
        <w:tabs>
          <w:tab w:val="left" w:pos="8280"/>
        </w:tabs>
        <w:spacing w:beforeLines="50" w:before="120" w:line="360" w:lineRule="auto"/>
        <w:ind w:right="26" w:firstLineChars="1350" w:firstLine="3240"/>
        <w:jc w:val="right"/>
        <w:rPr>
          <w:rFonts w:ascii="Times New Roman" w:eastAsia="宋体" w:hAnsi="Times New Roman" w:cs="Times New Roman"/>
          <w:sz w:val="24"/>
        </w:rPr>
      </w:pPr>
      <w:r w:rsidRPr="004865EF">
        <w:rPr>
          <w:rFonts w:ascii="Times New Roman" w:eastAsia="宋体" w:hAnsi="Times New Roman" w:cs="Times New Roman" w:hint="eastAsia"/>
          <w:sz w:val="24"/>
        </w:rPr>
        <w:t xml:space="preserve"> </w:t>
      </w:r>
      <w:r w:rsidRPr="004865EF">
        <w:rPr>
          <w:rFonts w:ascii="Times New Roman" w:eastAsia="宋体" w:hAnsi="Times New Roman" w:cs="Times New Roman"/>
          <w:sz w:val="24"/>
        </w:rPr>
        <w:t>年</w:t>
      </w:r>
      <w:r w:rsidRPr="004865EF">
        <w:rPr>
          <w:rFonts w:ascii="Times New Roman" w:eastAsia="宋体" w:hAnsi="Times New Roman" w:cs="Times New Roman" w:hint="eastAsia"/>
          <w:sz w:val="24"/>
        </w:rPr>
        <w:t xml:space="preserve">　　</w:t>
      </w:r>
      <w:r w:rsidRPr="004865EF">
        <w:rPr>
          <w:rFonts w:ascii="Times New Roman" w:eastAsia="宋体" w:hAnsi="Times New Roman" w:cs="Times New Roman"/>
          <w:sz w:val="24"/>
        </w:rPr>
        <w:t>月</w:t>
      </w:r>
      <w:r w:rsidRPr="004865EF">
        <w:rPr>
          <w:rFonts w:ascii="Times New Roman" w:eastAsia="宋体" w:hAnsi="Times New Roman" w:cs="Times New Roman" w:hint="eastAsia"/>
          <w:sz w:val="24"/>
        </w:rPr>
        <w:t xml:space="preserve">　　</w:t>
      </w:r>
      <w:r w:rsidRPr="004865EF">
        <w:rPr>
          <w:rFonts w:ascii="Times New Roman" w:eastAsia="宋体" w:hAnsi="Times New Roman" w:cs="Times New Roman"/>
          <w:sz w:val="24"/>
        </w:rPr>
        <w:t>日</w:t>
      </w:r>
    </w:p>
    <w:p w14:paraId="032512FB" w14:textId="77777777" w:rsidR="000F60C2" w:rsidRPr="004865EF" w:rsidRDefault="000F60C2" w:rsidP="000F60C2">
      <w:pPr>
        <w:widowControl/>
        <w:jc w:val="left"/>
        <w:rPr>
          <w:rFonts w:ascii="Times New Roman" w:eastAsia="宋体" w:hAnsi="Times New Roman" w:cs="Times New Roman"/>
          <w:sz w:val="24"/>
        </w:rPr>
      </w:pPr>
      <w:r w:rsidRPr="004865EF">
        <w:rPr>
          <w:rFonts w:ascii="Times New Roman" w:eastAsia="宋体" w:hAnsi="Times New Roman" w:cs="Times New Roman"/>
          <w:sz w:val="24"/>
        </w:rPr>
        <w:br w:type="page"/>
      </w:r>
    </w:p>
    <w:p w14:paraId="4055EA65" w14:textId="4B324BAB" w:rsidR="000F60C2" w:rsidRPr="004865EF" w:rsidRDefault="004865EF" w:rsidP="000F60C2">
      <w:pPr>
        <w:spacing w:after="960"/>
        <w:jc w:val="center"/>
        <w:rPr>
          <w:rFonts w:ascii="宋体" w:eastAsia="宋体" w:hAnsi="宋体" w:cs="黑体"/>
          <w:b/>
          <w:bCs/>
          <w:sz w:val="32"/>
          <w:szCs w:val="32"/>
          <w:lang w:val="zh-CN" w:bidi="zh-CN"/>
        </w:rPr>
      </w:pPr>
      <w:r>
        <w:rPr>
          <w:rFonts w:ascii="宋体" w:eastAsia="宋体" w:hAnsi="宋体" w:cs="黑体" w:hint="eastAsia"/>
          <w:b/>
          <w:bCs/>
          <w:noProof/>
          <w:sz w:val="32"/>
          <w:szCs w:val="32"/>
        </w:rPr>
        <w:lastRenderedPageBreak/>
        <w:drawing>
          <wp:anchor distT="0" distB="0" distL="114300" distR="114300" simplePos="0" relativeHeight="251659264" behindDoc="0" locked="0" layoutInCell="1" allowOverlap="1" wp14:anchorId="5EF21F94" wp14:editId="056F2D68">
            <wp:simplePos x="0" y="0"/>
            <wp:positionH relativeFrom="margin">
              <wp:posOffset>-1131570</wp:posOffset>
            </wp:positionH>
            <wp:positionV relativeFrom="paragraph">
              <wp:posOffset>-922019</wp:posOffset>
            </wp:positionV>
            <wp:extent cx="7533125" cy="94678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页面_2.jpg"/>
                    <pic:cNvPicPr/>
                  </pic:nvPicPr>
                  <pic:blipFill rotWithShape="1">
                    <a:blip r:embed="rId17" cstate="print">
                      <a:extLst>
                        <a:ext uri="{28A0092B-C50C-407E-A947-70E740481C1C}">
                          <a14:useLocalDpi xmlns:a14="http://schemas.microsoft.com/office/drawing/2010/main" val="0"/>
                        </a:ext>
                      </a:extLst>
                    </a:blip>
                    <a:srcRect b="11171"/>
                    <a:stretch/>
                  </pic:blipFill>
                  <pic:spPr bwMode="auto">
                    <a:xfrm>
                      <a:off x="0" y="0"/>
                      <a:ext cx="7538765" cy="94749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60C2" w:rsidRPr="004865EF">
        <w:rPr>
          <w:rFonts w:ascii="宋体" w:eastAsia="宋体" w:hAnsi="宋体" w:cs="黑体" w:hint="eastAsia"/>
          <w:b/>
          <w:bCs/>
          <w:sz w:val="32"/>
          <w:szCs w:val="32"/>
          <w:lang w:val="zh-CN" w:bidi="zh-CN"/>
        </w:rPr>
        <w:t>发行人董事长声明</w:t>
      </w:r>
    </w:p>
    <w:p w14:paraId="3B0DFBE9" w14:textId="0330C2AC" w:rsidR="000F60C2" w:rsidRPr="004865EF" w:rsidRDefault="000F60C2" w:rsidP="000F60C2">
      <w:pPr>
        <w:spacing w:after="440" w:line="502" w:lineRule="exact"/>
        <w:ind w:firstLineChars="200" w:firstLine="480"/>
        <w:jc w:val="left"/>
        <w:rPr>
          <w:rFonts w:ascii="宋体" w:eastAsia="宋体" w:hAnsi="宋体" w:cs="黑体"/>
          <w:sz w:val="24"/>
          <w:lang w:val="zh-CN" w:bidi="zh-CN"/>
        </w:rPr>
      </w:pPr>
      <w:r w:rsidRPr="004865EF">
        <w:rPr>
          <w:rFonts w:ascii="宋体" w:eastAsia="宋体" w:hAnsi="宋体" w:cs="黑体" w:hint="eastAsia"/>
          <w:sz w:val="24"/>
          <w:lang w:val="zh-CN" w:bidi="zh-CN"/>
        </w:rPr>
        <w:t>本人作为北京光环新网科技股份有限公司的董事长，现就本次审核问询函回复报告郑重声明如下：</w:t>
      </w:r>
    </w:p>
    <w:p w14:paraId="2285F49C" w14:textId="7874A190" w:rsidR="000F60C2" w:rsidRPr="004865EF" w:rsidRDefault="00720C0D" w:rsidP="00A66425">
      <w:pPr>
        <w:spacing w:after="440" w:line="502" w:lineRule="exact"/>
        <w:ind w:firstLineChars="200" w:firstLine="480"/>
        <w:jc w:val="left"/>
        <w:rPr>
          <w:rFonts w:ascii="宋体" w:eastAsia="宋体" w:hAnsi="宋体" w:cs="黑体"/>
          <w:sz w:val="24"/>
          <w:lang w:val="zh-CN" w:bidi="zh-CN"/>
        </w:rPr>
      </w:pPr>
      <w:r w:rsidRPr="004865EF">
        <w:rPr>
          <w:rFonts w:ascii="宋体" w:eastAsia="宋体" w:hAnsi="宋体" w:cs="黑体" w:hint="eastAsia"/>
          <w:sz w:val="24"/>
          <w:lang w:val="zh-CN" w:bidi="zh-CN"/>
        </w:rPr>
        <w:t>“</w:t>
      </w:r>
      <w:r w:rsidR="000F60C2" w:rsidRPr="004865EF">
        <w:rPr>
          <w:rFonts w:ascii="宋体" w:eastAsia="宋体" w:hAnsi="宋体" w:cs="黑体" w:hint="eastAsia"/>
          <w:sz w:val="24"/>
          <w:lang w:val="zh-CN" w:bidi="zh-CN"/>
        </w:rPr>
        <w:t>本人已认真阅读北京光环新网科技股份有限公司本次审核问询函回复报告的全部内容，本次审核问询函回复报告不存在虚假记载、误导性陈述或者重大遗漏，并对上述文件的真实性、准确性、完整性承担相应法律责任。</w:t>
      </w:r>
      <w:r w:rsidRPr="004865EF">
        <w:rPr>
          <w:rFonts w:ascii="宋体" w:eastAsia="宋体" w:hAnsi="宋体" w:cs="黑体" w:hint="eastAsia"/>
          <w:sz w:val="24"/>
          <w:lang w:val="zh-CN" w:bidi="zh-CN"/>
        </w:rPr>
        <w:t>”</w:t>
      </w:r>
    </w:p>
    <w:p w14:paraId="0805CBC8" w14:textId="1E49A45B" w:rsidR="000F60C2" w:rsidRPr="004865EF" w:rsidRDefault="000F60C2" w:rsidP="000F60C2">
      <w:pPr>
        <w:rPr>
          <w:rFonts w:ascii="Times New Roman" w:eastAsia="宋体" w:hAnsi="Times New Roman" w:cs="Times New Roman"/>
          <w:sz w:val="24"/>
          <w:szCs w:val="22"/>
        </w:rPr>
      </w:pPr>
    </w:p>
    <w:p w14:paraId="61677997" w14:textId="77777777" w:rsidR="000F60C2" w:rsidRPr="004865EF" w:rsidRDefault="000F60C2" w:rsidP="000F60C2">
      <w:pPr>
        <w:rPr>
          <w:rFonts w:ascii="Times New Roman" w:eastAsia="宋体" w:hAnsi="Times New Roman" w:cs="Times New Roman"/>
          <w:sz w:val="24"/>
          <w:szCs w:val="22"/>
        </w:rPr>
      </w:pPr>
    </w:p>
    <w:p w14:paraId="59B09010" w14:textId="77777777" w:rsidR="000F60C2" w:rsidRPr="004865EF" w:rsidRDefault="000F60C2" w:rsidP="000F60C2">
      <w:pPr>
        <w:rPr>
          <w:rFonts w:ascii="Times New Roman" w:eastAsia="宋体" w:hAnsi="Times New Roman" w:cs="Times New Roman"/>
          <w:sz w:val="24"/>
          <w:szCs w:val="22"/>
        </w:rPr>
      </w:pPr>
    </w:p>
    <w:p w14:paraId="65939977" w14:textId="77777777" w:rsidR="000F60C2" w:rsidRPr="004865EF" w:rsidRDefault="000F60C2" w:rsidP="000F60C2">
      <w:pPr>
        <w:rPr>
          <w:rFonts w:ascii="Times New Roman" w:eastAsia="宋体" w:hAnsi="Times New Roman" w:cs="Times New Roman"/>
          <w:sz w:val="24"/>
          <w:szCs w:val="22"/>
        </w:rPr>
      </w:pPr>
    </w:p>
    <w:p w14:paraId="6A735A65" w14:textId="77777777" w:rsidR="000F60C2" w:rsidRPr="004865EF" w:rsidRDefault="000F60C2" w:rsidP="000F60C2">
      <w:pPr>
        <w:spacing w:line="360" w:lineRule="auto"/>
        <w:ind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董事长：</w:t>
      </w:r>
      <w:r w:rsidRPr="004865EF">
        <w:rPr>
          <w:rFonts w:ascii="Times New Roman" w:eastAsia="宋体" w:hAnsi="Times New Roman" w:cs="Times New Roman" w:hint="eastAsia"/>
          <w:sz w:val="24"/>
          <w:szCs w:val="22"/>
          <w:u w:val="single"/>
        </w:rPr>
        <w:t xml:space="preserve"> </w:t>
      </w:r>
      <w:r w:rsidRPr="004865EF">
        <w:rPr>
          <w:rFonts w:ascii="Times New Roman" w:eastAsia="宋体" w:hAnsi="Times New Roman" w:cs="Times New Roman"/>
          <w:sz w:val="24"/>
          <w:szCs w:val="22"/>
          <w:u w:val="single"/>
        </w:rPr>
        <w:t xml:space="preserve">             </w:t>
      </w:r>
    </w:p>
    <w:p w14:paraId="665FD1AB" w14:textId="77777777" w:rsidR="000F60C2" w:rsidRPr="004865EF" w:rsidRDefault="000F60C2" w:rsidP="000F60C2">
      <w:pPr>
        <w:spacing w:line="360" w:lineRule="auto"/>
        <w:ind w:firstLine="480"/>
        <w:rPr>
          <w:rFonts w:ascii="Times New Roman" w:eastAsia="宋体" w:hAnsi="Times New Roman" w:cs="Times New Roman"/>
          <w:sz w:val="24"/>
          <w:szCs w:val="22"/>
        </w:rPr>
      </w:pPr>
      <w:r w:rsidRPr="004865EF">
        <w:rPr>
          <w:rFonts w:ascii="Times New Roman" w:eastAsia="宋体" w:hAnsi="Times New Roman" w:cs="Times New Roman" w:hint="eastAsia"/>
          <w:sz w:val="24"/>
          <w:szCs w:val="22"/>
        </w:rPr>
        <w:t xml:space="preserve"> </w:t>
      </w:r>
      <w:r w:rsidRPr="004865EF">
        <w:rPr>
          <w:rFonts w:ascii="Times New Roman" w:eastAsia="宋体" w:hAnsi="Times New Roman" w:cs="Times New Roman"/>
          <w:sz w:val="24"/>
          <w:szCs w:val="22"/>
        </w:rPr>
        <w:t xml:space="preserve">           </w:t>
      </w:r>
      <w:proofErr w:type="gramStart"/>
      <w:r w:rsidRPr="004865EF">
        <w:rPr>
          <w:rFonts w:ascii="Times New Roman" w:eastAsia="宋体" w:hAnsi="Times New Roman" w:cs="Times New Roman" w:hint="eastAsia"/>
          <w:sz w:val="24"/>
          <w:szCs w:val="22"/>
        </w:rPr>
        <w:t>耿殿根</w:t>
      </w:r>
      <w:proofErr w:type="gramEnd"/>
    </w:p>
    <w:p w14:paraId="04FB8C6E" w14:textId="77777777" w:rsidR="000F60C2" w:rsidRPr="004865EF" w:rsidRDefault="000F60C2" w:rsidP="000F60C2">
      <w:pPr>
        <w:rPr>
          <w:rFonts w:ascii="Times New Roman" w:eastAsia="宋体" w:hAnsi="Times New Roman" w:cs="Times New Roman"/>
          <w:sz w:val="24"/>
          <w:szCs w:val="22"/>
        </w:rPr>
      </w:pPr>
    </w:p>
    <w:p w14:paraId="4146FC60" w14:textId="77777777" w:rsidR="000F60C2" w:rsidRPr="004865EF" w:rsidRDefault="000F60C2" w:rsidP="000F60C2">
      <w:pPr>
        <w:rPr>
          <w:rFonts w:ascii="Times New Roman" w:eastAsia="宋体" w:hAnsi="Times New Roman" w:cs="Times New Roman"/>
          <w:sz w:val="24"/>
          <w:szCs w:val="22"/>
        </w:rPr>
      </w:pPr>
    </w:p>
    <w:p w14:paraId="5B4CD35A" w14:textId="77777777" w:rsidR="000F60C2" w:rsidRPr="004865EF" w:rsidRDefault="000F60C2" w:rsidP="000F60C2">
      <w:pPr>
        <w:rPr>
          <w:rFonts w:ascii="Times New Roman" w:eastAsia="宋体" w:hAnsi="Times New Roman" w:cs="Times New Roman"/>
          <w:sz w:val="24"/>
          <w:szCs w:val="22"/>
        </w:rPr>
      </w:pPr>
    </w:p>
    <w:p w14:paraId="2D5513CA" w14:textId="77777777" w:rsidR="000F60C2" w:rsidRPr="004865EF" w:rsidRDefault="000F60C2" w:rsidP="000F60C2">
      <w:pPr>
        <w:rPr>
          <w:rFonts w:ascii="Times New Roman" w:eastAsia="宋体" w:hAnsi="Times New Roman" w:cs="Times New Roman"/>
          <w:sz w:val="24"/>
          <w:szCs w:val="22"/>
        </w:rPr>
      </w:pPr>
    </w:p>
    <w:p w14:paraId="33E4FC08" w14:textId="77777777" w:rsidR="000F60C2" w:rsidRPr="004865EF" w:rsidRDefault="000F60C2" w:rsidP="000F60C2">
      <w:pPr>
        <w:rPr>
          <w:rFonts w:ascii="Times New Roman" w:eastAsia="宋体" w:hAnsi="Times New Roman" w:cs="Times New Roman"/>
          <w:sz w:val="24"/>
          <w:szCs w:val="22"/>
        </w:rPr>
      </w:pPr>
    </w:p>
    <w:p w14:paraId="72A59BF7" w14:textId="77777777" w:rsidR="000F60C2" w:rsidRPr="004865EF" w:rsidRDefault="000F60C2" w:rsidP="000F60C2">
      <w:pPr>
        <w:tabs>
          <w:tab w:val="left" w:pos="8280"/>
        </w:tabs>
        <w:spacing w:beforeLines="50" w:before="120" w:line="360" w:lineRule="auto"/>
        <w:ind w:right="26" w:firstLineChars="1350" w:firstLine="3240"/>
        <w:jc w:val="right"/>
        <w:rPr>
          <w:rFonts w:ascii="Times New Roman" w:eastAsia="宋体" w:hAnsi="Times New Roman" w:cs="Times New Roman"/>
          <w:sz w:val="24"/>
        </w:rPr>
      </w:pPr>
      <w:r w:rsidRPr="004865EF">
        <w:rPr>
          <w:rFonts w:ascii="Times New Roman" w:eastAsia="宋体" w:hAnsi="Times New Roman" w:cs="Times New Roman" w:hint="eastAsia"/>
          <w:sz w:val="24"/>
        </w:rPr>
        <w:t>北京光环新网</w:t>
      </w:r>
      <w:r w:rsidRPr="004865EF">
        <w:rPr>
          <w:rFonts w:ascii="Times New Roman" w:eastAsia="宋体" w:hAnsi="Times New Roman" w:cs="Times New Roman"/>
          <w:sz w:val="24"/>
        </w:rPr>
        <w:t>科技股份</w:t>
      </w:r>
      <w:r w:rsidRPr="004865EF">
        <w:rPr>
          <w:rFonts w:ascii="Times New Roman" w:eastAsia="宋体" w:hAnsi="Times New Roman" w:cs="Times New Roman" w:hint="eastAsia"/>
          <w:sz w:val="24"/>
        </w:rPr>
        <w:t>有</w:t>
      </w:r>
      <w:r w:rsidRPr="004865EF">
        <w:rPr>
          <w:rFonts w:ascii="Times New Roman" w:eastAsia="宋体" w:hAnsi="Times New Roman" w:cs="Times New Roman"/>
          <w:sz w:val="24"/>
        </w:rPr>
        <w:t>限公司</w:t>
      </w:r>
    </w:p>
    <w:p w14:paraId="565D437F" w14:textId="77777777" w:rsidR="000F60C2" w:rsidRPr="004865EF" w:rsidRDefault="000F60C2" w:rsidP="000F60C2">
      <w:pPr>
        <w:tabs>
          <w:tab w:val="left" w:pos="8280"/>
        </w:tabs>
        <w:spacing w:beforeLines="50" w:before="120" w:line="360" w:lineRule="auto"/>
        <w:ind w:right="26" w:firstLineChars="1350" w:firstLine="3240"/>
        <w:jc w:val="right"/>
        <w:rPr>
          <w:rFonts w:ascii="Times New Roman" w:eastAsia="宋体" w:hAnsi="Times New Roman" w:cs="Times New Roman"/>
          <w:sz w:val="24"/>
        </w:rPr>
      </w:pPr>
      <w:r w:rsidRPr="004865EF">
        <w:rPr>
          <w:rFonts w:ascii="Times New Roman" w:eastAsia="宋体" w:hAnsi="Times New Roman" w:cs="Times New Roman" w:hint="eastAsia"/>
          <w:sz w:val="24"/>
        </w:rPr>
        <w:t xml:space="preserve"> </w:t>
      </w:r>
      <w:r w:rsidRPr="004865EF">
        <w:rPr>
          <w:rFonts w:ascii="Times New Roman" w:eastAsia="宋体" w:hAnsi="Times New Roman" w:cs="Times New Roman"/>
          <w:sz w:val="24"/>
        </w:rPr>
        <w:t>年</w:t>
      </w:r>
      <w:r w:rsidRPr="004865EF">
        <w:rPr>
          <w:rFonts w:ascii="Times New Roman" w:eastAsia="宋体" w:hAnsi="Times New Roman" w:cs="Times New Roman" w:hint="eastAsia"/>
          <w:sz w:val="24"/>
        </w:rPr>
        <w:t xml:space="preserve">　　</w:t>
      </w:r>
      <w:r w:rsidRPr="004865EF">
        <w:rPr>
          <w:rFonts w:ascii="Times New Roman" w:eastAsia="宋体" w:hAnsi="Times New Roman" w:cs="Times New Roman"/>
          <w:sz w:val="24"/>
        </w:rPr>
        <w:t>月</w:t>
      </w:r>
      <w:r w:rsidRPr="004865EF">
        <w:rPr>
          <w:rFonts w:ascii="Times New Roman" w:eastAsia="宋体" w:hAnsi="Times New Roman" w:cs="Times New Roman" w:hint="eastAsia"/>
          <w:sz w:val="24"/>
        </w:rPr>
        <w:t xml:space="preserve">　　</w:t>
      </w:r>
      <w:r w:rsidRPr="004865EF">
        <w:rPr>
          <w:rFonts w:ascii="Times New Roman" w:eastAsia="宋体" w:hAnsi="Times New Roman" w:cs="Times New Roman"/>
          <w:sz w:val="24"/>
        </w:rPr>
        <w:t>日</w:t>
      </w:r>
    </w:p>
    <w:p w14:paraId="56D08FD7" w14:textId="77777777" w:rsidR="000F60C2" w:rsidRPr="004865EF" w:rsidRDefault="000F60C2">
      <w:pPr>
        <w:widowControl/>
        <w:jc w:val="left"/>
        <w:rPr>
          <w:rFonts w:ascii="Times New Roman" w:eastAsia="宋体" w:hAnsi="Times New Roman" w:cs="Times New Roman"/>
          <w:sz w:val="24"/>
          <w:szCs w:val="22"/>
        </w:rPr>
      </w:pPr>
      <w:r w:rsidRPr="004865EF">
        <w:rPr>
          <w:rFonts w:ascii="Times New Roman" w:eastAsia="宋体" w:hAnsi="Times New Roman" w:cs="Times New Roman"/>
          <w:sz w:val="24"/>
          <w:szCs w:val="22"/>
        </w:rPr>
        <w:br w:type="page"/>
      </w:r>
    </w:p>
    <w:p w14:paraId="7A5C9C9F" w14:textId="29944541" w:rsidR="005E5A0F" w:rsidRPr="004865EF" w:rsidRDefault="004865EF" w:rsidP="005E5A0F">
      <w:pPr>
        <w:spacing w:line="360" w:lineRule="auto"/>
        <w:rPr>
          <w:rFonts w:ascii="Times New Roman" w:eastAsia="宋体" w:hAnsi="Times New Roman" w:cs="Times New Roman"/>
          <w:sz w:val="24"/>
          <w:szCs w:val="22"/>
        </w:rPr>
      </w:pPr>
      <w:r>
        <w:rPr>
          <w:rFonts w:ascii="Times New Roman" w:eastAsia="宋体" w:hAnsi="Times New Roman" w:cs="Times New Roman"/>
          <w:noProof/>
          <w:sz w:val="24"/>
          <w:szCs w:val="22"/>
        </w:rPr>
        <w:lastRenderedPageBreak/>
        <w:drawing>
          <wp:anchor distT="0" distB="0" distL="114300" distR="114300" simplePos="0" relativeHeight="251660288" behindDoc="0" locked="0" layoutInCell="1" allowOverlap="1" wp14:anchorId="027A84E0" wp14:editId="1BB5CC15">
            <wp:simplePos x="0" y="0"/>
            <wp:positionH relativeFrom="margin">
              <wp:posOffset>-1131570</wp:posOffset>
            </wp:positionH>
            <wp:positionV relativeFrom="paragraph">
              <wp:posOffset>-922019</wp:posOffset>
            </wp:positionV>
            <wp:extent cx="7533125" cy="93345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页面_3.jpg"/>
                    <pic:cNvPicPr/>
                  </pic:nvPicPr>
                  <pic:blipFill rotWithShape="1">
                    <a:blip r:embed="rId18" cstate="print">
                      <a:extLst>
                        <a:ext uri="{28A0092B-C50C-407E-A947-70E740481C1C}">
                          <a14:useLocalDpi xmlns:a14="http://schemas.microsoft.com/office/drawing/2010/main" val="0"/>
                        </a:ext>
                      </a:extLst>
                    </a:blip>
                    <a:srcRect b="12422"/>
                    <a:stretch/>
                  </pic:blipFill>
                  <pic:spPr bwMode="auto">
                    <a:xfrm>
                      <a:off x="0" y="0"/>
                      <a:ext cx="7538765" cy="93414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5A0F" w:rsidRPr="004865EF">
        <w:rPr>
          <w:rFonts w:ascii="Times New Roman" w:eastAsia="宋体" w:hAnsi="Times New Roman" w:cs="Times New Roman" w:hint="eastAsia"/>
          <w:sz w:val="24"/>
          <w:szCs w:val="22"/>
        </w:rPr>
        <w:t>（本页无正文，为《关于北京光环新网科技股份有限公司申请向特定对象发行股票的审核问询函的回复》的签章页）</w:t>
      </w:r>
    </w:p>
    <w:p w14:paraId="4DF16F41" w14:textId="784C7E40" w:rsidR="005E5A0F" w:rsidRPr="004865EF" w:rsidRDefault="005E5A0F" w:rsidP="005E5A0F">
      <w:pPr>
        <w:spacing w:line="360" w:lineRule="auto"/>
        <w:rPr>
          <w:rFonts w:ascii="Times New Roman" w:eastAsia="宋体" w:hAnsi="Times New Roman" w:cs="Times New Roman"/>
          <w:sz w:val="24"/>
          <w:szCs w:val="22"/>
        </w:rPr>
      </w:pPr>
    </w:p>
    <w:p w14:paraId="4245F53E" w14:textId="4D429EC2" w:rsidR="005E5A0F" w:rsidRPr="004865EF" w:rsidRDefault="005E5A0F" w:rsidP="005E5A0F">
      <w:pPr>
        <w:spacing w:line="360" w:lineRule="auto"/>
        <w:rPr>
          <w:rFonts w:ascii="Times New Roman" w:eastAsia="宋体" w:hAnsi="Times New Roman" w:cs="Times New Roman"/>
          <w:sz w:val="24"/>
          <w:szCs w:val="22"/>
        </w:rPr>
      </w:pPr>
    </w:p>
    <w:p w14:paraId="10DE2331" w14:textId="675917FA" w:rsidR="005E5A0F" w:rsidRPr="004865EF" w:rsidRDefault="005E5A0F" w:rsidP="005E5A0F">
      <w:pPr>
        <w:spacing w:line="360" w:lineRule="auto"/>
        <w:rPr>
          <w:rFonts w:ascii="Times New Roman" w:eastAsia="宋体" w:hAnsi="Times New Roman" w:cs="Times New Roman"/>
          <w:sz w:val="24"/>
          <w:szCs w:val="22"/>
        </w:rPr>
      </w:pPr>
    </w:p>
    <w:p w14:paraId="34F8D635" w14:textId="5BDD7623" w:rsidR="005E5A0F" w:rsidRPr="004865EF" w:rsidRDefault="005E5A0F" w:rsidP="005E5A0F">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hint="eastAsia"/>
          <w:sz w:val="24"/>
        </w:rPr>
        <w:t>保荐代表人签名：</w:t>
      </w:r>
      <w:r w:rsidRPr="004865EF">
        <w:rPr>
          <w:rFonts w:ascii="Times New Roman" w:eastAsia="宋体" w:hAnsi="Times New Roman" w:cs="Times New Roman"/>
          <w:sz w:val="24"/>
        </w:rPr>
        <w:t xml:space="preserve"> </w:t>
      </w:r>
      <w:r w:rsidRPr="004865EF">
        <w:rPr>
          <w:rFonts w:ascii="Times New Roman" w:eastAsia="宋体" w:hAnsi="Times New Roman" w:cs="Times New Roman"/>
          <w:sz w:val="24"/>
          <w:u w:val="single"/>
        </w:rPr>
        <w:t xml:space="preserve">             </w:t>
      </w:r>
      <w:r w:rsidRPr="004865EF">
        <w:rPr>
          <w:rFonts w:ascii="Times New Roman" w:eastAsia="宋体" w:hAnsi="Times New Roman" w:cs="Times New Roman"/>
          <w:sz w:val="24"/>
        </w:rPr>
        <w:t xml:space="preserve">       </w:t>
      </w:r>
      <w:r w:rsidRPr="004865EF">
        <w:rPr>
          <w:rFonts w:ascii="Times New Roman" w:eastAsia="宋体" w:hAnsi="Times New Roman" w:cs="Times New Roman"/>
          <w:sz w:val="24"/>
          <w:u w:val="single"/>
        </w:rPr>
        <w:t xml:space="preserve">             </w:t>
      </w:r>
    </w:p>
    <w:p w14:paraId="493E8D10" w14:textId="18D3E6A2" w:rsidR="005E5A0F" w:rsidRPr="004865EF" w:rsidRDefault="005E5A0F" w:rsidP="005E5A0F">
      <w:pPr>
        <w:spacing w:beforeLines="50" w:before="120" w:line="360" w:lineRule="auto"/>
        <w:ind w:firstLineChars="200" w:firstLine="480"/>
        <w:rPr>
          <w:rFonts w:ascii="Times New Roman" w:eastAsia="宋体" w:hAnsi="Times New Roman" w:cs="Times New Roman"/>
          <w:sz w:val="24"/>
        </w:rPr>
      </w:pPr>
      <w:r w:rsidRPr="004865EF">
        <w:rPr>
          <w:rFonts w:ascii="Times New Roman" w:eastAsia="宋体" w:hAnsi="Times New Roman" w:cs="Times New Roman"/>
          <w:sz w:val="24"/>
        </w:rPr>
        <w:t xml:space="preserve">                     </w:t>
      </w:r>
      <w:r w:rsidRPr="004865EF">
        <w:rPr>
          <w:rFonts w:ascii="Times New Roman" w:eastAsia="宋体" w:hAnsi="Times New Roman" w:cs="Times New Roman" w:hint="eastAsia"/>
          <w:sz w:val="24"/>
        </w:rPr>
        <w:t>王璟</w:t>
      </w:r>
      <w:r w:rsidRPr="004865EF">
        <w:rPr>
          <w:rFonts w:ascii="Times New Roman" w:eastAsia="宋体" w:hAnsi="Times New Roman" w:cs="Times New Roman"/>
          <w:sz w:val="24"/>
        </w:rPr>
        <w:t xml:space="preserve">                </w:t>
      </w:r>
      <w:r w:rsidRPr="004865EF">
        <w:rPr>
          <w:rFonts w:ascii="Times New Roman" w:eastAsia="宋体" w:hAnsi="Times New Roman" w:cs="Times New Roman" w:hint="eastAsia"/>
          <w:sz w:val="24"/>
        </w:rPr>
        <w:t>郭尧</w:t>
      </w:r>
    </w:p>
    <w:p w14:paraId="7FB68888" w14:textId="77777777" w:rsidR="005E5A0F" w:rsidRPr="004865EF" w:rsidRDefault="005E5A0F" w:rsidP="005E5A0F">
      <w:pPr>
        <w:spacing w:line="360" w:lineRule="auto"/>
        <w:rPr>
          <w:rFonts w:ascii="Times New Roman" w:eastAsia="宋体" w:hAnsi="Times New Roman" w:cs="Times New Roman"/>
          <w:sz w:val="24"/>
          <w:szCs w:val="22"/>
        </w:rPr>
      </w:pPr>
    </w:p>
    <w:p w14:paraId="18A0D4ED" w14:textId="6B0F9595" w:rsidR="005E5A0F" w:rsidRPr="004865EF" w:rsidRDefault="005E5A0F" w:rsidP="005E5A0F">
      <w:pPr>
        <w:spacing w:line="360" w:lineRule="auto"/>
        <w:rPr>
          <w:rFonts w:ascii="Times New Roman" w:eastAsia="宋体" w:hAnsi="Times New Roman" w:cs="Times New Roman"/>
          <w:sz w:val="24"/>
          <w:szCs w:val="22"/>
        </w:rPr>
      </w:pPr>
    </w:p>
    <w:p w14:paraId="6D1543F7" w14:textId="77777777" w:rsidR="005E5A0F" w:rsidRPr="004865EF" w:rsidRDefault="005E5A0F" w:rsidP="005E5A0F">
      <w:pPr>
        <w:spacing w:line="360" w:lineRule="auto"/>
        <w:rPr>
          <w:rFonts w:ascii="Times New Roman" w:eastAsia="宋体" w:hAnsi="Times New Roman" w:cs="Times New Roman"/>
          <w:sz w:val="24"/>
          <w:szCs w:val="22"/>
        </w:rPr>
      </w:pPr>
    </w:p>
    <w:p w14:paraId="63DD3996" w14:textId="248C1DC5" w:rsidR="005E5A0F" w:rsidRPr="004865EF" w:rsidRDefault="005E5A0F" w:rsidP="005E5A0F">
      <w:pPr>
        <w:spacing w:line="360" w:lineRule="auto"/>
        <w:rPr>
          <w:rFonts w:ascii="Times New Roman" w:eastAsia="宋体" w:hAnsi="Times New Roman" w:cs="Times New Roman"/>
          <w:sz w:val="24"/>
          <w:szCs w:val="22"/>
        </w:rPr>
      </w:pPr>
    </w:p>
    <w:p w14:paraId="38F72E32" w14:textId="77777777" w:rsidR="005E5A0F" w:rsidRPr="004865EF" w:rsidRDefault="005E5A0F" w:rsidP="005E5A0F">
      <w:pPr>
        <w:spacing w:line="360" w:lineRule="auto"/>
        <w:rPr>
          <w:rFonts w:ascii="Times New Roman" w:eastAsia="宋体" w:hAnsi="Times New Roman" w:cs="Times New Roman"/>
          <w:sz w:val="24"/>
          <w:szCs w:val="22"/>
        </w:rPr>
      </w:pPr>
    </w:p>
    <w:p w14:paraId="7DB413EB" w14:textId="77777777" w:rsidR="005E5A0F" w:rsidRPr="004865EF" w:rsidRDefault="005E5A0F" w:rsidP="005E5A0F">
      <w:pPr>
        <w:spacing w:line="360" w:lineRule="auto"/>
        <w:rPr>
          <w:rFonts w:ascii="Times New Roman" w:eastAsia="宋体" w:hAnsi="Times New Roman" w:cs="Times New Roman"/>
          <w:sz w:val="24"/>
          <w:szCs w:val="22"/>
        </w:rPr>
      </w:pPr>
    </w:p>
    <w:p w14:paraId="006D23D3" w14:textId="77777777" w:rsidR="005E5A0F" w:rsidRPr="004865EF" w:rsidRDefault="005E5A0F" w:rsidP="005E5A0F">
      <w:pPr>
        <w:tabs>
          <w:tab w:val="left" w:pos="8280"/>
        </w:tabs>
        <w:spacing w:beforeLines="50" w:before="120" w:line="360" w:lineRule="auto"/>
        <w:ind w:right="26" w:firstLineChars="1350" w:firstLine="3240"/>
        <w:jc w:val="right"/>
        <w:rPr>
          <w:rFonts w:ascii="Times New Roman" w:eastAsia="宋体" w:hAnsi="Times New Roman" w:cs="Times New Roman"/>
          <w:sz w:val="24"/>
        </w:rPr>
      </w:pPr>
      <w:r w:rsidRPr="004865EF">
        <w:rPr>
          <w:rFonts w:ascii="Times New Roman" w:eastAsia="宋体" w:hAnsi="Times New Roman" w:cs="Times New Roman" w:hint="eastAsia"/>
          <w:sz w:val="24"/>
        </w:rPr>
        <w:t>中</w:t>
      </w:r>
      <w:proofErr w:type="gramStart"/>
      <w:r w:rsidRPr="004865EF">
        <w:rPr>
          <w:rFonts w:ascii="Times New Roman" w:eastAsia="宋体" w:hAnsi="Times New Roman" w:cs="Times New Roman" w:hint="eastAsia"/>
          <w:sz w:val="24"/>
        </w:rPr>
        <w:t>信建投证券</w:t>
      </w:r>
      <w:proofErr w:type="gramEnd"/>
      <w:r w:rsidRPr="004865EF">
        <w:rPr>
          <w:rFonts w:ascii="Times New Roman" w:eastAsia="宋体" w:hAnsi="Times New Roman" w:cs="Times New Roman" w:hint="eastAsia"/>
          <w:sz w:val="24"/>
        </w:rPr>
        <w:t>股份有限公司</w:t>
      </w:r>
    </w:p>
    <w:p w14:paraId="7603F618" w14:textId="77777777" w:rsidR="005E5A0F" w:rsidRPr="004865EF" w:rsidRDefault="005E5A0F" w:rsidP="005E5A0F">
      <w:pPr>
        <w:tabs>
          <w:tab w:val="left" w:pos="540"/>
        </w:tabs>
        <w:spacing w:before="120" w:after="120" w:line="360" w:lineRule="auto"/>
        <w:ind w:firstLineChars="200" w:firstLine="480"/>
        <w:jc w:val="right"/>
        <w:rPr>
          <w:rFonts w:ascii="Times New Roman" w:eastAsia="宋体" w:hAnsi="Times New Roman" w:cs="Times New Roman"/>
          <w:sz w:val="24"/>
        </w:rPr>
      </w:pPr>
      <w:r w:rsidRPr="004865EF">
        <w:rPr>
          <w:rFonts w:ascii="Times New Roman" w:eastAsia="宋体" w:hAnsi="Times New Roman" w:cs="Times New Roman" w:hint="eastAsia"/>
          <w:sz w:val="24"/>
        </w:rPr>
        <w:t>年　　月　　日</w:t>
      </w:r>
    </w:p>
    <w:p w14:paraId="1104E983" w14:textId="0AC89ECF" w:rsidR="005E5A0F" w:rsidRPr="004865EF" w:rsidRDefault="005E5A0F" w:rsidP="005E5A0F">
      <w:pPr>
        <w:widowControl/>
        <w:jc w:val="left"/>
        <w:rPr>
          <w:rFonts w:ascii="Times New Roman" w:eastAsia="宋体" w:hAnsi="Times New Roman" w:cs="Times New Roman"/>
          <w:sz w:val="24"/>
        </w:rPr>
      </w:pPr>
      <w:r w:rsidRPr="004865EF">
        <w:rPr>
          <w:rFonts w:ascii="Times New Roman" w:eastAsia="宋体" w:hAnsi="Times New Roman" w:cs="Times New Roman"/>
          <w:sz w:val="24"/>
        </w:rPr>
        <w:br w:type="page"/>
      </w:r>
    </w:p>
    <w:p w14:paraId="047F1019" w14:textId="653C587F" w:rsidR="005E5A0F" w:rsidRPr="004865EF" w:rsidRDefault="004865EF" w:rsidP="005E5A0F">
      <w:pPr>
        <w:spacing w:after="960"/>
        <w:jc w:val="center"/>
        <w:rPr>
          <w:rFonts w:ascii="宋体" w:eastAsia="宋体" w:hAnsi="宋体" w:cs="黑体"/>
          <w:b/>
          <w:bCs/>
          <w:sz w:val="32"/>
          <w:szCs w:val="32"/>
          <w:lang w:val="zh-CN" w:bidi="zh-CN"/>
        </w:rPr>
      </w:pPr>
      <w:r>
        <w:rPr>
          <w:rFonts w:ascii="宋体" w:eastAsia="宋体" w:hAnsi="宋体" w:cs="黑体" w:hint="eastAsia"/>
          <w:noProof/>
          <w:sz w:val="24"/>
        </w:rPr>
        <w:lastRenderedPageBreak/>
        <w:drawing>
          <wp:anchor distT="0" distB="0" distL="114300" distR="114300" simplePos="0" relativeHeight="251661312" behindDoc="0" locked="0" layoutInCell="1" allowOverlap="1" wp14:anchorId="55DFE6E4" wp14:editId="54EB8FA4">
            <wp:simplePos x="0" y="0"/>
            <wp:positionH relativeFrom="margin">
              <wp:posOffset>-1122045</wp:posOffset>
            </wp:positionH>
            <wp:positionV relativeFrom="paragraph">
              <wp:posOffset>-941070</wp:posOffset>
            </wp:positionV>
            <wp:extent cx="7543800" cy="9344025"/>
            <wp:effectExtent l="0" t="0" r="0"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页面_4.jpg"/>
                    <pic:cNvPicPr/>
                  </pic:nvPicPr>
                  <pic:blipFill rotWithShape="1">
                    <a:blip r:embed="rId19" cstate="print">
                      <a:extLst>
                        <a:ext uri="{28A0092B-C50C-407E-A947-70E740481C1C}">
                          <a14:useLocalDpi xmlns:a14="http://schemas.microsoft.com/office/drawing/2010/main" val="0"/>
                        </a:ext>
                      </a:extLst>
                    </a:blip>
                    <a:srcRect b="12456"/>
                    <a:stretch/>
                  </pic:blipFill>
                  <pic:spPr bwMode="auto">
                    <a:xfrm>
                      <a:off x="0" y="0"/>
                      <a:ext cx="7548296" cy="93495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5A0F" w:rsidRPr="004865EF">
        <w:rPr>
          <w:rFonts w:ascii="宋体" w:eastAsia="宋体" w:hAnsi="宋体" w:cs="黑体" w:hint="eastAsia"/>
          <w:b/>
          <w:bCs/>
          <w:sz w:val="32"/>
          <w:szCs w:val="32"/>
          <w:lang w:val="zh-CN" w:bidi="zh-CN"/>
        </w:rPr>
        <w:t>关于本次审核问询函回复报告的声明</w:t>
      </w:r>
    </w:p>
    <w:p w14:paraId="199949D4" w14:textId="244AD0E3" w:rsidR="005E5A0F" w:rsidRPr="004865EF" w:rsidRDefault="005E5A0F" w:rsidP="00A66425">
      <w:pPr>
        <w:spacing w:after="440" w:line="502" w:lineRule="exact"/>
        <w:ind w:firstLineChars="200" w:firstLine="480"/>
        <w:rPr>
          <w:rFonts w:ascii="宋体" w:eastAsia="宋体" w:hAnsi="宋体" w:cs="黑体"/>
          <w:sz w:val="24"/>
          <w:lang w:val="zh-CN" w:bidi="zh-CN"/>
        </w:rPr>
      </w:pPr>
      <w:r w:rsidRPr="004865EF">
        <w:rPr>
          <w:rFonts w:ascii="宋体" w:eastAsia="宋体" w:hAnsi="宋体" w:cs="黑体" w:hint="eastAsia"/>
          <w:sz w:val="24"/>
          <w:lang w:val="zh-CN" w:bidi="zh-CN"/>
        </w:rPr>
        <w:t>本人作为北京光环新网科技股份有限公司保荐机构中</w:t>
      </w:r>
      <w:proofErr w:type="gramStart"/>
      <w:r w:rsidRPr="004865EF">
        <w:rPr>
          <w:rFonts w:ascii="宋体" w:eastAsia="宋体" w:hAnsi="宋体" w:cs="黑体" w:hint="eastAsia"/>
          <w:sz w:val="24"/>
          <w:lang w:val="zh-CN" w:bidi="zh-CN"/>
        </w:rPr>
        <w:t>信建投证券</w:t>
      </w:r>
      <w:proofErr w:type="gramEnd"/>
      <w:r w:rsidRPr="004865EF">
        <w:rPr>
          <w:rFonts w:ascii="宋体" w:eastAsia="宋体" w:hAnsi="宋体" w:cs="黑体" w:hint="eastAsia"/>
          <w:sz w:val="24"/>
          <w:lang w:val="zh-CN" w:bidi="zh-CN"/>
        </w:rPr>
        <w:t>股份有限公司的董事长，现就本次审核问询函回复报告郑重声明如下：</w:t>
      </w:r>
    </w:p>
    <w:p w14:paraId="28B20D14" w14:textId="17745598" w:rsidR="005E5A0F" w:rsidRPr="004865EF" w:rsidRDefault="00720C0D" w:rsidP="005E5A0F">
      <w:pPr>
        <w:spacing w:after="440" w:line="502" w:lineRule="exact"/>
        <w:ind w:firstLineChars="200" w:firstLine="480"/>
        <w:rPr>
          <w:rFonts w:ascii="宋体" w:eastAsia="宋体" w:hAnsi="宋体" w:cs="黑体"/>
          <w:sz w:val="24"/>
          <w:lang w:val="zh-CN" w:bidi="zh-CN"/>
        </w:rPr>
      </w:pPr>
      <w:r w:rsidRPr="004865EF">
        <w:rPr>
          <w:rFonts w:ascii="宋体" w:eastAsia="宋体" w:hAnsi="宋体" w:cs="黑体" w:hint="eastAsia"/>
          <w:sz w:val="24"/>
          <w:lang w:val="zh-CN" w:bidi="zh-CN"/>
        </w:rPr>
        <w:t>“</w:t>
      </w:r>
      <w:r w:rsidR="005E5A0F" w:rsidRPr="004865EF">
        <w:rPr>
          <w:rFonts w:ascii="宋体" w:eastAsia="宋体" w:hAnsi="宋体" w:cs="黑体" w:hint="eastAsia"/>
          <w:sz w:val="24"/>
          <w:lang w:val="zh-CN" w:bidi="zh-CN"/>
        </w:rPr>
        <w:t>本人已认真阅读北京光环新网科技股份有限公司本次审核问询函回复报告的全部内容，了解报告涉及问题的核查过程、本公司的内核和风险控制流程,确认本公司按照勤勉尽责原则履行核查程序,审核问询函回复报告不存在虚假记载、误导性陈述或者重大遗漏，并对上述文件的真实性、准确性、完整性承担相应法律责任。</w:t>
      </w:r>
      <w:r w:rsidRPr="004865EF">
        <w:rPr>
          <w:rFonts w:ascii="宋体" w:eastAsia="宋体" w:hAnsi="宋体" w:cs="黑体" w:hint="eastAsia"/>
          <w:sz w:val="24"/>
          <w:lang w:val="zh-CN" w:bidi="zh-CN"/>
        </w:rPr>
        <w:t>”</w:t>
      </w:r>
    </w:p>
    <w:p w14:paraId="51AC818B" w14:textId="77777777" w:rsidR="005E5A0F" w:rsidRPr="004865EF" w:rsidRDefault="005E5A0F" w:rsidP="005E5A0F">
      <w:pPr>
        <w:spacing w:after="440" w:line="502" w:lineRule="exact"/>
        <w:ind w:firstLineChars="200" w:firstLine="480"/>
        <w:jc w:val="left"/>
        <w:rPr>
          <w:rFonts w:ascii="宋体" w:eastAsia="宋体" w:hAnsi="宋体" w:cs="黑体"/>
          <w:sz w:val="24"/>
          <w:lang w:val="zh-CN" w:bidi="zh-CN"/>
        </w:rPr>
      </w:pPr>
    </w:p>
    <w:p w14:paraId="61F2A40F" w14:textId="77777777" w:rsidR="005E5A0F" w:rsidRPr="004865EF" w:rsidRDefault="005E5A0F" w:rsidP="005E5A0F">
      <w:pPr>
        <w:tabs>
          <w:tab w:val="right" w:leader="dot" w:pos="4453"/>
        </w:tabs>
        <w:spacing w:after="160"/>
        <w:ind w:firstLine="70"/>
        <w:jc w:val="left"/>
        <w:rPr>
          <w:rFonts w:ascii="宋体" w:eastAsia="宋体" w:hAnsi="宋体" w:cs="黑体"/>
          <w:sz w:val="24"/>
          <w:lang w:val="zh-CN" w:bidi="zh-CN"/>
        </w:rPr>
      </w:pPr>
      <w:r w:rsidRPr="004865EF">
        <w:rPr>
          <w:rFonts w:ascii="宋体" w:eastAsia="宋体" w:hAnsi="宋体" w:cs="黑体" w:hint="eastAsia"/>
          <w:sz w:val="24"/>
          <w:lang w:val="zh-CN" w:bidi="zh-CN"/>
        </w:rPr>
        <w:t>保荐机构董事长签名：</w:t>
      </w:r>
      <w:r w:rsidRPr="004865EF">
        <w:rPr>
          <w:rFonts w:ascii="宋体" w:eastAsia="宋体" w:hAnsi="宋体" w:cs="黑体"/>
          <w:sz w:val="24"/>
          <w:lang w:bidi="en-US"/>
        </w:rPr>
        <w:t xml:space="preserve"> </w:t>
      </w:r>
      <w:r w:rsidRPr="004865EF">
        <w:rPr>
          <w:rFonts w:ascii="宋体" w:eastAsia="宋体" w:hAnsi="宋体" w:cs="黑体"/>
          <w:sz w:val="24"/>
          <w:u w:val="single"/>
          <w:lang w:bidi="en-US"/>
        </w:rPr>
        <w:t xml:space="preserve">               </w:t>
      </w:r>
      <w:r w:rsidRPr="004865EF">
        <w:rPr>
          <w:rFonts w:ascii="宋体" w:eastAsia="宋体" w:hAnsi="宋体" w:cs="黑体"/>
          <w:sz w:val="24"/>
          <w:u w:val="single"/>
          <w:lang w:val="zh-CN" w:bidi="zh-CN"/>
        </w:rPr>
        <w:t xml:space="preserve">  </w:t>
      </w:r>
    </w:p>
    <w:p w14:paraId="348CC93D" w14:textId="77777777" w:rsidR="005E5A0F" w:rsidRPr="004865EF" w:rsidRDefault="005E5A0F" w:rsidP="005E5A0F">
      <w:pPr>
        <w:tabs>
          <w:tab w:val="right" w:leader="dot" w:pos="4453"/>
        </w:tabs>
        <w:spacing w:after="160"/>
        <w:ind w:firstLineChars="1326" w:firstLine="3182"/>
        <w:jc w:val="left"/>
        <w:rPr>
          <w:rFonts w:ascii="宋体" w:eastAsia="宋体" w:hAnsi="宋体" w:cs="黑体"/>
          <w:sz w:val="24"/>
          <w:lang w:val="zh-CN" w:bidi="zh-CN"/>
        </w:rPr>
      </w:pPr>
      <w:r w:rsidRPr="004865EF">
        <w:rPr>
          <w:rFonts w:ascii="宋体" w:eastAsia="宋体" w:hAnsi="宋体" w:cs="黑体" w:hint="eastAsia"/>
          <w:sz w:val="24"/>
          <w:lang w:val="zh-CN" w:bidi="zh-CN"/>
        </w:rPr>
        <w:t>王常青</w:t>
      </w:r>
    </w:p>
    <w:p w14:paraId="1810F152" w14:textId="77777777" w:rsidR="005E5A0F" w:rsidRPr="004865EF" w:rsidRDefault="005E5A0F" w:rsidP="005E5A0F">
      <w:pPr>
        <w:tabs>
          <w:tab w:val="right" w:leader="dot" w:pos="4453"/>
        </w:tabs>
        <w:spacing w:after="160"/>
        <w:ind w:firstLine="70"/>
        <w:jc w:val="right"/>
        <w:rPr>
          <w:rFonts w:ascii="宋体" w:eastAsia="宋体" w:hAnsi="宋体" w:cs="黑体"/>
          <w:sz w:val="24"/>
          <w:lang w:val="zh-CN" w:bidi="zh-CN"/>
        </w:rPr>
      </w:pPr>
    </w:p>
    <w:p w14:paraId="5D068731" w14:textId="77777777" w:rsidR="005E5A0F" w:rsidRPr="004865EF" w:rsidRDefault="005E5A0F" w:rsidP="005E5A0F">
      <w:pPr>
        <w:tabs>
          <w:tab w:val="right" w:leader="dot" w:pos="4453"/>
        </w:tabs>
        <w:spacing w:after="160"/>
        <w:ind w:firstLine="70"/>
        <w:jc w:val="right"/>
        <w:rPr>
          <w:rFonts w:ascii="宋体" w:eastAsia="宋体" w:hAnsi="宋体" w:cs="黑体"/>
          <w:sz w:val="24"/>
          <w:lang w:val="zh-CN" w:bidi="zh-CN"/>
        </w:rPr>
      </w:pPr>
    </w:p>
    <w:p w14:paraId="5E7D49AD" w14:textId="77777777" w:rsidR="005E5A0F" w:rsidRPr="004865EF" w:rsidRDefault="005E5A0F" w:rsidP="005E5A0F">
      <w:pPr>
        <w:tabs>
          <w:tab w:val="right" w:leader="dot" w:pos="4453"/>
        </w:tabs>
        <w:spacing w:after="160"/>
        <w:ind w:firstLine="70"/>
        <w:jc w:val="right"/>
        <w:rPr>
          <w:rFonts w:ascii="宋体" w:eastAsia="宋体" w:hAnsi="宋体" w:cs="黑体"/>
          <w:sz w:val="24"/>
          <w:lang w:val="zh-CN" w:bidi="zh-CN"/>
        </w:rPr>
      </w:pPr>
      <w:r w:rsidRPr="004865EF">
        <w:rPr>
          <w:rFonts w:ascii="宋体" w:eastAsia="宋体" w:hAnsi="宋体" w:cs="黑体" w:hint="eastAsia"/>
          <w:sz w:val="24"/>
          <w:lang w:val="zh-CN" w:bidi="zh-CN"/>
        </w:rPr>
        <w:t>中</w:t>
      </w:r>
      <w:proofErr w:type="gramStart"/>
      <w:r w:rsidRPr="004865EF">
        <w:rPr>
          <w:rFonts w:ascii="宋体" w:eastAsia="宋体" w:hAnsi="宋体" w:cs="黑体" w:hint="eastAsia"/>
          <w:sz w:val="24"/>
          <w:lang w:val="zh-CN" w:bidi="zh-CN"/>
        </w:rPr>
        <w:t>信建投证券</w:t>
      </w:r>
      <w:proofErr w:type="gramEnd"/>
      <w:r w:rsidRPr="004865EF">
        <w:rPr>
          <w:rFonts w:ascii="宋体" w:eastAsia="宋体" w:hAnsi="宋体" w:cs="黑体" w:hint="eastAsia"/>
          <w:sz w:val="24"/>
          <w:lang w:val="zh-CN" w:bidi="zh-CN"/>
        </w:rPr>
        <w:t>股份有限公司</w:t>
      </w:r>
    </w:p>
    <w:p w14:paraId="07805AC0" w14:textId="77777777" w:rsidR="005E5A0F" w:rsidRPr="004865EF" w:rsidRDefault="005E5A0F" w:rsidP="005E5A0F">
      <w:pPr>
        <w:tabs>
          <w:tab w:val="right" w:leader="dot" w:pos="4453"/>
        </w:tabs>
        <w:spacing w:after="160"/>
        <w:ind w:firstLine="70"/>
        <w:jc w:val="right"/>
        <w:rPr>
          <w:rFonts w:ascii="宋体" w:eastAsia="宋体" w:hAnsi="宋体" w:cs="黑体"/>
          <w:sz w:val="24"/>
          <w:lang w:val="zh-CN" w:bidi="zh-CN"/>
        </w:rPr>
      </w:pPr>
      <w:r w:rsidRPr="004865EF">
        <w:rPr>
          <w:rFonts w:ascii="宋体" w:eastAsia="宋体" w:hAnsi="宋体" w:cs="黑体" w:hint="eastAsia"/>
          <w:sz w:val="24"/>
          <w:lang w:val="zh-CN" w:bidi="zh-CN"/>
        </w:rPr>
        <w:t xml:space="preserve">年 </w:t>
      </w:r>
      <w:r w:rsidRPr="004865EF">
        <w:rPr>
          <w:rFonts w:ascii="宋体" w:eastAsia="宋体" w:hAnsi="宋体" w:cs="黑体"/>
          <w:sz w:val="24"/>
          <w:lang w:val="zh-CN" w:bidi="zh-CN"/>
        </w:rPr>
        <w:t xml:space="preserve">   </w:t>
      </w:r>
      <w:r w:rsidRPr="004865EF">
        <w:rPr>
          <w:rFonts w:ascii="宋体" w:eastAsia="宋体" w:hAnsi="宋体" w:cs="黑体" w:hint="eastAsia"/>
          <w:sz w:val="24"/>
          <w:lang w:val="zh-CN" w:bidi="zh-CN"/>
        </w:rPr>
        <w:t xml:space="preserve">月 </w:t>
      </w:r>
      <w:r w:rsidRPr="004865EF">
        <w:rPr>
          <w:rFonts w:ascii="宋体" w:eastAsia="宋体" w:hAnsi="宋体" w:cs="黑体"/>
          <w:sz w:val="24"/>
          <w:lang w:val="zh-CN" w:bidi="zh-CN"/>
        </w:rPr>
        <w:t xml:space="preserve">   </w:t>
      </w:r>
      <w:r w:rsidRPr="004865EF">
        <w:rPr>
          <w:rFonts w:ascii="宋体" w:eastAsia="宋体" w:hAnsi="宋体" w:cs="黑体" w:hint="eastAsia"/>
          <w:sz w:val="24"/>
          <w:lang w:val="zh-CN" w:bidi="zh-CN"/>
        </w:rPr>
        <w:t>日</w:t>
      </w:r>
    </w:p>
    <w:p w14:paraId="7BE6FEEB" w14:textId="77777777" w:rsidR="00861548" w:rsidRPr="004865EF" w:rsidRDefault="00861548" w:rsidP="00FE02AF">
      <w:pPr>
        <w:pStyle w:val="zhengwen"/>
        <w:ind w:firstLineChars="0" w:firstLine="0"/>
        <w:rPr>
          <w:lang w:val="zh-CN" w:bidi="zh-CN"/>
        </w:rPr>
      </w:pPr>
    </w:p>
    <w:sectPr w:rsidR="00861548" w:rsidRPr="004865EF" w:rsidSect="00F376B1">
      <w:pgSz w:w="11900" w:h="16820"/>
      <w:pgMar w:top="1452" w:right="1797" w:bottom="1452" w:left="1797" w:header="879" w:footer="119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EACAD" w14:textId="77777777" w:rsidR="00DE1BA6" w:rsidRDefault="00DE1BA6" w:rsidP="00CB6AA5">
      <w:r>
        <w:separator/>
      </w:r>
    </w:p>
  </w:endnote>
  <w:endnote w:type="continuationSeparator" w:id="0">
    <w:p w14:paraId="28D048C0" w14:textId="77777777" w:rsidR="00DE1BA6" w:rsidRDefault="00DE1BA6" w:rsidP="00CB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3309" w14:textId="7D7F2011" w:rsidR="006D4A10" w:rsidRDefault="006D4A10" w:rsidP="00926A7B">
    <w:pPr>
      <w:pStyle w:val="a7"/>
      <w:jc w:val="center"/>
    </w:pPr>
    <w:r>
      <w:rPr>
        <w:rStyle w:val="af2"/>
      </w:rPr>
      <w:fldChar w:fldCharType="begin"/>
    </w:r>
    <w:r>
      <w:rPr>
        <w:rStyle w:val="af2"/>
      </w:rPr>
      <w:instrText xml:space="preserve"> PAGE </w:instrText>
    </w:r>
    <w:r>
      <w:rPr>
        <w:rStyle w:val="af2"/>
      </w:rPr>
      <w:fldChar w:fldCharType="separate"/>
    </w:r>
    <w:r>
      <w:rPr>
        <w:rStyle w:val="af2"/>
        <w:noProof/>
      </w:rPr>
      <w:t>2</w:t>
    </w:r>
    <w:r>
      <w:rPr>
        <w:rStyle w:val="af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1"/>
        <w:szCs w:val="21"/>
      </w:rPr>
      <w:id w:val="1235278019"/>
      <w:docPartObj>
        <w:docPartGallery w:val="Page Numbers (Bottom of Page)"/>
        <w:docPartUnique/>
      </w:docPartObj>
    </w:sdtPr>
    <w:sdtEndPr/>
    <w:sdtContent>
      <w:p w14:paraId="263642DD" w14:textId="6FB4C229" w:rsidR="006D4A10" w:rsidRPr="004865EF" w:rsidRDefault="004865EF" w:rsidP="004865EF">
        <w:pPr>
          <w:pStyle w:val="a7"/>
          <w:jc w:val="center"/>
          <w:rPr>
            <w:rFonts w:ascii="Times New Roman" w:hAnsi="Times New Roman"/>
            <w:sz w:val="21"/>
            <w:szCs w:val="21"/>
          </w:rPr>
        </w:pPr>
        <w:r w:rsidRPr="004865EF">
          <w:rPr>
            <w:rFonts w:ascii="Times New Roman" w:hAnsi="Times New Roman"/>
            <w:sz w:val="21"/>
            <w:szCs w:val="21"/>
          </w:rPr>
          <w:t>1-</w:t>
        </w:r>
        <w:r w:rsidR="006D4A10" w:rsidRPr="004865EF">
          <w:rPr>
            <w:rFonts w:ascii="Times New Roman" w:hAnsi="Times New Roman"/>
            <w:sz w:val="21"/>
            <w:szCs w:val="21"/>
          </w:rPr>
          <w:fldChar w:fldCharType="begin"/>
        </w:r>
        <w:r w:rsidR="006D4A10" w:rsidRPr="004865EF">
          <w:rPr>
            <w:rFonts w:ascii="Times New Roman" w:hAnsi="Times New Roman"/>
            <w:sz w:val="21"/>
            <w:szCs w:val="21"/>
          </w:rPr>
          <w:instrText>PAGE   \* MERGEFORMAT</w:instrText>
        </w:r>
        <w:r w:rsidR="006D4A10" w:rsidRPr="004865EF">
          <w:rPr>
            <w:rFonts w:ascii="Times New Roman" w:hAnsi="Times New Roman"/>
            <w:sz w:val="21"/>
            <w:szCs w:val="21"/>
          </w:rPr>
          <w:fldChar w:fldCharType="separate"/>
        </w:r>
        <w:r w:rsidR="000B6DD3" w:rsidRPr="000B6DD3">
          <w:rPr>
            <w:rFonts w:ascii="Times New Roman" w:hAnsi="Times New Roman"/>
            <w:noProof/>
            <w:sz w:val="21"/>
            <w:szCs w:val="21"/>
            <w:lang w:val="zh-CN"/>
          </w:rPr>
          <w:t>72</w:t>
        </w:r>
        <w:r w:rsidR="006D4A10" w:rsidRPr="004865EF">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9A32C" w14:textId="77777777" w:rsidR="00DE1BA6" w:rsidRDefault="00DE1BA6" w:rsidP="00CB6AA5">
      <w:r>
        <w:separator/>
      </w:r>
    </w:p>
  </w:footnote>
  <w:footnote w:type="continuationSeparator" w:id="0">
    <w:p w14:paraId="24CF5A44" w14:textId="77777777" w:rsidR="00DE1BA6" w:rsidRDefault="00DE1BA6" w:rsidP="00CB6AA5">
      <w:r>
        <w:continuationSeparator/>
      </w:r>
    </w:p>
  </w:footnote>
  <w:footnote w:id="1">
    <w:p w14:paraId="45F8F9E0" w14:textId="77777777" w:rsidR="006D4A10" w:rsidRDefault="006D4A10" w:rsidP="004E5D7E">
      <w:pPr>
        <w:pStyle w:val="ac"/>
      </w:pPr>
      <w:r>
        <w:rPr>
          <w:rStyle w:val="ae"/>
        </w:rPr>
        <w:footnoteRef/>
      </w:r>
      <w:r>
        <w:t xml:space="preserve"> </w:t>
      </w:r>
      <w:r>
        <w:t>根据《</w:t>
      </w:r>
      <w:r>
        <w:rPr>
          <w:rFonts w:hint="eastAsia"/>
        </w:rPr>
        <w:t>北京市新增产业的禁止和限制目录</w:t>
      </w:r>
      <w:r>
        <w:rPr>
          <w:rFonts w:hint="eastAsia"/>
        </w:rPr>
        <w:t>(2015</w:t>
      </w:r>
      <w:r>
        <w:rPr>
          <w:rFonts w:hint="eastAsia"/>
        </w:rPr>
        <w:t>年版</w:t>
      </w:r>
      <w:r>
        <w:rPr>
          <w:rFonts w:hint="eastAsia"/>
        </w:rPr>
        <w:t>)</w:t>
      </w:r>
      <w:r>
        <w:rPr>
          <w:rFonts w:hint="eastAsia"/>
        </w:rPr>
        <w:t>说明</w:t>
      </w:r>
      <w:r>
        <w:t>》，</w:t>
      </w:r>
      <w:r>
        <w:rPr>
          <w:rFonts w:hint="eastAsia"/>
        </w:rPr>
        <w:t>包括东城区、西城区、朝阳区、海淀区、丰台区、石景山区。</w:t>
      </w:r>
    </w:p>
  </w:footnote>
  <w:footnote w:id="2">
    <w:p w14:paraId="7B96E275" w14:textId="77777777" w:rsidR="006D4A10" w:rsidRDefault="006D4A10" w:rsidP="004E5D7E">
      <w:pPr>
        <w:pStyle w:val="ac"/>
      </w:pPr>
      <w:r>
        <w:rPr>
          <w:rStyle w:val="ae"/>
        </w:rPr>
        <w:footnoteRef/>
      </w:r>
      <w:r>
        <w:t xml:space="preserve"> </w:t>
      </w:r>
      <w:r>
        <w:t>根据《</w:t>
      </w:r>
      <w:r>
        <w:rPr>
          <w:rFonts w:hint="eastAsia"/>
        </w:rPr>
        <w:t>北京市新增产业的禁止和限制目录</w:t>
      </w:r>
      <w:r>
        <w:rPr>
          <w:rFonts w:hint="eastAsia"/>
        </w:rPr>
        <w:t>(2018</w:t>
      </w:r>
      <w:r>
        <w:rPr>
          <w:rFonts w:hint="eastAsia"/>
        </w:rPr>
        <w:t>年版</w:t>
      </w:r>
      <w:r>
        <w:rPr>
          <w:rFonts w:hint="eastAsia"/>
        </w:rPr>
        <w:t>)</w:t>
      </w:r>
      <w:r>
        <w:rPr>
          <w:rFonts w:hint="eastAsia"/>
        </w:rPr>
        <w:t>说明</w:t>
      </w:r>
      <w:r>
        <w:t>》</w:t>
      </w:r>
      <w:r>
        <w:rPr>
          <w:rFonts w:hint="eastAsia"/>
        </w:rPr>
        <w:t>注释</w:t>
      </w:r>
      <w:r>
        <w:t>：</w:t>
      </w:r>
      <w:r>
        <w:rPr>
          <w:rFonts w:hint="eastAsia"/>
        </w:rPr>
        <w:t>中心城区包括东城区、西城区、朝阳区、海淀区、丰台区、石景山区，土地面积</w:t>
      </w:r>
      <w:r>
        <w:rPr>
          <w:rFonts w:hint="eastAsia"/>
        </w:rPr>
        <w:t>1378</w:t>
      </w:r>
      <w:r>
        <w:rPr>
          <w:rFonts w:hint="eastAsia"/>
        </w:rPr>
        <w:t>平方公里。</w:t>
      </w:r>
    </w:p>
  </w:footnote>
  <w:footnote w:id="3">
    <w:p w14:paraId="667AABC5" w14:textId="77777777" w:rsidR="006D4A10" w:rsidRDefault="006D4A10" w:rsidP="004E5D7E">
      <w:pPr>
        <w:pStyle w:val="ac"/>
      </w:pPr>
      <w:r>
        <w:rPr>
          <w:rStyle w:val="ae"/>
        </w:rPr>
        <w:footnoteRef/>
      </w:r>
      <w:r>
        <w:t xml:space="preserve"> </w:t>
      </w:r>
      <w:r>
        <w:rPr>
          <w:rFonts w:hint="eastAsia"/>
        </w:rPr>
        <w:t>根据《北京市新增产业的禁止和限制目录</w:t>
      </w:r>
      <w:r>
        <w:rPr>
          <w:rFonts w:hint="eastAsia"/>
        </w:rPr>
        <w:t>(2018</w:t>
      </w:r>
      <w:r>
        <w:rPr>
          <w:rFonts w:hint="eastAsia"/>
        </w:rPr>
        <w:t>年版</w:t>
      </w:r>
      <w:r>
        <w:rPr>
          <w:rFonts w:hint="eastAsia"/>
        </w:rPr>
        <w:t>)</w:t>
      </w:r>
      <w:r>
        <w:rPr>
          <w:rFonts w:hint="eastAsia"/>
        </w:rPr>
        <w:t>说明》注释</w:t>
      </w:r>
      <w:r>
        <w:t>：</w:t>
      </w:r>
      <w:r>
        <w:rPr>
          <w:rFonts w:hint="eastAsia"/>
        </w:rPr>
        <w:t>北京城市副中心规划范围为原通州新城规划建设区，总面积约</w:t>
      </w:r>
      <w:r>
        <w:rPr>
          <w:rFonts w:hint="eastAsia"/>
        </w:rPr>
        <w:t>155</w:t>
      </w:r>
      <w:r>
        <w:rPr>
          <w:rFonts w:hint="eastAsia"/>
        </w:rPr>
        <w:t>平方公里。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D7747"/>
    <w:multiLevelType w:val="hybridMultilevel"/>
    <w:tmpl w:val="000AF362"/>
    <w:lvl w:ilvl="0" w:tplc="FA786D0C">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5F0D99C1"/>
    <w:multiLevelType w:val="singleLevel"/>
    <w:tmpl w:val="5F0D99C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53"/>
    <w:rsid w:val="000018AA"/>
    <w:rsid w:val="00001C85"/>
    <w:rsid w:val="00004750"/>
    <w:rsid w:val="000111EF"/>
    <w:rsid w:val="00013DE9"/>
    <w:rsid w:val="0001516E"/>
    <w:rsid w:val="0001592F"/>
    <w:rsid w:val="00015C9E"/>
    <w:rsid w:val="00017A33"/>
    <w:rsid w:val="00020405"/>
    <w:rsid w:val="000217FB"/>
    <w:rsid w:val="00023065"/>
    <w:rsid w:val="00025278"/>
    <w:rsid w:val="00026DC0"/>
    <w:rsid w:val="000321A4"/>
    <w:rsid w:val="00032D52"/>
    <w:rsid w:val="00034F97"/>
    <w:rsid w:val="000351BF"/>
    <w:rsid w:val="00040BEE"/>
    <w:rsid w:val="00040FB5"/>
    <w:rsid w:val="00041A43"/>
    <w:rsid w:val="00043321"/>
    <w:rsid w:val="00044245"/>
    <w:rsid w:val="00045046"/>
    <w:rsid w:val="000454DB"/>
    <w:rsid w:val="000516B7"/>
    <w:rsid w:val="0005200E"/>
    <w:rsid w:val="0006015A"/>
    <w:rsid w:val="00063ACB"/>
    <w:rsid w:val="0006682C"/>
    <w:rsid w:val="000672CD"/>
    <w:rsid w:val="00067839"/>
    <w:rsid w:val="00070B04"/>
    <w:rsid w:val="000716E2"/>
    <w:rsid w:val="00075B0D"/>
    <w:rsid w:val="0007621E"/>
    <w:rsid w:val="00080062"/>
    <w:rsid w:val="00081026"/>
    <w:rsid w:val="000810FF"/>
    <w:rsid w:val="00082163"/>
    <w:rsid w:val="00082258"/>
    <w:rsid w:val="0008265D"/>
    <w:rsid w:val="00082FB5"/>
    <w:rsid w:val="00085F2B"/>
    <w:rsid w:val="00091557"/>
    <w:rsid w:val="00091655"/>
    <w:rsid w:val="00091C34"/>
    <w:rsid w:val="00091CE6"/>
    <w:rsid w:val="000939E0"/>
    <w:rsid w:val="00095B69"/>
    <w:rsid w:val="00095D57"/>
    <w:rsid w:val="00096276"/>
    <w:rsid w:val="00097796"/>
    <w:rsid w:val="000A0AC0"/>
    <w:rsid w:val="000A1577"/>
    <w:rsid w:val="000A3F3D"/>
    <w:rsid w:val="000B2BD6"/>
    <w:rsid w:val="000B43DE"/>
    <w:rsid w:val="000B5247"/>
    <w:rsid w:val="000B6DD3"/>
    <w:rsid w:val="000B7B4E"/>
    <w:rsid w:val="000C44C4"/>
    <w:rsid w:val="000C4942"/>
    <w:rsid w:val="000C500A"/>
    <w:rsid w:val="000C5374"/>
    <w:rsid w:val="000C63EF"/>
    <w:rsid w:val="000C767D"/>
    <w:rsid w:val="000C78E9"/>
    <w:rsid w:val="000D0EEE"/>
    <w:rsid w:val="000D2D69"/>
    <w:rsid w:val="000D2DC7"/>
    <w:rsid w:val="000E0678"/>
    <w:rsid w:val="000E3ED8"/>
    <w:rsid w:val="000E53E3"/>
    <w:rsid w:val="000E5468"/>
    <w:rsid w:val="000E5861"/>
    <w:rsid w:val="000E7733"/>
    <w:rsid w:val="000E7D53"/>
    <w:rsid w:val="000F1CFC"/>
    <w:rsid w:val="000F2A87"/>
    <w:rsid w:val="000F510B"/>
    <w:rsid w:val="000F53D1"/>
    <w:rsid w:val="000F60C2"/>
    <w:rsid w:val="00101D7B"/>
    <w:rsid w:val="00102E21"/>
    <w:rsid w:val="00106D07"/>
    <w:rsid w:val="00107310"/>
    <w:rsid w:val="001077D1"/>
    <w:rsid w:val="00112BCD"/>
    <w:rsid w:val="00113720"/>
    <w:rsid w:val="00116FD5"/>
    <w:rsid w:val="00117263"/>
    <w:rsid w:val="00124080"/>
    <w:rsid w:val="00125016"/>
    <w:rsid w:val="001262AB"/>
    <w:rsid w:val="00127867"/>
    <w:rsid w:val="00132742"/>
    <w:rsid w:val="0013313B"/>
    <w:rsid w:val="00134481"/>
    <w:rsid w:val="00134E4A"/>
    <w:rsid w:val="001418FA"/>
    <w:rsid w:val="0014484D"/>
    <w:rsid w:val="0014561B"/>
    <w:rsid w:val="0015108C"/>
    <w:rsid w:val="001518FF"/>
    <w:rsid w:val="00151A96"/>
    <w:rsid w:val="00151B58"/>
    <w:rsid w:val="00151B65"/>
    <w:rsid w:val="00151F32"/>
    <w:rsid w:val="001520FD"/>
    <w:rsid w:val="001539C5"/>
    <w:rsid w:val="00155F0F"/>
    <w:rsid w:val="001572D4"/>
    <w:rsid w:val="00157321"/>
    <w:rsid w:val="0016419C"/>
    <w:rsid w:val="00164237"/>
    <w:rsid w:val="00164315"/>
    <w:rsid w:val="001653B0"/>
    <w:rsid w:val="00166889"/>
    <w:rsid w:val="00170012"/>
    <w:rsid w:val="00170C30"/>
    <w:rsid w:val="001712CC"/>
    <w:rsid w:val="00174B92"/>
    <w:rsid w:val="00181621"/>
    <w:rsid w:val="0018184F"/>
    <w:rsid w:val="00183134"/>
    <w:rsid w:val="001834B2"/>
    <w:rsid w:val="001850EF"/>
    <w:rsid w:val="001875EF"/>
    <w:rsid w:val="001913A1"/>
    <w:rsid w:val="0019378F"/>
    <w:rsid w:val="00195988"/>
    <w:rsid w:val="00196915"/>
    <w:rsid w:val="001979E5"/>
    <w:rsid w:val="001A1801"/>
    <w:rsid w:val="001A269E"/>
    <w:rsid w:val="001A3DDB"/>
    <w:rsid w:val="001A47BB"/>
    <w:rsid w:val="001A6468"/>
    <w:rsid w:val="001A7918"/>
    <w:rsid w:val="001A7944"/>
    <w:rsid w:val="001B06B2"/>
    <w:rsid w:val="001B7110"/>
    <w:rsid w:val="001B73B4"/>
    <w:rsid w:val="001C1B0D"/>
    <w:rsid w:val="001C3927"/>
    <w:rsid w:val="001C64A4"/>
    <w:rsid w:val="001C64D1"/>
    <w:rsid w:val="001D0F02"/>
    <w:rsid w:val="001D341E"/>
    <w:rsid w:val="001D6117"/>
    <w:rsid w:val="001D74CA"/>
    <w:rsid w:val="001D7895"/>
    <w:rsid w:val="001E18A0"/>
    <w:rsid w:val="001E40E8"/>
    <w:rsid w:val="001E5BB0"/>
    <w:rsid w:val="001E66D5"/>
    <w:rsid w:val="001E6E67"/>
    <w:rsid w:val="001F0BB9"/>
    <w:rsid w:val="001F18E0"/>
    <w:rsid w:val="001F1A90"/>
    <w:rsid w:val="001F2B0D"/>
    <w:rsid w:val="001F2F9E"/>
    <w:rsid w:val="001F7C40"/>
    <w:rsid w:val="002004FD"/>
    <w:rsid w:val="00200E90"/>
    <w:rsid w:val="002016AC"/>
    <w:rsid w:val="00201DB6"/>
    <w:rsid w:val="00202922"/>
    <w:rsid w:val="002035E1"/>
    <w:rsid w:val="00203A99"/>
    <w:rsid w:val="00205B95"/>
    <w:rsid w:val="00207D66"/>
    <w:rsid w:val="00211306"/>
    <w:rsid w:val="002113BA"/>
    <w:rsid w:val="002131DA"/>
    <w:rsid w:val="002137BE"/>
    <w:rsid w:val="00213DBB"/>
    <w:rsid w:val="00214102"/>
    <w:rsid w:val="00214166"/>
    <w:rsid w:val="002144DC"/>
    <w:rsid w:val="00216C17"/>
    <w:rsid w:val="00216E4B"/>
    <w:rsid w:val="0022014B"/>
    <w:rsid w:val="00220253"/>
    <w:rsid w:val="00220CCB"/>
    <w:rsid w:val="002224BB"/>
    <w:rsid w:val="00222612"/>
    <w:rsid w:val="0022329F"/>
    <w:rsid w:val="00223F17"/>
    <w:rsid w:val="00225788"/>
    <w:rsid w:val="002306FC"/>
    <w:rsid w:val="00231244"/>
    <w:rsid w:val="0023267B"/>
    <w:rsid w:val="0023308A"/>
    <w:rsid w:val="002337EE"/>
    <w:rsid w:val="00234524"/>
    <w:rsid w:val="00234AD6"/>
    <w:rsid w:val="002353CF"/>
    <w:rsid w:val="00235845"/>
    <w:rsid w:val="0024207A"/>
    <w:rsid w:val="00245A40"/>
    <w:rsid w:val="0024639D"/>
    <w:rsid w:val="002471E7"/>
    <w:rsid w:val="00256089"/>
    <w:rsid w:val="0025719A"/>
    <w:rsid w:val="00260254"/>
    <w:rsid w:val="0026029E"/>
    <w:rsid w:val="002619B0"/>
    <w:rsid w:val="00261AF1"/>
    <w:rsid w:val="002624ED"/>
    <w:rsid w:val="00262CF5"/>
    <w:rsid w:val="00264C96"/>
    <w:rsid w:val="002667C8"/>
    <w:rsid w:val="0027306D"/>
    <w:rsid w:val="0027311A"/>
    <w:rsid w:val="0028295B"/>
    <w:rsid w:val="00282E31"/>
    <w:rsid w:val="00283FF3"/>
    <w:rsid w:val="002857EE"/>
    <w:rsid w:val="002867A4"/>
    <w:rsid w:val="00287E3B"/>
    <w:rsid w:val="00287F1E"/>
    <w:rsid w:val="002944FE"/>
    <w:rsid w:val="00297E56"/>
    <w:rsid w:val="002A6973"/>
    <w:rsid w:val="002A6EFB"/>
    <w:rsid w:val="002A739F"/>
    <w:rsid w:val="002B2602"/>
    <w:rsid w:val="002B41C1"/>
    <w:rsid w:val="002B43B6"/>
    <w:rsid w:val="002B6CCB"/>
    <w:rsid w:val="002B750D"/>
    <w:rsid w:val="002B7990"/>
    <w:rsid w:val="002C29FC"/>
    <w:rsid w:val="002C34E9"/>
    <w:rsid w:val="002C441C"/>
    <w:rsid w:val="002C7BD5"/>
    <w:rsid w:val="002D0DC2"/>
    <w:rsid w:val="002D733C"/>
    <w:rsid w:val="002D7B31"/>
    <w:rsid w:val="002D7B69"/>
    <w:rsid w:val="002E0A60"/>
    <w:rsid w:val="002E130A"/>
    <w:rsid w:val="002E31FE"/>
    <w:rsid w:val="002E35FF"/>
    <w:rsid w:val="002E43BE"/>
    <w:rsid w:val="002E5D41"/>
    <w:rsid w:val="002E75B6"/>
    <w:rsid w:val="002F03DD"/>
    <w:rsid w:val="002F28A2"/>
    <w:rsid w:val="002F7459"/>
    <w:rsid w:val="002F7980"/>
    <w:rsid w:val="0030001F"/>
    <w:rsid w:val="003009C7"/>
    <w:rsid w:val="00301986"/>
    <w:rsid w:val="003027A1"/>
    <w:rsid w:val="003061C5"/>
    <w:rsid w:val="00306C77"/>
    <w:rsid w:val="00311AB4"/>
    <w:rsid w:val="0031578F"/>
    <w:rsid w:val="0031582B"/>
    <w:rsid w:val="00316196"/>
    <w:rsid w:val="00316A6D"/>
    <w:rsid w:val="00321E60"/>
    <w:rsid w:val="0033156A"/>
    <w:rsid w:val="00333C9D"/>
    <w:rsid w:val="00333DE9"/>
    <w:rsid w:val="00333E01"/>
    <w:rsid w:val="003344D0"/>
    <w:rsid w:val="00335D50"/>
    <w:rsid w:val="00340A0D"/>
    <w:rsid w:val="003419B8"/>
    <w:rsid w:val="00341CA6"/>
    <w:rsid w:val="003443AD"/>
    <w:rsid w:val="00345205"/>
    <w:rsid w:val="003458C4"/>
    <w:rsid w:val="00346DD5"/>
    <w:rsid w:val="0035200B"/>
    <w:rsid w:val="00352FF0"/>
    <w:rsid w:val="003534A4"/>
    <w:rsid w:val="00374541"/>
    <w:rsid w:val="00375C54"/>
    <w:rsid w:val="0037793F"/>
    <w:rsid w:val="00377BDB"/>
    <w:rsid w:val="00382C87"/>
    <w:rsid w:val="00383238"/>
    <w:rsid w:val="0038472A"/>
    <w:rsid w:val="003848C2"/>
    <w:rsid w:val="00386F43"/>
    <w:rsid w:val="003871DA"/>
    <w:rsid w:val="003876F2"/>
    <w:rsid w:val="00394DA8"/>
    <w:rsid w:val="0039563E"/>
    <w:rsid w:val="00395B19"/>
    <w:rsid w:val="00396315"/>
    <w:rsid w:val="003963F8"/>
    <w:rsid w:val="00397DB2"/>
    <w:rsid w:val="003A0F2D"/>
    <w:rsid w:val="003A34A9"/>
    <w:rsid w:val="003A3A8E"/>
    <w:rsid w:val="003A5500"/>
    <w:rsid w:val="003B39DA"/>
    <w:rsid w:val="003B491C"/>
    <w:rsid w:val="003B5668"/>
    <w:rsid w:val="003B5E38"/>
    <w:rsid w:val="003B74B1"/>
    <w:rsid w:val="003C0BBB"/>
    <w:rsid w:val="003C2212"/>
    <w:rsid w:val="003C59F2"/>
    <w:rsid w:val="003C6B5B"/>
    <w:rsid w:val="003C6FC8"/>
    <w:rsid w:val="003C7363"/>
    <w:rsid w:val="003D043C"/>
    <w:rsid w:val="003D2521"/>
    <w:rsid w:val="003D442A"/>
    <w:rsid w:val="003D7749"/>
    <w:rsid w:val="003E1F8D"/>
    <w:rsid w:val="003E5EEA"/>
    <w:rsid w:val="003E74BA"/>
    <w:rsid w:val="003E77D0"/>
    <w:rsid w:val="003E7F5E"/>
    <w:rsid w:val="003F2F7B"/>
    <w:rsid w:val="003F34E3"/>
    <w:rsid w:val="003F3C69"/>
    <w:rsid w:val="003F3F7C"/>
    <w:rsid w:val="003F459C"/>
    <w:rsid w:val="003F4BAC"/>
    <w:rsid w:val="003F5BE1"/>
    <w:rsid w:val="00400068"/>
    <w:rsid w:val="0040010A"/>
    <w:rsid w:val="004011F2"/>
    <w:rsid w:val="004013A8"/>
    <w:rsid w:val="004050B4"/>
    <w:rsid w:val="00407787"/>
    <w:rsid w:val="00410F8B"/>
    <w:rsid w:val="00411FDF"/>
    <w:rsid w:val="00412A22"/>
    <w:rsid w:val="00413FC5"/>
    <w:rsid w:val="00415D45"/>
    <w:rsid w:val="00420ED6"/>
    <w:rsid w:val="00426D9C"/>
    <w:rsid w:val="00426E7D"/>
    <w:rsid w:val="004271BF"/>
    <w:rsid w:val="004311AA"/>
    <w:rsid w:val="0043304A"/>
    <w:rsid w:val="0043425B"/>
    <w:rsid w:val="00434CA5"/>
    <w:rsid w:val="00434D23"/>
    <w:rsid w:val="0043583D"/>
    <w:rsid w:val="00437A93"/>
    <w:rsid w:val="00437C18"/>
    <w:rsid w:val="004418BB"/>
    <w:rsid w:val="0044223D"/>
    <w:rsid w:val="004422B0"/>
    <w:rsid w:val="00442D34"/>
    <w:rsid w:val="00443EB9"/>
    <w:rsid w:val="00444FEC"/>
    <w:rsid w:val="004471AA"/>
    <w:rsid w:val="0044731D"/>
    <w:rsid w:val="00447EE9"/>
    <w:rsid w:val="00450CE4"/>
    <w:rsid w:val="004523B0"/>
    <w:rsid w:val="004545D5"/>
    <w:rsid w:val="00454E00"/>
    <w:rsid w:val="00456A09"/>
    <w:rsid w:val="00456FAD"/>
    <w:rsid w:val="00457442"/>
    <w:rsid w:val="0045754F"/>
    <w:rsid w:val="00461AA1"/>
    <w:rsid w:val="00462B09"/>
    <w:rsid w:val="00470423"/>
    <w:rsid w:val="004704C5"/>
    <w:rsid w:val="0047096E"/>
    <w:rsid w:val="0047131D"/>
    <w:rsid w:val="0047156C"/>
    <w:rsid w:val="00472AD8"/>
    <w:rsid w:val="00473FF6"/>
    <w:rsid w:val="004742B0"/>
    <w:rsid w:val="004756DB"/>
    <w:rsid w:val="004801C4"/>
    <w:rsid w:val="00482795"/>
    <w:rsid w:val="00483757"/>
    <w:rsid w:val="00484ED7"/>
    <w:rsid w:val="00486324"/>
    <w:rsid w:val="004865EF"/>
    <w:rsid w:val="00486972"/>
    <w:rsid w:val="00486E7E"/>
    <w:rsid w:val="004928E1"/>
    <w:rsid w:val="00494620"/>
    <w:rsid w:val="004961EC"/>
    <w:rsid w:val="004962FE"/>
    <w:rsid w:val="00496DC3"/>
    <w:rsid w:val="00496F3D"/>
    <w:rsid w:val="004A26CE"/>
    <w:rsid w:val="004A3612"/>
    <w:rsid w:val="004A39B4"/>
    <w:rsid w:val="004A3D51"/>
    <w:rsid w:val="004A5FB8"/>
    <w:rsid w:val="004B4537"/>
    <w:rsid w:val="004B7AD8"/>
    <w:rsid w:val="004B7B83"/>
    <w:rsid w:val="004B7F06"/>
    <w:rsid w:val="004C10B2"/>
    <w:rsid w:val="004C1AB4"/>
    <w:rsid w:val="004D2480"/>
    <w:rsid w:val="004D299C"/>
    <w:rsid w:val="004D4156"/>
    <w:rsid w:val="004D4C0E"/>
    <w:rsid w:val="004E5CA1"/>
    <w:rsid w:val="004E5D7E"/>
    <w:rsid w:val="004F1780"/>
    <w:rsid w:val="004F1A79"/>
    <w:rsid w:val="004F7DD8"/>
    <w:rsid w:val="005001D6"/>
    <w:rsid w:val="00503A85"/>
    <w:rsid w:val="005062E1"/>
    <w:rsid w:val="00506911"/>
    <w:rsid w:val="005079B7"/>
    <w:rsid w:val="00512611"/>
    <w:rsid w:val="00512D5C"/>
    <w:rsid w:val="0051421E"/>
    <w:rsid w:val="005148CA"/>
    <w:rsid w:val="0051729D"/>
    <w:rsid w:val="0052035D"/>
    <w:rsid w:val="00520AE0"/>
    <w:rsid w:val="00523930"/>
    <w:rsid w:val="00523D2D"/>
    <w:rsid w:val="00525C4F"/>
    <w:rsid w:val="005269D1"/>
    <w:rsid w:val="0053055A"/>
    <w:rsid w:val="00531D7F"/>
    <w:rsid w:val="00533534"/>
    <w:rsid w:val="00535725"/>
    <w:rsid w:val="005362BA"/>
    <w:rsid w:val="0053761B"/>
    <w:rsid w:val="0054012B"/>
    <w:rsid w:val="005429DA"/>
    <w:rsid w:val="0054357E"/>
    <w:rsid w:val="00545171"/>
    <w:rsid w:val="005453F4"/>
    <w:rsid w:val="00546925"/>
    <w:rsid w:val="00547378"/>
    <w:rsid w:val="005513E9"/>
    <w:rsid w:val="00552000"/>
    <w:rsid w:val="0055336D"/>
    <w:rsid w:val="005619A9"/>
    <w:rsid w:val="00564504"/>
    <w:rsid w:val="00564FD9"/>
    <w:rsid w:val="00565756"/>
    <w:rsid w:val="005665F7"/>
    <w:rsid w:val="00567B12"/>
    <w:rsid w:val="00570E75"/>
    <w:rsid w:val="00573B2B"/>
    <w:rsid w:val="0057649C"/>
    <w:rsid w:val="005779B3"/>
    <w:rsid w:val="00577D23"/>
    <w:rsid w:val="00581F74"/>
    <w:rsid w:val="005826EB"/>
    <w:rsid w:val="00583518"/>
    <w:rsid w:val="00585FC3"/>
    <w:rsid w:val="0059264D"/>
    <w:rsid w:val="005926F1"/>
    <w:rsid w:val="00593D63"/>
    <w:rsid w:val="00594A46"/>
    <w:rsid w:val="00594BBA"/>
    <w:rsid w:val="005954DD"/>
    <w:rsid w:val="005962EB"/>
    <w:rsid w:val="005A094E"/>
    <w:rsid w:val="005A0D25"/>
    <w:rsid w:val="005A666F"/>
    <w:rsid w:val="005A7623"/>
    <w:rsid w:val="005A7CA1"/>
    <w:rsid w:val="005B3CE4"/>
    <w:rsid w:val="005B3F8A"/>
    <w:rsid w:val="005B4BDD"/>
    <w:rsid w:val="005B53CC"/>
    <w:rsid w:val="005B5E10"/>
    <w:rsid w:val="005B6EB7"/>
    <w:rsid w:val="005B76F3"/>
    <w:rsid w:val="005C05C9"/>
    <w:rsid w:val="005C0EBF"/>
    <w:rsid w:val="005C2332"/>
    <w:rsid w:val="005C4472"/>
    <w:rsid w:val="005C456E"/>
    <w:rsid w:val="005C5AEA"/>
    <w:rsid w:val="005D028C"/>
    <w:rsid w:val="005D43ED"/>
    <w:rsid w:val="005E04E2"/>
    <w:rsid w:val="005E11CC"/>
    <w:rsid w:val="005E2515"/>
    <w:rsid w:val="005E4BE3"/>
    <w:rsid w:val="005E5A0F"/>
    <w:rsid w:val="005E5E19"/>
    <w:rsid w:val="005E6558"/>
    <w:rsid w:val="005F103B"/>
    <w:rsid w:val="005F243B"/>
    <w:rsid w:val="00600FF7"/>
    <w:rsid w:val="00602898"/>
    <w:rsid w:val="00602FC1"/>
    <w:rsid w:val="0060398A"/>
    <w:rsid w:val="00603DB7"/>
    <w:rsid w:val="0060590B"/>
    <w:rsid w:val="00605AAA"/>
    <w:rsid w:val="006061C1"/>
    <w:rsid w:val="0060747E"/>
    <w:rsid w:val="00613919"/>
    <w:rsid w:val="0061788D"/>
    <w:rsid w:val="00620662"/>
    <w:rsid w:val="00621617"/>
    <w:rsid w:val="006217E6"/>
    <w:rsid w:val="00623420"/>
    <w:rsid w:val="00623C58"/>
    <w:rsid w:val="00623FC2"/>
    <w:rsid w:val="006240F9"/>
    <w:rsid w:val="00624CDD"/>
    <w:rsid w:val="00626513"/>
    <w:rsid w:val="00627996"/>
    <w:rsid w:val="0063025B"/>
    <w:rsid w:val="00630D70"/>
    <w:rsid w:val="006318C0"/>
    <w:rsid w:val="00631955"/>
    <w:rsid w:val="00633C02"/>
    <w:rsid w:val="0063412A"/>
    <w:rsid w:val="00634D2E"/>
    <w:rsid w:val="00636E76"/>
    <w:rsid w:val="00637C07"/>
    <w:rsid w:val="00643CD8"/>
    <w:rsid w:val="00645D23"/>
    <w:rsid w:val="0064611F"/>
    <w:rsid w:val="00650166"/>
    <w:rsid w:val="00650DAC"/>
    <w:rsid w:val="0066058B"/>
    <w:rsid w:val="006617D4"/>
    <w:rsid w:val="006627CF"/>
    <w:rsid w:val="0066323D"/>
    <w:rsid w:val="0066401E"/>
    <w:rsid w:val="006658E1"/>
    <w:rsid w:val="00667042"/>
    <w:rsid w:val="00667C03"/>
    <w:rsid w:val="0067187D"/>
    <w:rsid w:val="006719D2"/>
    <w:rsid w:val="00675378"/>
    <w:rsid w:val="0067704D"/>
    <w:rsid w:val="00680AEF"/>
    <w:rsid w:val="00680D89"/>
    <w:rsid w:val="00681A90"/>
    <w:rsid w:val="0068433E"/>
    <w:rsid w:val="006854F3"/>
    <w:rsid w:val="00687607"/>
    <w:rsid w:val="00687AA1"/>
    <w:rsid w:val="006916B2"/>
    <w:rsid w:val="006922BF"/>
    <w:rsid w:val="006934AF"/>
    <w:rsid w:val="006935DD"/>
    <w:rsid w:val="00693973"/>
    <w:rsid w:val="00694B39"/>
    <w:rsid w:val="006A5A2D"/>
    <w:rsid w:val="006A683A"/>
    <w:rsid w:val="006A7529"/>
    <w:rsid w:val="006B0932"/>
    <w:rsid w:val="006B128B"/>
    <w:rsid w:val="006B2F73"/>
    <w:rsid w:val="006B4A67"/>
    <w:rsid w:val="006B55D4"/>
    <w:rsid w:val="006B5761"/>
    <w:rsid w:val="006B5EB3"/>
    <w:rsid w:val="006B6A3C"/>
    <w:rsid w:val="006C0073"/>
    <w:rsid w:val="006C29A6"/>
    <w:rsid w:val="006C32EF"/>
    <w:rsid w:val="006C4603"/>
    <w:rsid w:val="006C57C9"/>
    <w:rsid w:val="006C7D51"/>
    <w:rsid w:val="006D0496"/>
    <w:rsid w:val="006D3FF0"/>
    <w:rsid w:val="006D4A10"/>
    <w:rsid w:val="006D6547"/>
    <w:rsid w:val="006E0E14"/>
    <w:rsid w:val="006E34AD"/>
    <w:rsid w:val="006E34EF"/>
    <w:rsid w:val="006E35D4"/>
    <w:rsid w:val="006E4500"/>
    <w:rsid w:val="006E7AA6"/>
    <w:rsid w:val="006F1366"/>
    <w:rsid w:val="006F3CEC"/>
    <w:rsid w:val="006F5088"/>
    <w:rsid w:val="006F5580"/>
    <w:rsid w:val="00700B48"/>
    <w:rsid w:val="0070170C"/>
    <w:rsid w:val="00701B83"/>
    <w:rsid w:val="00702381"/>
    <w:rsid w:val="00702D60"/>
    <w:rsid w:val="00703C84"/>
    <w:rsid w:val="00704ABF"/>
    <w:rsid w:val="007057A2"/>
    <w:rsid w:val="007060C7"/>
    <w:rsid w:val="00706319"/>
    <w:rsid w:val="00706FB9"/>
    <w:rsid w:val="00707468"/>
    <w:rsid w:val="00707B84"/>
    <w:rsid w:val="0071140B"/>
    <w:rsid w:val="007160A6"/>
    <w:rsid w:val="00720C0D"/>
    <w:rsid w:val="00721500"/>
    <w:rsid w:val="00726373"/>
    <w:rsid w:val="007266C4"/>
    <w:rsid w:val="00733313"/>
    <w:rsid w:val="00734707"/>
    <w:rsid w:val="0073782C"/>
    <w:rsid w:val="007412D5"/>
    <w:rsid w:val="007419C0"/>
    <w:rsid w:val="0074235A"/>
    <w:rsid w:val="007431E9"/>
    <w:rsid w:val="007449C0"/>
    <w:rsid w:val="00752AB6"/>
    <w:rsid w:val="00752F9E"/>
    <w:rsid w:val="007539C5"/>
    <w:rsid w:val="00753A50"/>
    <w:rsid w:val="00753EE3"/>
    <w:rsid w:val="00754DB9"/>
    <w:rsid w:val="007553B8"/>
    <w:rsid w:val="00757018"/>
    <w:rsid w:val="00757225"/>
    <w:rsid w:val="00757871"/>
    <w:rsid w:val="00757BF8"/>
    <w:rsid w:val="00760D9F"/>
    <w:rsid w:val="007611C6"/>
    <w:rsid w:val="00762E30"/>
    <w:rsid w:val="007636A4"/>
    <w:rsid w:val="00766FF1"/>
    <w:rsid w:val="00770E11"/>
    <w:rsid w:val="00771C91"/>
    <w:rsid w:val="00773786"/>
    <w:rsid w:val="00773822"/>
    <w:rsid w:val="00780DAA"/>
    <w:rsid w:val="0078182C"/>
    <w:rsid w:val="007819D1"/>
    <w:rsid w:val="00781F66"/>
    <w:rsid w:val="0078201D"/>
    <w:rsid w:val="00782F8B"/>
    <w:rsid w:val="00783EC7"/>
    <w:rsid w:val="00785053"/>
    <w:rsid w:val="0078726D"/>
    <w:rsid w:val="007902D0"/>
    <w:rsid w:val="00793F2B"/>
    <w:rsid w:val="00793FED"/>
    <w:rsid w:val="00794446"/>
    <w:rsid w:val="00794AE0"/>
    <w:rsid w:val="00794DD8"/>
    <w:rsid w:val="00794E1C"/>
    <w:rsid w:val="00795EE5"/>
    <w:rsid w:val="007A1320"/>
    <w:rsid w:val="007A247C"/>
    <w:rsid w:val="007A2C63"/>
    <w:rsid w:val="007A58E3"/>
    <w:rsid w:val="007A662F"/>
    <w:rsid w:val="007A72A6"/>
    <w:rsid w:val="007A755F"/>
    <w:rsid w:val="007B053E"/>
    <w:rsid w:val="007B4B81"/>
    <w:rsid w:val="007B6B10"/>
    <w:rsid w:val="007B6DFB"/>
    <w:rsid w:val="007C4EEA"/>
    <w:rsid w:val="007C6AE7"/>
    <w:rsid w:val="007C73F5"/>
    <w:rsid w:val="007D0005"/>
    <w:rsid w:val="007D26F6"/>
    <w:rsid w:val="007D2AE3"/>
    <w:rsid w:val="007D3171"/>
    <w:rsid w:val="007D4253"/>
    <w:rsid w:val="007D4BCA"/>
    <w:rsid w:val="007D6227"/>
    <w:rsid w:val="007E0122"/>
    <w:rsid w:val="007E2FF8"/>
    <w:rsid w:val="007E55B5"/>
    <w:rsid w:val="007E5B5F"/>
    <w:rsid w:val="007E7F87"/>
    <w:rsid w:val="007F1070"/>
    <w:rsid w:val="007F1506"/>
    <w:rsid w:val="007F2BC0"/>
    <w:rsid w:val="007F4E61"/>
    <w:rsid w:val="007F7AC3"/>
    <w:rsid w:val="00803C3E"/>
    <w:rsid w:val="0080400A"/>
    <w:rsid w:val="00806444"/>
    <w:rsid w:val="008065F6"/>
    <w:rsid w:val="008074FC"/>
    <w:rsid w:val="00811084"/>
    <w:rsid w:val="008119E0"/>
    <w:rsid w:val="00811BF7"/>
    <w:rsid w:val="008124D1"/>
    <w:rsid w:val="00815A85"/>
    <w:rsid w:val="00815FDC"/>
    <w:rsid w:val="00816F7F"/>
    <w:rsid w:val="00820C14"/>
    <w:rsid w:val="00822F56"/>
    <w:rsid w:val="0082330D"/>
    <w:rsid w:val="00826038"/>
    <w:rsid w:val="008316F2"/>
    <w:rsid w:val="0083352D"/>
    <w:rsid w:val="00833BB7"/>
    <w:rsid w:val="008362BD"/>
    <w:rsid w:val="008366AD"/>
    <w:rsid w:val="008402DF"/>
    <w:rsid w:val="00842698"/>
    <w:rsid w:val="00847D20"/>
    <w:rsid w:val="0085030D"/>
    <w:rsid w:val="00850460"/>
    <w:rsid w:val="00851F9F"/>
    <w:rsid w:val="00854657"/>
    <w:rsid w:val="008549D9"/>
    <w:rsid w:val="00854FAF"/>
    <w:rsid w:val="008577D1"/>
    <w:rsid w:val="008578D2"/>
    <w:rsid w:val="00860A0E"/>
    <w:rsid w:val="00861548"/>
    <w:rsid w:val="00862A56"/>
    <w:rsid w:val="00864F59"/>
    <w:rsid w:val="00865CEA"/>
    <w:rsid w:val="008662AA"/>
    <w:rsid w:val="00866F0B"/>
    <w:rsid w:val="008677A7"/>
    <w:rsid w:val="008708BB"/>
    <w:rsid w:val="00874038"/>
    <w:rsid w:val="00874948"/>
    <w:rsid w:val="00880821"/>
    <w:rsid w:val="00884051"/>
    <w:rsid w:val="00884D7D"/>
    <w:rsid w:val="00887B7F"/>
    <w:rsid w:val="00890209"/>
    <w:rsid w:val="00891A22"/>
    <w:rsid w:val="008954B5"/>
    <w:rsid w:val="00896BD2"/>
    <w:rsid w:val="008A0F23"/>
    <w:rsid w:val="008A1ED3"/>
    <w:rsid w:val="008A2D67"/>
    <w:rsid w:val="008A39F1"/>
    <w:rsid w:val="008A3F0B"/>
    <w:rsid w:val="008A6536"/>
    <w:rsid w:val="008B0955"/>
    <w:rsid w:val="008B3891"/>
    <w:rsid w:val="008B4B82"/>
    <w:rsid w:val="008B6567"/>
    <w:rsid w:val="008B672D"/>
    <w:rsid w:val="008C0684"/>
    <w:rsid w:val="008C06E2"/>
    <w:rsid w:val="008C62AE"/>
    <w:rsid w:val="008C75D7"/>
    <w:rsid w:val="008D051F"/>
    <w:rsid w:val="008D11D3"/>
    <w:rsid w:val="008D25F8"/>
    <w:rsid w:val="008D5F80"/>
    <w:rsid w:val="008D78CA"/>
    <w:rsid w:val="008E0707"/>
    <w:rsid w:val="008E1F7B"/>
    <w:rsid w:val="008E22C2"/>
    <w:rsid w:val="008E2511"/>
    <w:rsid w:val="008E281A"/>
    <w:rsid w:val="008E466D"/>
    <w:rsid w:val="008E6B1A"/>
    <w:rsid w:val="008E70BC"/>
    <w:rsid w:val="008E71EE"/>
    <w:rsid w:val="008E74B2"/>
    <w:rsid w:val="008E7782"/>
    <w:rsid w:val="008E7969"/>
    <w:rsid w:val="008E7F8E"/>
    <w:rsid w:val="008F07E9"/>
    <w:rsid w:val="008F171B"/>
    <w:rsid w:val="008F58C5"/>
    <w:rsid w:val="008F6A19"/>
    <w:rsid w:val="008F6E1E"/>
    <w:rsid w:val="008F71A9"/>
    <w:rsid w:val="00910C8D"/>
    <w:rsid w:val="009128D4"/>
    <w:rsid w:val="00913481"/>
    <w:rsid w:val="00914C6D"/>
    <w:rsid w:val="009157C2"/>
    <w:rsid w:val="00916471"/>
    <w:rsid w:val="00923754"/>
    <w:rsid w:val="00925200"/>
    <w:rsid w:val="00925812"/>
    <w:rsid w:val="0092637B"/>
    <w:rsid w:val="00926A7B"/>
    <w:rsid w:val="0093344A"/>
    <w:rsid w:val="00936ED9"/>
    <w:rsid w:val="009376A0"/>
    <w:rsid w:val="00937C15"/>
    <w:rsid w:val="00942774"/>
    <w:rsid w:val="00942F54"/>
    <w:rsid w:val="00944B39"/>
    <w:rsid w:val="00945F49"/>
    <w:rsid w:val="00946EC4"/>
    <w:rsid w:val="009546BC"/>
    <w:rsid w:val="00955856"/>
    <w:rsid w:val="009568C1"/>
    <w:rsid w:val="00956B2C"/>
    <w:rsid w:val="00961DC3"/>
    <w:rsid w:val="0096226B"/>
    <w:rsid w:val="00962C55"/>
    <w:rsid w:val="00966208"/>
    <w:rsid w:val="00971978"/>
    <w:rsid w:val="0097486C"/>
    <w:rsid w:val="009810A0"/>
    <w:rsid w:val="009874CE"/>
    <w:rsid w:val="009910B0"/>
    <w:rsid w:val="0099110B"/>
    <w:rsid w:val="00991F24"/>
    <w:rsid w:val="009921B4"/>
    <w:rsid w:val="00995FCA"/>
    <w:rsid w:val="00996067"/>
    <w:rsid w:val="009A0C91"/>
    <w:rsid w:val="009A2989"/>
    <w:rsid w:val="009A377E"/>
    <w:rsid w:val="009A3D6D"/>
    <w:rsid w:val="009A500E"/>
    <w:rsid w:val="009A67DB"/>
    <w:rsid w:val="009A6C8B"/>
    <w:rsid w:val="009A6EA8"/>
    <w:rsid w:val="009B0153"/>
    <w:rsid w:val="009B52BD"/>
    <w:rsid w:val="009B6367"/>
    <w:rsid w:val="009C02C8"/>
    <w:rsid w:val="009C1D44"/>
    <w:rsid w:val="009C2116"/>
    <w:rsid w:val="009C4BD7"/>
    <w:rsid w:val="009C5D75"/>
    <w:rsid w:val="009C67A1"/>
    <w:rsid w:val="009C69D6"/>
    <w:rsid w:val="009C7B14"/>
    <w:rsid w:val="009D1CE8"/>
    <w:rsid w:val="009D4830"/>
    <w:rsid w:val="009D4A48"/>
    <w:rsid w:val="009D5616"/>
    <w:rsid w:val="009D66E8"/>
    <w:rsid w:val="009E0D16"/>
    <w:rsid w:val="009E31DD"/>
    <w:rsid w:val="009F0019"/>
    <w:rsid w:val="009F21C5"/>
    <w:rsid w:val="009F24F2"/>
    <w:rsid w:val="009F32F2"/>
    <w:rsid w:val="009F3B38"/>
    <w:rsid w:val="00A006F1"/>
    <w:rsid w:val="00A00FD3"/>
    <w:rsid w:val="00A01266"/>
    <w:rsid w:val="00A03723"/>
    <w:rsid w:val="00A03C64"/>
    <w:rsid w:val="00A04136"/>
    <w:rsid w:val="00A04998"/>
    <w:rsid w:val="00A05B8C"/>
    <w:rsid w:val="00A07E75"/>
    <w:rsid w:val="00A102E0"/>
    <w:rsid w:val="00A113A7"/>
    <w:rsid w:val="00A12284"/>
    <w:rsid w:val="00A158F2"/>
    <w:rsid w:val="00A15926"/>
    <w:rsid w:val="00A16407"/>
    <w:rsid w:val="00A173CE"/>
    <w:rsid w:val="00A23D9B"/>
    <w:rsid w:val="00A25E75"/>
    <w:rsid w:val="00A30963"/>
    <w:rsid w:val="00A31566"/>
    <w:rsid w:val="00A34E43"/>
    <w:rsid w:val="00A354CE"/>
    <w:rsid w:val="00A35B9A"/>
    <w:rsid w:val="00A367FB"/>
    <w:rsid w:val="00A411A1"/>
    <w:rsid w:val="00A420F6"/>
    <w:rsid w:val="00A42441"/>
    <w:rsid w:val="00A46097"/>
    <w:rsid w:val="00A461A8"/>
    <w:rsid w:val="00A471BF"/>
    <w:rsid w:val="00A50BB5"/>
    <w:rsid w:val="00A55876"/>
    <w:rsid w:val="00A566ED"/>
    <w:rsid w:val="00A56EEE"/>
    <w:rsid w:val="00A57CD9"/>
    <w:rsid w:val="00A615D8"/>
    <w:rsid w:val="00A621DE"/>
    <w:rsid w:val="00A6458C"/>
    <w:rsid w:val="00A66425"/>
    <w:rsid w:val="00A678DE"/>
    <w:rsid w:val="00A678E6"/>
    <w:rsid w:val="00A679BC"/>
    <w:rsid w:val="00A71D6A"/>
    <w:rsid w:val="00A763D6"/>
    <w:rsid w:val="00A802EF"/>
    <w:rsid w:val="00A81782"/>
    <w:rsid w:val="00A83068"/>
    <w:rsid w:val="00A851C9"/>
    <w:rsid w:val="00A85624"/>
    <w:rsid w:val="00A86209"/>
    <w:rsid w:val="00A878FB"/>
    <w:rsid w:val="00A87FDD"/>
    <w:rsid w:val="00A90167"/>
    <w:rsid w:val="00A9134B"/>
    <w:rsid w:val="00A932BE"/>
    <w:rsid w:val="00A93869"/>
    <w:rsid w:val="00A93DF9"/>
    <w:rsid w:val="00A971E8"/>
    <w:rsid w:val="00A97328"/>
    <w:rsid w:val="00A975DE"/>
    <w:rsid w:val="00A97BD3"/>
    <w:rsid w:val="00AA080C"/>
    <w:rsid w:val="00AA1D87"/>
    <w:rsid w:val="00AA2A1E"/>
    <w:rsid w:val="00AA2E2D"/>
    <w:rsid w:val="00AA392E"/>
    <w:rsid w:val="00AA4259"/>
    <w:rsid w:val="00AA78A9"/>
    <w:rsid w:val="00AB33E0"/>
    <w:rsid w:val="00AB39CA"/>
    <w:rsid w:val="00AB3F4E"/>
    <w:rsid w:val="00AB76B3"/>
    <w:rsid w:val="00AC0FAE"/>
    <w:rsid w:val="00AC76A6"/>
    <w:rsid w:val="00AD0F1C"/>
    <w:rsid w:val="00AD4835"/>
    <w:rsid w:val="00AD48AA"/>
    <w:rsid w:val="00AD53DB"/>
    <w:rsid w:val="00AD646F"/>
    <w:rsid w:val="00AE53A8"/>
    <w:rsid w:val="00AE578A"/>
    <w:rsid w:val="00AE7475"/>
    <w:rsid w:val="00AE7903"/>
    <w:rsid w:val="00AF1C88"/>
    <w:rsid w:val="00AF6B43"/>
    <w:rsid w:val="00AF7138"/>
    <w:rsid w:val="00AF7AB1"/>
    <w:rsid w:val="00B0062F"/>
    <w:rsid w:val="00B01505"/>
    <w:rsid w:val="00B01933"/>
    <w:rsid w:val="00B01D05"/>
    <w:rsid w:val="00B03CF7"/>
    <w:rsid w:val="00B03E9C"/>
    <w:rsid w:val="00B046C9"/>
    <w:rsid w:val="00B04ABB"/>
    <w:rsid w:val="00B04BE3"/>
    <w:rsid w:val="00B05057"/>
    <w:rsid w:val="00B103B2"/>
    <w:rsid w:val="00B104AC"/>
    <w:rsid w:val="00B141B9"/>
    <w:rsid w:val="00B15BAC"/>
    <w:rsid w:val="00B17A8C"/>
    <w:rsid w:val="00B17C1F"/>
    <w:rsid w:val="00B20468"/>
    <w:rsid w:val="00B2262D"/>
    <w:rsid w:val="00B226D9"/>
    <w:rsid w:val="00B230A3"/>
    <w:rsid w:val="00B23408"/>
    <w:rsid w:val="00B24216"/>
    <w:rsid w:val="00B2567C"/>
    <w:rsid w:val="00B25C08"/>
    <w:rsid w:val="00B27C18"/>
    <w:rsid w:val="00B32D98"/>
    <w:rsid w:val="00B3354C"/>
    <w:rsid w:val="00B3418F"/>
    <w:rsid w:val="00B342B6"/>
    <w:rsid w:val="00B3463D"/>
    <w:rsid w:val="00B35685"/>
    <w:rsid w:val="00B4045B"/>
    <w:rsid w:val="00B42568"/>
    <w:rsid w:val="00B4309A"/>
    <w:rsid w:val="00B444F6"/>
    <w:rsid w:val="00B4459D"/>
    <w:rsid w:val="00B4550F"/>
    <w:rsid w:val="00B50468"/>
    <w:rsid w:val="00B51A9F"/>
    <w:rsid w:val="00B52163"/>
    <w:rsid w:val="00B52F86"/>
    <w:rsid w:val="00B53B55"/>
    <w:rsid w:val="00B53D01"/>
    <w:rsid w:val="00B54995"/>
    <w:rsid w:val="00B5717F"/>
    <w:rsid w:val="00B62D40"/>
    <w:rsid w:val="00B66FE0"/>
    <w:rsid w:val="00B7209A"/>
    <w:rsid w:val="00B73070"/>
    <w:rsid w:val="00B74F73"/>
    <w:rsid w:val="00B759CD"/>
    <w:rsid w:val="00B75E1B"/>
    <w:rsid w:val="00B7749D"/>
    <w:rsid w:val="00B8041C"/>
    <w:rsid w:val="00B819A8"/>
    <w:rsid w:val="00B82D7F"/>
    <w:rsid w:val="00B8721D"/>
    <w:rsid w:val="00B91361"/>
    <w:rsid w:val="00B91A57"/>
    <w:rsid w:val="00B95E66"/>
    <w:rsid w:val="00B95E85"/>
    <w:rsid w:val="00B97782"/>
    <w:rsid w:val="00B97F9D"/>
    <w:rsid w:val="00BA1816"/>
    <w:rsid w:val="00BA2311"/>
    <w:rsid w:val="00BA3D9F"/>
    <w:rsid w:val="00BA4D09"/>
    <w:rsid w:val="00BA535B"/>
    <w:rsid w:val="00BA705B"/>
    <w:rsid w:val="00BA765C"/>
    <w:rsid w:val="00BA7E1D"/>
    <w:rsid w:val="00BB114F"/>
    <w:rsid w:val="00BB4B3F"/>
    <w:rsid w:val="00BB5A6B"/>
    <w:rsid w:val="00BB6375"/>
    <w:rsid w:val="00BC087A"/>
    <w:rsid w:val="00BC1159"/>
    <w:rsid w:val="00BC1791"/>
    <w:rsid w:val="00BD2E28"/>
    <w:rsid w:val="00BD3EE9"/>
    <w:rsid w:val="00BD420D"/>
    <w:rsid w:val="00BD65A6"/>
    <w:rsid w:val="00BD66B0"/>
    <w:rsid w:val="00BD7276"/>
    <w:rsid w:val="00BE0111"/>
    <w:rsid w:val="00BE0B7A"/>
    <w:rsid w:val="00BE10D9"/>
    <w:rsid w:val="00BE2465"/>
    <w:rsid w:val="00BE2A24"/>
    <w:rsid w:val="00BE2F4A"/>
    <w:rsid w:val="00BE7BE2"/>
    <w:rsid w:val="00BE7CD8"/>
    <w:rsid w:val="00BF021C"/>
    <w:rsid w:val="00BF1DF0"/>
    <w:rsid w:val="00BF3A87"/>
    <w:rsid w:val="00BF465C"/>
    <w:rsid w:val="00BF64DE"/>
    <w:rsid w:val="00BF6AA3"/>
    <w:rsid w:val="00BF6C7E"/>
    <w:rsid w:val="00BF7A75"/>
    <w:rsid w:val="00C0091B"/>
    <w:rsid w:val="00C00E32"/>
    <w:rsid w:val="00C050E1"/>
    <w:rsid w:val="00C06E3B"/>
    <w:rsid w:val="00C07B1A"/>
    <w:rsid w:val="00C11AF9"/>
    <w:rsid w:val="00C121B4"/>
    <w:rsid w:val="00C12666"/>
    <w:rsid w:val="00C145C0"/>
    <w:rsid w:val="00C14EE9"/>
    <w:rsid w:val="00C16D11"/>
    <w:rsid w:val="00C17285"/>
    <w:rsid w:val="00C20374"/>
    <w:rsid w:val="00C206E0"/>
    <w:rsid w:val="00C23FAE"/>
    <w:rsid w:val="00C248EF"/>
    <w:rsid w:val="00C25AF8"/>
    <w:rsid w:val="00C25BCF"/>
    <w:rsid w:val="00C260D6"/>
    <w:rsid w:val="00C344B8"/>
    <w:rsid w:val="00C36128"/>
    <w:rsid w:val="00C40200"/>
    <w:rsid w:val="00C40E70"/>
    <w:rsid w:val="00C420A2"/>
    <w:rsid w:val="00C42F88"/>
    <w:rsid w:val="00C4398C"/>
    <w:rsid w:val="00C444B0"/>
    <w:rsid w:val="00C45EF2"/>
    <w:rsid w:val="00C51353"/>
    <w:rsid w:val="00C53224"/>
    <w:rsid w:val="00C53EED"/>
    <w:rsid w:val="00C5417C"/>
    <w:rsid w:val="00C61C3B"/>
    <w:rsid w:val="00C62D42"/>
    <w:rsid w:val="00C63C6A"/>
    <w:rsid w:val="00C65BE2"/>
    <w:rsid w:val="00C65EB5"/>
    <w:rsid w:val="00C673C2"/>
    <w:rsid w:val="00C674CB"/>
    <w:rsid w:val="00C67B12"/>
    <w:rsid w:val="00C718CE"/>
    <w:rsid w:val="00C741E9"/>
    <w:rsid w:val="00C752C2"/>
    <w:rsid w:val="00C7569B"/>
    <w:rsid w:val="00C76F3B"/>
    <w:rsid w:val="00C805AA"/>
    <w:rsid w:val="00C8448B"/>
    <w:rsid w:val="00C857AC"/>
    <w:rsid w:val="00C85EA9"/>
    <w:rsid w:val="00C8776B"/>
    <w:rsid w:val="00C87FC5"/>
    <w:rsid w:val="00C9127F"/>
    <w:rsid w:val="00C92031"/>
    <w:rsid w:val="00C9254E"/>
    <w:rsid w:val="00C92C66"/>
    <w:rsid w:val="00CA12A7"/>
    <w:rsid w:val="00CA1C52"/>
    <w:rsid w:val="00CA5634"/>
    <w:rsid w:val="00CA6916"/>
    <w:rsid w:val="00CB0900"/>
    <w:rsid w:val="00CB2D5C"/>
    <w:rsid w:val="00CB3BB7"/>
    <w:rsid w:val="00CB6AA5"/>
    <w:rsid w:val="00CB6CC5"/>
    <w:rsid w:val="00CC0C63"/>
    <w:rsid w:val="00CC1257"/>
    <w:rsid w:val="00CC2030"/>
    <w:rsid w:val="00CC33C5"/>
    <w:rsid w:val="00CC3602"/>
    <w:rsid w:val="00CC36E4"/>
    <w:rsid w:val="00CC5157"/>
    <w:rsid w:val="00CC608A"/>
    <w:rsid w:val="00CC6175"/>
    <w:rsid w:val="00CC6797"/>
    <w:rsid w:val="00CD2A45"/>
    <w:rsid w:val="00CD40CD"/>
    <w:rsid w:val="00CD4510"/>
    <w:rsid w:val="00CD6870"/>
    <w:rsid w:val="00CE42BF"/>
    <w:rsid w:val="00CE714D"/>
    <w:rsid w:val="00CF207E"/>
    <w:rsid w:val="00CF60FF"/>
    <w:rsid w:val="00D0036D"/>
    <w:rsid w:val="00D00394"/>
    <w:rsid w:val="00D033DB"/>
    <w:rsid w:val="00D04247"/>
    <w:rsid w:val="00D05C5D"/>
    <w:rsid w:val="00D0684D"/>
    <w:rsid w:val="00D10D58"/>
    <w:rsid w:val="00D12D4F"/>
    <w:rsid w:val="00D140E7"/>
    <w:rsid w:val="00D14B59"/>
    <w:rsid w:val="00D154FB"/>
    <w:rsid w:val="00D15761"/>
    <w:rsid w:val="00D15F75"/>
    <w:rsid w:val="00D17063"/>
    <w:rsid w:val="00D201E7"/>
    <w:rsid w:val="00D20CE6"/>
    <w:rsid w:val="00D2211F"/>
    <w:rsid w:val="00D22D82"/>
    <w:rsid w:val="00D23390"/>
    <w:rsid w:val="00D2557F"/>
    <w:rsid w:val="00D25D30"/>
    <w:rsid w:val="00D26245"/>
    <w:rsid w:val="00D2638F"/>
    <w:rsid w:val="00D317F1"/>
    <w:rsid w:val="00D32405"/>
    <w:rsid w:val="00D32B42"/>
    <w:rsid w:val="00D33F5A"/>
    <w:rsid w:val="00D33FC2"/>
    <w:rsid w:val="00D360A3"/>
    <w:rsid w:val="00D377C4"/>
    <w:rsid w:val="00D40A1A"/>
    <w:rsid w:val="00D416EB"/>
    <w:rsid w:val="00D426BE"/>
    <w:rsid w:val="00D42F21"/>
    <w:rsid w:val="00D43D5A"/>
    <w:rsid w:val="00D449A9"/>
    <w:rsid w:val="00D46441"/>
    <w:rsid w:val="00D466AF"/>
    <w:rsid w:val="00D470F7"/>
    <w:rsid w:val="00D47394"/>
    <w:rsid w:val="00D5193F"/>
    <w:rsid w:val="00D5364C"/>
    <w:rsid w:val="00D56569"/>
    <w:rsid w:val="00D575FF"/>
    <w:rsid w:val="00D57CA1"/>
    <w:rsid w:val="00D60514"/>
    <w:rsid w:val="00D60D57"/>
    <w:rsid w:val="00D613C5"/>
    <w:rsid w:val="00D6174A"/>
    <w:rsid w:val="00D65AA8"/>
    <w:rsid w:val="00D66581"/>
    <w:rsid w:val="00D67E7C"/>
    <w:rsid w:val="00D7196B"/>
    <w:rsid w:val="00D7206C"/>
    <w:rsid w:val="00D752CA"/>
    <w:rsid w:val="00D8052C"/>
    <w:rsid w:val="00D8082E"/>
    <w:rsid w:val="00D82BC7"/>
    <w:rsid w:val="00D86064"/>
    <w:rsid w:val="00D86693"/>
    <w:rsid w:val="00D933AA"/>
    <w:rsid w:val="00D934F0"/>
    <w:rsid w:val="00D940F8"/>
    <w:rsid w:val="00D9620E"/>
    <w:rsid w:val="00D97551"/>
    <w:rsid w:val="00DA1A32"/>
    <w:rsid w:val="00DA7856"/>
    <w:rsid w:val="00DB00A0"/>
    <w:rsid w:val="00DB1000"/>
    <w:rsid w:val="00DB1337"/>
    <w:rsid w:val="00DB27B3"/>
    <w:rsid w:val="00DB7CB9"/>
    <w:rsid w:val="00DC00A5"/>
    <w:rsid w:val="00DC0210"/>
    <w:rsid w:val="00DC750D"/>
    <w:rsid w:val="00DD10EF"/>
    <w:rsid w:val="00DD27AF"/>
    <w:rsid w:val="00DD2C56"/>
    <w:rsid w:val="00DD40F2"/>
    <w:rsid w:val="00DD4CC9"/>
    <w:rsid w:val="00DD745E"/>
    <w:rsid w:val="00DE013B"/>
    <w:rsid w:val="00DE177E"/>
    <w:rsid w:val="00DE1BA6"/>
    <w:rsid w:val="00DE2F1E"/>
    <w:rsid w:val="00DE4D1E"/>
    <w:rsid w:val="00DE5DA1"/>
    <w:rsid w:val="00DE6E6F"/>
    <w:rsid w:val="00DE6F4F"/>
    <w:rsid w:val="00DE7297"/>
    <w:rsid w:val="00DF319D"/>
    <w:rsid w:val="00DF420C"/>
    <w:rsid w:val="00DF5DAD"/>
    <w:rsid w:val="00DF62ED"/>
    <w:rsid w:val="00E0153E"/>
    <w:rsid w:val="00E0343F"/>
    <w:rsid w:val="00E04532"/>
    <w:rsid w:val="00E04595"/>
    <w:rsid w:val="00E06150"/>
    <w:rsid w:val="00E06697"/>
    <w:rsid w:val="00E06E6B"/>
    <w:rsid w:val="00E07785"/>
    <w:rsid w:val="00E1086E"/>
    <w:rsid w:val="00E13B92"/>
    <w:rsid w:val="00E1574F"/>
    <w:rsid w:val="00E15D69"/>
    <w:rsid w:val="00E17EEE"/>
    <w:rsid w:val="00E2063D"/>
    <w:rsid w:val="00E21379"/>
    <w:rsid w:val="00E216F5"/>
    <w:rsid w:val="00E22A4F"/>
    <w:rsid w:val="00E25536"/>
    <w:rsid w:val="00E263ED"/>
    <w:rsid w:val="00E26582"/>
    <w:rsid w:val="00E266A0"/>
    <w:rsid w:val="00E30BA9"/>
    <w:rsid w:val="00E3479D"/>
    <w:rsid w:val="00E35316"/>
    <w:rsid w:val="00E35967"/>
    <w:rsid w:val="00E37F6F"/>
    <w:rsid w:val="00E42D53"/>
    <w:rsid w:val="00E43A69"/>
    <w:rsid w:val="00E445CB"/>
    <w:rsid w:val="00E46B1D"/>
    <w:rsid w:val="00E46BCA"/>
    <w:rsid w:val="00E47B84"/>
    <w:rsid w:val="00E52973"/>
    <w:rsid w:val="00E54CBF"/>
    <w:rsid w:val="00E56ECF"/>
    <w:rsid w:val="00E61E19"/>
    <w:rsid w:val="00E6271C"/>
    <w:rsid w:val="00E677FC"/>
    <w:rsid w:val="00E7255F"/>
    <w:rsid w:val="00E7305E"/>
    <w:rsid w:val="00E743EB"/>
    <w:rsid w:val="00E744A9"/>
    <w:rsid w:val="00E74A4D"/>
    <w:rsid w:val="00E75297"/>
    <w:rsid w:val="00E75985"/>
    <w:rsid w:val="00E813F8"/>
    <w:rsid w:val="00E81D06"/>
    <w:rsid w:val="00E823EF"/>
    <w:rsid w:val="00E8315C"/>
    <w:rsid w:val="00E83EF6"/>
    <w:rsid w:val="00E841EE"/>
    <w:rsid w:val="00E84FF7"/>
    <w:rsid w:val="00E87AF9"/>
    <w:rsid w:val="00E87FA5"/>
    <w:rsid w:val="00E906B0"/>
    <w:rsid w:val="00E90FC5"/>
    <w:rsid w:val="00E913D8"/>
    <w:rsid w:val="00E91CB0"/>
    <w:rsid w:val="00E9266E"/>
    <w:rsid w:val="00E95982"/>
    <w:rsid w:val="00E962F2"/>
    <w:rsid w:val="00EA0139"/>
    <w:rsid w:val="00EA0919"/>
    <w:rsid w:val="00EA0AA9"/>
    <w:rsid w:val="00EA11AD"/>
    <w:rsid w:val="00EA29A2"/>
    <w:rsid w:val="00EA3FCA"/>
    <w:rsid w:val="00EA602C"/>
    <w:rsid w:val="00EB0B64"/>
    <w:rsid w:val="00EB16EA"/>
    <w:rsid w:val="00EB2310"/>
    <w:rsid w:val="00EB382E"/>
    <w:rsid w:val="00EB4583"/>
    <w:rsid w:val="00EB5CDC"/>
    <w:rsid w:val="00EB5EE6"/>
    <w:rsid w:val="00EB60D8"/>
    <w:rsid w:val="00EB741B"/>
    <w:rsid w:val="00EB74BB"/>
    <w:rsid w:val="00EC289F"/>
    <w:rsid w:val="00ED34D5"/>
    <w:rsid w:val="00ED4EB6"/>
    <w:rsid w:val="00EE3477"/>
    <w:rsid w:val="00EE46A6"/>
    <w:rsid w:val="00EE5F2C"/>
    <w:rsid w:val="00EE741C"/>
    <w:rsid w:val="00EE7D11"/>
    <w:rsid w:val="00EE7D39"/>
    <w:rsid w:val="00EF0079"/>
    <w:rsid w:val="00EF1C01"/>
    <w:rsid w:val="00EF1E13"/>
    <w:rsid w:val="00EF3CE0"/>
    <w:rsid w:val="00EF47ED"/>
    <w:rsid w:val="00EF5C0C"/>
    <w:rsid w:val="00F02076"/>
    <w:rsid w:val="00F0408F"/>
    <w:rsid w:val="00F07837"/>
    <w:rsid w:val="00F12B76"/>
    <w:rsid w:val="00F1380C"/>
    <w:rsid w:val="00F160FE"/>
    <w:rsid w:val="00F16CA0"/>
    <w:rsid w:val="00F20770"/>
    <w:rsid w:val="00F3011E"/>
    <w:rsid w:val="00F32904"/>
    <w:rsid w:val="00F32D5C"/>
    <w:rsid w:val="00F3300F"/>
    <w:rsid w:val="00F3398D"/>
    <w:rsid w:val="00F3629A"/>
    <w:rsid w:val="00F376B1"/>
    <w:rsid w:val="00F4333B"/>
    <w:rsid w:val="00F439E1"/>
    <w:rsid w:val="00F44507"/>
    <w:rsid w:val="00F47173"/>
    <w:rsid w:val="00F51BCD"/>
    <w:rsid w:val="00F536EF"/>
    <w:rsid w:val="00F54549"/>
    <w:rsid w:val="00F56369"/>
    <w:rsid w:val="00F56A95"/>
    <w:rsid w:val="00F62A2F"/>
    <w:rsid w:val="00F644BD"/>
    <w:rsid w:val="00F675D1"/>
    <w:rsid w:val="00F70375"/>
    <w:rsid w:val="00F705E6"/>
    <w:rsid w:val="00F70649"/>
    <w:rsid w:val="00F73EA6"/>
    <w:rsid w:val="00F81F57"/>
    <w:rsid w:val="00F82EE6"/>
    <w:rsid w:val="00F847D4"/>
    <w:rsid w:val="00F8750E"/>
    <w:rsid w:val="00F87A7A"/>
    <w:rsid w:val="00F90065"/>
    <w:rsid w:val="00F9112F"/>
    <w:rsid w:val="00F92E1D"/>
    <w:rsid w:val="00FA0C53"/>
    <w:rsid w:val="00FA1851"/>
    <w:rsid w:val="00FA243C"/>
    <w:rsid w:val="00FA283A"/>
    <w:rsid w:val="00FA3497"/>
    <w:rsid w:val="00FA3DDD"/>
    <w:rsid w:val="00FA5737"/>
    <w:rsid w:val="00FA64E1"/>
    <w:rsid w:val="00FB19B6"/>
    <w:rsid w:val="00FB37CE"/>
    <w:rsid w:val="00FB4522"/>
    <w:rsid w:val="00FB4585"/>
    <w:rsid w:val="00FB737B"/>
    <w:rsid w:val="00FB7B0B"/>
    <w:rsid w:val="00FB7F46"/>
    <w:rsid w:val="00FC0C22"/>
    <w:rsid w:val="00FC2ADB"/>
    <w:rsid w:val="00FC4445"/>
    <w:rsid w:val="00FD3A87"/>
    <w:rsid w:val="00FD4030"/>
    <w:rsid w:val="00FD443F"/>
    <w:rsid w:val="00FD448C"/>
    <w:rsid w:val="00FD7007"/>
    <w:rsid w:val="00FE0206"/>
    <w:rsid w:val="00FE02AF"/>
    <w:rsid w:val="00FE2A26"/>
    <w:rsid w:val="00FE4DEE"/>
    <w:rsid w:val="00FE5F99"/>
    <w:rsid w:val="00FF1012"/>
    <w:rsid w:val="00FF140E"/>
    <w:rsid w:val="00FF3064"/>
    <w:rsid w:val="00FF4629"/>
    <w:rsid w:val="00FF4E20"/>
    <w:rsid w:val="00FF5DDF"/>
    <w:rsid w:val="00FF738F"/>
    <w:rsid w:val="00FF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B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3C"/>
    <w:pPr>
      <w:widowControl w:val="0"/>
      <w:jc w:val="both"/>
    </w:pPr>
  </w:style>
  <w:style w:type="paragraph" w:styleId="1">
    <w:name w:val="heading 1"/>
    <w:basedOn w:val="a"/>
    <w:next w:val="a"/>
    <w:link w:val="1Char1"/>
    <w:uiPriority w:val="9"/>
    <w:qFormat/>
    <w:rsid w:val="00181621"/>
    <w:pPr>
      <w:spacing w:beforeLines="50" w:before="156" w:line="360" w:lineRule="auto"/>
      <w:ind w:firstLineChars="200" w:firstLine="482"/>
      <w:outlineLvl w:val="0"/>
    </w:pPr>
    <w:rPr>
      <w:rFonts w:ascii="黑体" w:eastAsia="黑体" w:hAnsi="黑体"/>
      <w:b/>
      <w:sz w:val="24"/>
    </w:rPr>
  </w:style>
  <w:style w:type="paragraph" w:styleId="2">
    <w:name w:val="heading 2"/>
    <w:basedOn w:val="a"/>
    <w:next w:val="a"/>
    <w:link w:val="2Char"/>
    <w:uiPriority w:val="9"/>
    <w:unhideWhenUsed/>
    <w:qFormat/>
    <w:rsid w:val="0066058B"/>
    <w:pPr>
      <w:keepNext/>
      <w:keepLines/>
      <w:spacing w:beforeLines="50" w:before="120" w:afterLines="50" w:after="120" w:line="360" w:lineRule="auto"/>
      <w:outlineLvl w:val="1"/>
    </w:pPr>
    <w:rPr>
      <w:rFonts w:ascii="Times New Roman" w:eastAsia="宋体" w:hAnsi="Times New Roman" w:cs="Times New Roman"/>
      <w:b/>
      <w:bCs/>
      <w:kern w:val="0"/>
      <w:sz w:val="24"/>
      <w:szCs w:val="32"/>
    </w:rPr>
  </w:style>
  <w:style w:type="paragraph" w:styleId="3">
    <w:name w:val="heading 3"/>
    <w:basedOn w:val="2"/>
    <w:next w:val="a"/>
    <w:link w:val="3Char"/>
    <w:uiPriority w:val="9"/>
    <w:unhideWhenUsed/>
    <w:qFormat/>
    <w:rsid w:val="005429DA"/>
    <w:pPr>
      <w:outlineLvl w:val="2"/>
    </w:pPr>
    <w:rPr>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样式1"/>
    <w:basedOn w:val="a1"/>
    <w:uiPriority w:val="99"/>
    <w:rsid w:val="00D8082E"/>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style>
  <w:style w:type="paragraph" w:styleId="a3">
    <w:name w:val="Balloon Text"/>
    <w:basedOn w:val="a"/>
    <w:link w:val="Char"/>
    <w:uiPriority w:val="99"/>
    <w:semiHidden/>
    <w:unhideWhenUsed/>
    <w:rsid w:val="00FE5F99"/>
    <w:rPr>
      <w:rFonts w:ascii="宋体" w:eastAsia="宋体"/>
      <w:sz w:val="18"/>
      <w:szCs w:val="18"/>
    </w:rPr>
  </w:style>
  <w:style w:type="character" w:customStyle="1" w:styleId="Char">
    <w:name w:val="批注框文本 Char"/>
    <w:basedOn w:val="a0"/>
    <w:link w:val="a3"/>
    <w:uiPriority w:val="99"/>
    <w:semiHidden/>
    <w:rsid w:val="00FE5F99"/>
    <w:rPr>
      <w:rFonts w:ascii="宋体" w:eastAsia="宋体"/>
      <w:sz w:val="18"/>
      <w:szCs w:val="18"/>
    </w:rPr>
  </w:style>
  <w:style w:type="table" w:styleId="a4">
    <w:name w:val="Table Grid"/>
    <w:basedOn w:val="a1"/>
    <w:uiPriority w:val="59"/>
    <w:unhideWhenUsed/>
    <w:qFormat/>
    <w:rsid w:val="00BE2F4A"/>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851C9"/>
    <w:pPr>
      <w:widowControl/>
      <w:spacing w:before="100" w:beforeAutospacing="1" w:after="100" w:afterAutospacing="1"/>
      <w:jc w:val="left"/>
    </w:pPr>
    <w:rPr>
      <w:rFonts w:ascii="宋体" w:eastAsia="宋体" w:hAnsi="宋体" w:cs="宋体"/>
      <w:kern w:val="0"/>
      <w:sz w:val="24"/>
    </w:rPr>
  </w:style>
  <w:style w:type="paragraph" w:customStyle="1" w:styleId="11">
    <w:name w:val="列表段落1"/>
    <w:basedOn w:val="a"/>
    <w:rsid w:val="00183134"/>
    <w:pPr>
      <w:ind w:firstLineChars="200" w:firstLine="420"/>
    </w:pPr>
    <w:rPr>
      <w:rFonts w:ascii="Times New Roman" w:eastAsia="宋体" w:hAnsi="Times New Roman" w:cs="Times New Roman"/>
      <w:szCs w:val="20"/>
    </w:rPr>
  </w:style>
  <w:style w:type="paragraph" w:styleId="a6">
    <w:name w:val="header"/>
    <w:basedOn w:val="a"/>
    <w:link w:val="Char0"/>
    <w:uiPriority w:val="99"/>
    <w:unhideWhenUsed/>
    <w:rsid w:val="00CB6A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B6AA5"/>
    <w:rPr>
      <w:sz w:val="18"/>
      <w:szCs w:val="18"/>
    </w:rPr>
  </w:style>
  <w:style w:type="paragraph" w:styleId="a7">
    <w:name w:val="footer"/>
    <w:basedOn w:val="a"/>
    <w:link w:val="Char1"/>
    <w:uiPriority w:val="99"/>
    <w:unhideWhenUsed/>
    <w:rsid w:val="00CB6AA5"/>
    <w:pPr>
      <w:tabs>
        <w:tab w:val="center" w:pos="4153"/>
        <w:tab w:val="right" w:pos="8306"/>
      </w:tabs>
      <w:snapToGrid w:val="0"/>
      <w:jc w:val="left"/>
    </w:pPr>
    <w:rPr>
      <w:sz w:val="18"/>
      <w:szCs w:val="18"/>
    </w:rPr>
  </w:style>
  <w:style w:type="character" w:customStyle="1" w:styleId="Char1">
    <w:name w:val="页脚 Char"/>
    <w:basedOn w:val="a0"/>
    <w:link w:val="a7"/>
    <w:uiPriority w:val="99"/>
    <w:rsid w:val="00CB6AA5"/>
    <w:rPr>
      <w:sz w:val="18"/>
      <w:szCs w:val="18"/>
    </w:rPr>
  </w:style>
  <w:style w:type="character" w:customStyle="1" w:styleId="1Char">
    <w:name w:val="标题 1 Char"/>
    <w:basedOn w:val="a0"/>
    <w:uiPriority w:val="9"/>
    <w:rsid w:val="00583518"/>
    <w:rPr>
      <w:rFonts w:ascii="Times New Roman" w:eastAsia="黑体" w:hAnsi="Times New Roman" w:cs="Times New Roman"/>
      <w:b/>
      <w:color w:val="000000"/>
      <w:sz w:val="24"/>
      <w:szCs w:val="21"/>
    </w:rPr>
  </w:style>
  <w:style w:type="character" w:customStyle="1" w:styleId="2Char">
    <w:name w:val="标题 2 Char"/>
    <w:basedOn w:val="a0"/>
    <w:link w:val="2"/>
    <w:uiPriority w:val="9"/>
    <w:rsid w:val="0066058B"/>
    <w:rPr>
      <w:rFonts w:ascii="Times New Roman" w:eastAsia="宋体" w:hAnsi="Times New Roman" w:cs="Times New Roman"/>
      <w:b/>
      <w:bCs/>
      <w:kern w:val="0"/>
      <w:sz w:val="24"/>
      <w:szCs w:val="32"/>
    </w:rPr>
  </w:style>
  <w:style w:type="paragraph" w:customStyle="1" w:styleId="zhengwen">
    <w:name w:val="zhengwen"/>
    <w:basedOn w:val="a"/>
    <w:link w:val="zhengwen0"/>
    <w:qFormat/>
    <w:rsid w:val="003C2212"/>
    <w:pPr>
      <w:adjustRightInd w:val="0"/>
      <w:snapToGrid w:val="0"/>
      <w:spacing w:beforeLines="50" w:before="120" w:afterLines="50" w:after="120" w:line="360" w:lineRule="auto"/>
      <w:ind w:firstLineChars="200" w:firstLine="480"/>
    </w:pPr>
    <w:rPr>
      <w:rFonts w:ascii="Times New Roman" w:eastAsia="宋体" w:hAnsi="Times New Roman" w:cs="Times New Roman"/>
      <w:sz w:val="24"/>
      <w:szCs w:val="22"/>
    </w:rPr>
  </w:style>
  <w:style w:type="paragraph" w:customStyle="1" w:styleId="danwei">
    <w:name w:val="danwei"/>
    <w:basedOn w:val="a"/>
    <w:link w:val="danwei0"/>
    <w:qFormat/>
    <w:rsid w:val="00861548"/>
    <w:pPr>
      <w:spacing w:line="360" w:lineRule="auto"/>
      <w:ind w:firstLine="480"/>
      <w:jc w:val="right"/>
    </w:pPr>
    <w:rPr>
      <w:rFonts w:ascii="Arial Narrow" w:eastAsia="宋体" w:hAnsi="Arial Narrow" w:cs="仿宋"/>
      <w:kern w:val="0"/>
      <w:szCs w:val="31"/>
      <w:lang w:val="zh-CN" w:bidi="zh-CN"/>
    </w:rPr>
  </w:style>
  <w:style w:type="character" w:customStyle="1" w:styleId="zhengwen0">
    <w:name w:val="zhengwen 字符"/>
    <w:basedOn w:val="a0"/>
    <w:link w:val="zhengwen"/>
    <w:rsid w:val="003C2212"/>
    <w:rPr>
      <w:rFonts w:ascii="Times New Roman" w:eastAsia="宋体" w:hAnsi="Times New Roman" w:cs="Times New Roman"/>
      <w:sz w:val="24"/>
      <w:szCs w:val="22"/>
    </w:rPr>
  </w:style>
  <w:style w:type="character" w:styleId="a8">
    <w:name w:val="annotation reference"/>
    <w:basedOn w:val="a0"/>
    <w:uiPriority w:val="99"/>
    <w:semiHidden/>
    <w:unhideWhenUsed/>
    <w:rsid w:val="00626513"/>
    <w:rPr>
      <w:sz w:val="21"/>
      <w:szCs w:val="21"/>
    </w:rPr>
  </w:style>
  <w:style w:type="character" w:customStyle="1" w:styleId="danwei0">
    <w:name w:val="danwei 字符"/>
    <w:basedOn w:val="a0"/>
    <w:link w:val="danwei"/>
    <w:rsid w:val="00861548"/>
    <w:rPr>
      <w:rFonts w:ascii="Arial Narrow" w:eastAsia="宋体" w:hAnsi="Arial Narrow" w:cs="仿宋"/>
      <w:kern w:val="0"/>
      <w:szCs w:val="31"/>
      <w:lang w:val="zh-CN" w:bidi="zh-CN"/>
    </w:rPr>
  </w:style>
  <w:style w:type="paragraph" w:styleId="a9">
    <w:name w:val="annotation text"/>
    <w:basedOn w:val="a"/>
    <w:link w:val="Char2"/>
    <w:uiPriority w:val="99"/>
    <w:semiHidden/>
    <w:unhideWhenUsed/>
    <w:rsid w:val="00626513"/>
    <w:pPr>
      <w:jc w:val="left"/>
    </w:pPr>
    <w:rPr>
      <w:szCs w:val="22"/>
    </w:rPr>
  </w:style>
  <w:style w:type="character" w:customStyle="1" w:styleId="Char2">
    <w:name w:val="批注文字 Char"/>
    <w:basedOn w:val="a0"/>
    <w:link w:val="a9"/>
    <w:uiPriority w:val="99"/>
    <w:semiHidden/>
    <w:rsid w:val="00626513"/>
    <w:rPr>
      <w:szCs w:val="22"/>
    </w:rPr>
  </w:style>
  <w:style w:type="numbering" w:customStyle="1" w:styleId="12">
    <w:name w:val="无列表1"/>
    <w:next w:val="a2"/>
    <w:uiPriority w:val="99"/>
    <w:semiHidden/>
    <w:unhideWhenUsed/>
    <w:rsid w:val="00E962F2"/>
  </w:style>
  <w:style w:type="character" w:customStyle="1" w:styleId="fontstyle01">
    <w:name w:val="fontstyle01"/>
    <w:basedOn w:val="a0"/>
    <w:rsid w:val="00E962F2"/>
    <w:rPr>
      <w:rFonts w:ascii="仿宋" w:eastAsia="仿宋" w:hAnsi="仿宋" w:hint="eastAsia"/>
      <w:b w:val="0"/>
      <w:bCs w:val="0"/>
      <w:i w:val="0"/>
      <w:iCs w:val="0"/>
      <w:color w:val="000000"/>
      <w:sz w:val="32"/>
      <w:szCs w:val="32"/>
    </w:rPr>
  </w:style>
  <w:style w:type="character" w:customStyle="1" w:styleId="fontstyle21">
    <w:name w:val="fontstyle21"/>
    <w:basedOn w:val="a0"/>
    <w:rsid w:val="00E962F2"/>
    <w:rPr>
      <w:rFonts w:ascii="Times New Roman" w:hAnsi="Times New Roman" w:cs="Times New Roman" w:hint="default"/>
      <w:b w:val="0"/>
      <w:bCs w:val="0"/>
      <w:i w:val="0"/>
      <w:iCs w:val="0"/>
      <w:color w:val="000000"/>
      <w:sz w:val="24"/>
      <w:szCs w:val="24"/>
    </w:rPr>
  </w:style>
  <w:style w:type="paragraph" w:styleId="aa">
    <w:name w:val="annotation subject"/>
    <w:basedOn w:val="a9"/>
    <w:next w:val="a9"/>
    <w:link w:val="Char3"/>
    <w:uiPriority w:val="99"/>
    <w:semiHidden/>
    <w:unhideWhenUsed/>
    <w:rsid w:val="00E962F2"/>
    <w:rPr>
      <w:b/>
      <w:bCs/>
    </w:rPr>
  </w:style>
  <w:style w:type="character" w:customStyle="1" w:styleId="Char3">
    <w:name w:val="批注主题 Char"/>
    <w:basedOn w:val="Char2"/>
    <w:link w:val="aa"/>
    <w:uiPriority w:val="99"/>
    <w:semiHidden/>
    <w:rsid w:val="00E962F2"/>
    <w:rPr>
      <w:b/>
      <w:bCs/>
      <w:szCs w:val="22"/>
    </w:rPr>
  </w:style>
  <w:style w:type="table" w:customStyle="1" w:styleId="13">
    <w:name w:val="网格型1"/>
    <w:basedOn w:val="a1"/>
    <w:next w:val="a4"/>
    <w:uiPriority w:val="59"/>
    <w:qFormat/>
    <w:rsid w:val="00E962F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962F2"/>
    <w:pPr>
      <w:ind w:firstLineChars="200" w:firstLine="420"/>
    </w:pPr>
    <w:rPr>
      <w:szCs w:val="22"/>
    </w:rPr>
  </w:style>
  <w:style w:type="paragraph" w:styleId="ac">
    <w:name w:val="footnote text"/>
    <w:basedOn w:val="a"/>
    <w:link w:val="Char4"/>
    <w:uiPriority w:val="99"/>
    <w:qFormat/>
    <w:rsid w:val="004E5D7E"/>
    <w:pPr>
      <w:snapToGrid w:val="0"/>
      <w:jc w:val="left"/>
    </w:pPr>
    <w:rPr>
      <w:rFonts w:ascii="Times New Roman" w:eastAsia="宋体" w:hAnsi="Times New Roman" w:cs="Times New Roman"/>
      <w:sz w:val="18"/>
      <w:szCs w:val="18"/>
    </w:rPr>
  </w:style>
  <w:style w:type="character" w:customStyle="1" w:styleId="ad">
    <w:name w:val="脚注文本 字符"/>
    <w:basedOn w:val="a0"/>
    <w:uiPriority w:val="99"/>
    <w:semiHidden/>
    <w:rsid w:val="004E5D7E"/>
    <w:rPr>
      <w:sz w:val="18"/>
      <w:szCs w:val="18"/>
    </w:rPr>
  </w:style>
  <w:style w:type="character" w:styleId="ae">
    <w:name w:val="footnote reference"/>
    <w:uiPriority w:val="99"/>
    <w:qFormat/>
    <w:rsid w:val="004E5D7E"/>
    <w:rPr>
      <w:vertAlign w:val="superscript"/>
    </w:rPr>
  </w:style>
  <w:style w:type="character" w:customStyle="1" w:styleId="Char4">
    <w:name w:val="脚注文本 Char"/>
    <w:link w:val="ac"/>
    <w:uiPriority w:val="99"/>
    <w:qFormat/>
    <w:rsid w:val="004E5D7E"/>
    <w:rPr>
      <w:rFonts w:ascii="Times New Roman" w:eastAsia="宋体" w:hAnsi="Times New Roman" w:cs="Times New Roman"/>
      <w:sz w:val="18"/>
      <w:szCs w:val="18"/>
    </w:rPr>
  </w:style>
  <w:style w:type="numbering" w:customStyle="1" w:styleId="20">
    <w:name w:val="无列表2"/>
    <w:next w:val="a2"/>
    <w:uiPriority w:val="99"/>
    <w:semiHidden/>
    <w:unhideWhenUsed/>
    <w:rsid w:val="00C673C2"/>
  </w:style>
  <w:style w:type="table" w:customStyle="1" w:styleId="21">
    <w:name w:val="网格型2"/>
    <w:basedOn w:val="a1"/>
    <w:next w:val="a4"/>
    <w:uiPriority w:val="59"/>
    <w:qFormat/>
    <w:rsid w:val="00C673C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5429DA"/>
    <w:rPr>
      <w:rFonts w:ascii="Times New Roman" w:eastAsia="宋体" w:hAnsi="Times New Roman" w:cs="Times New Roman"/>
      <w:b/>
      <w:bCs/>
      <w:kern w:val="0"/>
      <w:sz w:val="24"/>
      <w:szCs w:val="32"/>
      <w:lang w:val="zh-CN" w:bidi="zh-CN"/>
    </w:rPr>
  </w:style>
  <w:style w:type="paragraph" w:styleId="af">
    <w:name w:val="Revision"/>
    <w:hidden/>
    <w:uiPriority w:val="99"/>
    <w:semiHidden/>
    <w:rsid w:val="00B3354C"/>
  </w:style>
  <w:style w:type="numbering" w:customStyle="1" w:styleId="30">
    <w:name w:val="无列表3"/>
    <w:next w:val="a2"/>
    <w:uiPriority w:val="99"/>
    <w:semiHidden/>
    <w:unhideWhenUsed/>
    <w:rsid w:val="00602898"/>
  </w:style>
  <w:style w:type="paragraph" w:styleId="af0">
    <w:name w:val="Body Text"/>
    <w:basedOn w:val="a"/>
    <w:link w:val="Char5"/>
    <w:uiPriority w:val="1"/>
    <w:qFormat/>
    <w:rsid w:val="00D940F8"/>
    <w:pPr>
      <w:autoSpaceDE w:val="0"/>
      <w:autoSpaceDN w:val="0"/>
      <w:jc w:val="left"/>
    </w:pPr>
    <w:rPr>
      <w:rFonts w:ascii="仿宋" w:eastAsia="仿宋" w:hAnsi="仿宋" w:cs="仿宋"/>
      <w:kern w:val="0"/>
      <w:sz w:val="31"/>
      <w:szCs w:val="31"/>
      <w:lang w:val="zh-CN" w:bidi="zh-CN"/>
    </w:rPr>
  </w:style>
  <w:style w:type="character" w:customStyle="1" w:styleId="Char5">
    <w:name w:val="正文文本 Char"/>
    <w:basedOn w:val="a0"/>
    <w:link w:val="af0"/>
    <w:uiPriority w:val="1"/>
    <w:rsid w:val="00D940F8"/>
    <w:rPr>
      <w:rFonts w:ascii="仿宋" w:eastAsia="仿宋" w:hAnsi="仿宋" w:cs="仿宋"/>
      <w:kern w:val="0"/>
      <w:sz w:val="31"/>
      <w:szCs w:val="31"/>
      <w:lang w:val="zh-CN" w:bidi="zh-CN"/>
    </w:rPr>
  </w:style>
  <w:style w:type="character" w:customStyle="1" w:styleId="005Char">
    <w:name w:val="005正文 Char"/>
    <w:basedOn w:val="a0"/>
    <w:link w:val="005"/>
    <w:qFormat/>
    <w:locked/>
    <w:rsid w:val="00D46441"/>
    <w:rPr>
      <w:rFonts w:ascii="Times New Roman" w:eastAsia="宋体" w:hAnsi="Times New Roman" w:cs="Times New Roman"/>
      <w:sz w:val="22"/>
      <w:szCs w:val="22"/>
    </w:rPr>
  </w:style>
  <w:style w:type="paragraph" w:customStyle="1" w:styleId="005">
    <w:name w:val="005正文"/>
    <w:basedOn w:val="a"/>
    <w:link w:val="005Char"/>
    <w:qFormat/>
    <w:rsid w:val="00D46441"/>
    <w:pPr>
      <w:adjustRightInd w:val="0"/>
      <w:snapToGrid w:val="0"/>
      <w:spacing w:beforeLines="50" w:before="50" w:line="360" w:lineRule="auto"/>
      <w:ind w:firstLineChars="200" w:firstLine="200"/>
    </w:pPr>
    <w:rPr>
      <w:rFonts w:ascii="Times New Roman" w:eastAsia="宋体" w:hAnsi="Times New Roman" w:cs="Times New Roman"/>
      <w:sz w:val="22"/>
      <w:szCs w:val="22"/>
    </w:rPr>
  </w:style>
  <w:style w:type="character" w:customStyle="1" w:styleId="002Char">
    <w:name w:val="002二级标题 Char"/>
    <w:basedOn w:val="a0"/>
    <w:link w:val="002"/>
    <w:qFormat/>
    <w:locked/>
    <w:rsid w:val="00D46441"/>
    <w:rPr>
      <w:rFonts w:ascii="Times New Roman" w:eastAsia="宋体" w:hAnsi="Times New Roman" w:cs="Times New Roman"/>
      <w:b/>
      <w:sz w:val="28"/>
      <w:szCs w:val="28"/>
    </w:rPr>
  </w:style>
  <w:style w:type="paragraph" w:customStyle="1" w:styleId="002">
    <w:name w:val="002二级标题"/>
    <w:basedOn w:val="a"/>
    <w:link w:val="002Char"/>
    <w:qFormat/>
    <w:rsid w:val="00D46441"/>
    <w:pPr>
      <w:keepNext/>
      <w:keepLines/>
      <w:widowControl/>
      <w:adjustRightInd w:val="0"/>
      <w:snapToGrid w:val="0"/>
      <w:spacing w:beforeLines="50" w:before="50" w:line="360" w:lineRule="auto"/>
      <w:ind w:firstLineChars="200" w:firstLine="200"/>
      <w:outlineLvl w:val="1"/>
    </w:pPr>
    <w:rPr>
      <w:rFonts w:ascii="Times New Roman" w:eastAsia="宋体" w:hAnsi="Times New Roman" w:cs="Times New Roman"/>
      <w:b/>
      <w:sz w:val="28"/>
      <w:szCs w:val="28"/>
    </w:rPr>
  </w:style>
  <w:style w:type="paragraph" w:customStyle="1" w:styleId="-">
    <w:name w:val="标题-正文"/>
    <w:basedOn w:val="a"/>
    <w:link w:val="-0"/>
    <w:qFormat/>
    <w:rsid w:val="006E34AD"/>
  </w:style>
  <w:style w:type="character" w:customStyle="1" w:styleId="-0">
    <w:name w:val="标题-正文 字符"/>
    <w:basedOn w:val="1Char"/>
    <w:link w:val="-"/>
    <w:rsid w:val="006E34AD"/>
    <w:rPr>
      <w:rFonts w:ascii="Times New Roman" w:eastAsia="黑体" w:hAnsi="Times New Roman" w:cs="Times New Roman"/>
      <w:b/>
      <w:color w:val="000000"/>
      <w:sz w:val="24"/>
      <w:szCs w:val="21"/>
    </w:rPr>
  </w:style>
  <w:style w:type="character" w:styleId="af1">
    <w:name w:val="Hyperlink"/>
    <w:basedOn w:val="a0"/>
    <w:uiPriority w:val="99"/>
    <w:unhideWhenUsed/>
    <w:rsid w:val="00FF140E"/>
    <w:rPr>
      <w:color w:val="0563C1" w:themeColor="hyperlink"/>
      <w:u w:val="single"/>
    </w:rPr>
  </w:style>
  <w:style w:type="character" w:customStyle="1" w:styleId="1Char1">
    <w:name w:val="标题 1 Char1"/>
    <w:basedOn w:val="a0"/>
    <w:link w:val="1"/>
    <w:uiPriority w:val="9"/>
    <w:rsid w:val="00181621"/>
    <w:rPr>
      <w:rFonts w:ascii="黑体" w:eastAsia="黑体" w:hAnsi="黑体"/>
      <w:b/>
      <w:sz w:val="24"/>
    </w:rPr>
  </w:style>
  <w:style w:type="paragraph" w:styleId="TOC">
    <w:name w:val="TOC Heading"/>
    <w:basedOn w:val="1"/>
    <w:next w:val="a"/>
    <w:uiPriority w:val="39"/>
    <w:semiHidden/>
    <w:unhideWhenUsed/>
    <w:qFormat/>
    <w:rsid w:val="0023267B"/>
    <w:pPr>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22">
    <w:name w:val="toc 2"/>
    <w:basedOn w:val="a"/>
    <w:next w:val="a"/>
    <w:autoRedefine/>
    <w:uiPriority w:val="39"/>
    <w:unhideWhenUsed/>
    <w:qFormat/>
    <w:rsid w:val="0023267B"/>
    <w:pPr>
      <w:ind w:leftChars="200" w:left="420"/>
    </w:pPr>
  </w:style>
  <w:style w:type="paragraph" w:styleId="31">
    <w:name w:val="toc 3"/>
    <w:basedOn w:val="a"/>
    <w:next w:val="a"/>
    <w:autoRedefine/>
    <w:uiPriority w:val="39"/>
    <w:semiHidden/>
    <w:unhideWhenUsed/>
    <w:qFormat/>
    <w:rsid w:val="0023267B"/>
    <w:pPr>
      <w:widowControl/>
      <w:spacing w:after="100" w:line="276" w:lineRule="auto"/>
      <w:ind w:left="440"/>
      <w:jc w:val="left"/>
    </w:pPr>
    <w:rPr>
      <w:kern w:val="0"/>
      <w:sz w:val="22"/>
      <w:szCs w:val="22"/>
    </w:rPr>
  </w:style>
  <w:style w:type="paragraph" w:styleId="14">
    <w:name w:val="toc 1"/>
    <w:basedOn w:val="a"/>
    <w:next w:val="a"/>
    <w:autoRedefine/>
    <w:uiPriority w:val="39"/>
    <w:unhideWhenUsed/>
    <w:qFormat/>
    <w:rsid w:val="00181621"/>
    <w:pPr>
      <w:tabs>
        <w:tab w:val="right" w:leader="dot" w:pos="8296"/>
      </w:tabs>
      <w:jc w:val="center"/>
    </w:pPr>
    <w:rPr>
      <w:rFonts w:ascii="黑体" w:eastAsia="黑体" w:hAnsi="黑体"/>
      <w:sz w:val="28"/>
      <w:szCs w:val="36"/>
    </w:rPr>
  </w:style>
  <w:style w:type="character" w:styleId="af2">
    <w:name w:val="page number"/>
    <w:basedOn w:val="a0"/>
    <w:uiPriority w:val="99"/>
    <w:semiHidden/>
    <w:unhideWhenUsed/>
    <w:rsid w:val="00926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3C"/>
    <w:pPr>
      <w:widowControl w:val="0"/>
      <w:jc w:val="both"/>
    </w:pPr>
  </w:style>
  <w:style w:type="paragraph" w:styleId="1">
    <w:name w:val="heading 1"/>
    <w:basedOn w:val="a"/>
    <w:next w:val="a"/>
    <w:link w:val="1Char1"/>
    <w:uiPriority w:val="9"/>
    <w:qFormat/>
    <w:rsid w:val="00181621"/>
    <w:pPr>
      <w:spacing w:beforeLines="50" w:before="156" w:line="360" w:lineRule="auto"/>
      <w:ind w:firstLineChars="200" w:firstLine="482"/>
      <w:outlineLvl w:val="0"/>
    </w:pPr>
    <w:rPr>
      <w:rFonts w:ascii="黑体" w:eastAsia="黑体" w:hAnsi="黑体"/>
      <w:b/>
      <w:sz w:val="24"/>
    </w:rPr>
  </w:style>
  <w:style w:type="paragraph" w:styleId="2">
    <w:name w:val="heading 2"/>
    <w:basedOn w:val="a"/>
    <w:next w:val="a"/>
    <w:link w:val="2Char"/>
    <w:uiPriority w:val="9"/>
    <w:unhideWhenUsed/>
    <w:qFormat/>
    <w:rsid w:val="0066058B"/>
    <w:pPr>
      <w:keepNext/>
      <w:keepLines/>
      <w:spacing w:beforeLines="50" w:before="120" w:afterLines="50" w:after="120" w:line="360" w:lineRule="auto"/>
      <w:outlineLvl w:val="1"/>
    </w:pPr>
    <w:rPr>
      <w:rFonts w:ascii="Times New Roman" w:eastAsia="宋体" w:hAnsi="Times New Roman" w:cs="Times New Roman"/>
      <w:b/>
      <w:bCs/>
      <w:kern w:val="0"/>
      <w:sz w:val="24"/>
      <w:szCs w:val="32"/>
    </w:rPr>
  </w:style>
  <w:style w:type="paragraph" w:styleId="3">
    <w:name w:val="heading 3"/>
    <w:basedOn w:val="2"/>
    <w:next w:val="a"/>
    <w:link w:val="3Char"/>
    <w:uiPriority w:val="9"/>
    <w:unhideWhenUsed/>
    <w:qFormat/>
    <w:rsid w:val="005429DA"/>
    <w:pPr>
      <w:outlineLvl w:val="2"/>
    </w:pPr>
    <w:rPr>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样式1"/>
    <w:basedOn w:val="a1"/>
    <w:uiPriority w:val="99"/>
    <w:rsid w:val="00D8082E"/>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style>
  <w:style w:type="paragraph" w:styleId="a3">
    <w:name w:val="Balloon Text"/>
    <w:basedOn w:val="a"/>
    <w:link w:val="Char"/>
    <w:uiPriority w:val="99"/>
    <w:semiHidden/>
    <w:unhideWhenUsed/>
    <w:rsid w:val="00FE5F99"/>
    <w:rPr>
      <w:rFonts w:ascii="宋体" w:eastAsia="宋体"/>
      <w:sz w:val="18"/>
      <w:szCs w:val="18"/>
    </w:rPr>
  </w:style>
  <w:style w:type="character" w:customStyle="1" w:styleId="Char">
    <w:name w:val="批注框文本 Char"/>
    <w:basedOn w:val="a0"/>
    <w:link w:val="a3"/>
    <w:uiPriority w:val="99"/>
    <w:semiHidden/>
    <w:rsid w:val="00FE5F99"/>
    <w:rPr>
      <w:rFonts w:ascii="宋体" w:eastAsia="宋体"/>
      <w:sz w:val="18"/>
      <w:szCs w:val="18"/>
    </w:rPr>
  </w:style>
  <w:style w:type="table" w:styleId="a4">
    <w:name w:val="Table Grid"/>
    <w:basedOn w:val="a1"/>
    <w:uiPriority w:val="59"/>
    <w:unhideWhenUsed/>
    <w:qFormat/>
    <w:rsid w:val="00BE2F4A"/>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851C9"/>
    <w:pPr>
      <w:widowControl/>
      <w:spacing w:before="100" w:beforeAutospacing="1" w:after="100" w:afterAutospacing="1"/>
      <w:jc w:val="left"/>
    </w:pPr>
    <w:rPr>
      <w:rFonts w:ascii="宋体" w:eastAsia="宋体" w:hAnsi="宋体" w:cs="宋体"/>
      <w:kern w:val="0"/>
      <w:sz w:val="24"/>
    </w:rPr>
  </w:style>
  <w:style w:type="paragraph" w:customStyle="1" w:styleId="11">
    <w:name w:val="列表段落1"/>
    <w:basedOn w:val="a"/>
    <w:rsid w:val="00183134"/>
    <w:pPr>
      <w:ind w:firstLineChars="200" w:firstLine="420"/>
    </w:pPr>
    <w:rPr>
      <w:rFonts w:ascii="Times New Roman" w:eastAsia="宋体" w:hAnsi="Times New Roman" w:cs="Times New Roman"/>
      <w:szCs w:val="20"/>
    </w:rPr>
  </w:style>
  <w:style w:type="paragraph" w:styleId="a6">
    <w:name w:val="header"/>
    <w:basedOn w:val="a"/>
    <w:link w:val="Char0"/>
    <w:uiPriority w:val="99"/>
    <w:unhideWhenUsed/>
    <w:rsid w:val="00CB6A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B6AA5"/>
    <w:rPr>
      <w:sz w:val="18"/>
      <w:szCs w:val="18"/>
    </w:rPr>
  </w:style>
  <w:style w:type="paragraph" w:styleId="a7">
    <w:name w:val="footer"/>
    <w:basedOn w:val="a"/>
    <w:link w:val="Char1"/>
    <w:uiPriority w:val="99"/>
    <w:unhideWhenUsed/>
    <w:rsid w:val="00CB6AA5"/>
    <w:pPr>
      <w:tabs>
        <w:tab w:val="center" w:pos="4153"/>
        <w:tab w:val="right" w:pos="8306"/>
      </w:tabs>
      <w:snapToGrid w:val="0"/>
      <w:jc w:val="left"/>
    </w:pPr>
    <w:rPr>
      <w:sz w:val="18"/>
      <w:szCs w:val="18"/>
    </w:rPr>
  </w:style>
  <w:style w:type="character" w:customStyle="1" w:styleId="Char1">
    <w:name w:val="页脚 Char"/>
    <w:basedOn w:val="a0"/>
    <w:link w:val="a7"/>
    <w:uiPriority w:val="99"/>
    <w:rsid w:val="00CB6AA5"/>
    <w:rPr>
      <w:sz w:val="18"/>
      <w:szCs w:val="18"/>
    </w:rPr>
  </w:style>
  <w:style w:type="character" w:customStyle="1" w:styleId="1Char">
    <w:name w:val="标题 1 Char"/>
    <w:basedOn w:val="a0"/>
    <w:uiPriority w:val="9"/>
    <w:rsid w:val="00583518"/>
    <w:rPr>
      <w:rFonts w:ascii="Times New Roman" w:eastAsia="黑体" w:hAnsi="Times New Roman" w:cs="Times New Roman"/>
      <w:b/>
      <w:color w:val="000000"/>
      <w:sz w:val="24"/>
      <w:szCs w:val="21"/>
    </w:rPr>
  </w:style>
  <w:style w:type="character" w:customStyle="1" w:styleId="2Char">
    <w:name w:val="标题 2 Char"/>
    <w:basedOn w:val="a0"/>
    <w:link w:val="2"/>
    <w:uiPriority w:val="9"/>
    <w:rsid w:val="0066058B"/>
    <w:rPr>
      <w:rFonts w:ascii="Times New Roman" w:eastAsia="宋体" w:hAnsi="Times New Roman" w:cs="Times New Roman"/>
      <w:b/>
      <w:bCs/>
      <w:kern w:val="0"/>
      <w:sz w:val="24"/>
      <w:szCs w:val="32"/>
    </w:rPr>
  </w:style>
  <w:style w:type="paragraph" w:customStyle="1" w:styleId="zhengwen">
    <w:name w:val="zhengwen"/>
    <w:basedOn w:val="a"/>
    <w:link w:val="zhengwen0"/>
    <w:qFormat/>
    <w:rsid w:val="003C2212"/>
    <w:pPr>
      <w:adjustRightInd w:val="0"/>
      <w:snapToGrid w:val="0"/>
      <w:spacing w:beforeLines="50" w:before="120" w:afterLines="50" w:after="120" w:line="360" w:lineRule="auto"/>
      <w:ind w:firstLineChars="200" w:firstLine="480"/>
    </w:pPr>
    <w:rPr>
      <w:rFonts w:ascii="Times New Roman" w:eastAsia="宋体" w:hAnsi="Times New Roman" w:cs="Times New Roman"/>
      <w:sz w:val="24"/>
      <w:szCs w:val="22"/>
    </w:rPr>
  </w:style>
  <w:style w:type="paragraph" w:customStyle="1" w:styleId="danwei">
    <w:name w:val="danwei"/>
    <w:basedOn w:val="a"/>
    <w:link w:val="danwei0"/>
    <w:qFormat/>
    <w:rsid w:val="00861548"/>
    <w:pPr>
      <w:spacing w:line="360" w:lineRule="auto"/>
      <w:ind w:firstLine="480"/>
      <w:jc w:val="right"/>
    </w:pPr>
    <w:rPr>
      <w:rFonts w:ascii="Arial Narrow" w:eastAsia="宋体" w:hAnsi="Arial Narrow" w:cs="仿宋"/>
      <w:kern w:val="0"/>
      <w:szCs w:val="31"/>
      <w:lang w:val="zh-CN" w:bidi="zh-CN"/>
    </w:rPr>
  </w:style>
  <w:style w:type="character" w:customStyle="1" w:styleId="zhengwen0">
    <w:name w:val="zhengwen 字符"/>
    <w:basedOn w:val="a0"/>
    <w:link w:val="zhengwen"/>
    <w:rsid w:val="003C2212"/>
    <w:rPr>
      <w:rFonts w:ascii="Times New Roman" w:eastAsia="宋体" w:hAnsi="Times New Roman" w:cs="Times New Roman"/>
      <w:sz w:val="24"/>
      <w:szCs w:val="22"/>
    </w:rPr>
  </w:style>
  <w:style w:type="character" w:styleId="a8">
    <w:name w:val="annotation reference"/>
    <w:basedOn w:val="a0"/>
    <w:uiPriority w:val="99"/>
    <w:semiHidden/>
    <w:unhideWhenUsed/>
    <w:rsid w:val="00626513"/>
    <w:rPr>
      <w:sz w:val="21"/>
      <w:szCs w:val="21"/>
    </w:rPr>
  </w:style>
  <w:style w:type="character" w:customStyle="1" w:styleId="danwei0">
    <w:name w:val="danwei 字符"/>
    <w:basedOn w:val="a0"/>
    <w:link w:val="danwei"/>
    <w:rsid w:val="00861548"/>
    <w:rPr>
      <w:rFonts w:ascii="Arial Narrow" w:eastAsia="宋体" w:hAnsi="Arial Narrow" w:cs="仿宋"/>
      <w:kern w:val="0"/>
      <w:szCs w:val="31"/>
      <w:lang w:val="zh-CN" w:bidi="zh-CN"/>
    </w:rPr>
  </w:style>
  <w:style w:type="paragraph" w:styleId="a9">
    <w:name w:val="annotation text"/>
    <w:basedOn w:val="a"/>
    <w:link w:val="Char2"/>
    <w:uiPriority w:val="99"/>
    <w:semiHidden/>
    <w:unhideWhenUsed/>
    <w:rsid w:val="00626513"/>
    <w:pPr>
      <w:jc w:val="left"/>
    </w:pPr>
    <w:rPr>
      <w:szCs w:val="22"/>
    </w:rPr>
  </w:style>
  <w:style w:type="character" w:customStyle="1" w:styleId="Char2">
    <w:name w:val="批注文字 Char"/>
    <w:basedOn w:val="a0"/>
    <w:link w:val="a9"/>
    <w:uiPriority w:val="99"/>
    <w:semiHidden/>
    <w:rsid w:val="00626513"/>
    <w:rPr>
      <w:szCs w:val="22"/>
    </w:rPr>
  </w:style>
  <w:style w:type="numbering" w:customStyle="1" w:styleId="12">
    <w:name w:val="无列表1"/>
    <w:next w:val="a2"/>
    <w:uiPriority w:val="99"/>
    <w:semiHidden/>
    <w:unhideWhenUsed/>
    <w:rsid w:val="00E962F2"/>
  </w:style>
  <w:style w:type="character" w:customStyle="1" w:styleId="fontstyle01">
    <w:name w:val="fontstyle01"/>
    <w:basedOn w:val="a0"/>
    <w:rsid w:val="00E962F2"/>
    <w:rPr>
      <w:rFonts w:ascii="仿宋" w:eastAsia="仿宋" w:hAnsi="仿宋" w:hint="eastAsia"/>
      <w:b w:val="0"/>
      <w:bCs w:val="0"/>
      <w:i w:val="0"/>
      <w:iCs w:val="0"/>
      <w:color w:val="000000"/>
      <w:sz w:val="32"/>
      <w:szCs w:val="32"/>
    </w:rPr>
  </w:style>
  <w:style w:type="character" w:customStyle="1" w:styleId="fontstyle21">
    <w:name w:val="fontstyle21"/>
    <w:basedOn w:val="a0"/>
    <w:rsid w:val="00E962F2"/>
    <w:rPr>
      <w:rFonts w:ascii="Times New Roman" w:hAnsi="Times New Roman" w:cs="Times New Roman" w:hint="default"/>
      <w:b w:val="0"/>
      <w:bCs w:val="0"/>
      <w:i w:val="0"/>
      <w:iCs w:val="0"/>
      <w:color w:val="000000"/>
      <w:sz w:val="24"/>
      <w:szCs w:val="24"/>
    </w:rPr>
  </w:style>
  <w:style w:type="paragraph" w:styleId="aa">
    <w:name w:val="annotation subject"/>
    <w:basedOn w:val="a9"/>
    <w:next w:val="a9"/>
    <w:link w:val="Char3"/>
    <w:uiPriority w:val="99"/>
    <w:semiHidden/>
    <w:unhideWhenUsed/>
    <w:rsid w:val="00E962F2"/>
    <w:rPr>
      <w:b/>
      <w:bCs/>
    </w:rPr>
  </w:style>
  <w:style w:type="character" w:customStyle="1" w:styleId="Char3">
    <w:name w:val="批注主题 Char"/>
    <w:basedOn w:val="Char2"/>
    <w:link w:val="aa"/>
    <w:uiPriority w:val="99"/>
    <w:semiHidden/>
    <w:rsid w:val="00E962F2"/>
    <w:rPr>
      <w:b/>
      <w:bCs/>
      <w:szCs w:val="22"/>
    </w:rPr>
  </w:style>
  <w:style w:type="table" w:customStyle="1" w:styleId="13">
    <w:name w:val="网格型1"/>
    <w:basedOn w:val="a1"/>
    <w:next w:val="a4"/>
    <w:uiPriority w:val="59"/>
    <w:qFormat/>
    <w:rsid w:val="00E962F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962F2"/>
    <w:pPr>
      <w:ind w:firstLineChars="200" w:firstLine="420"/>
    </w:pPr>
    <w:rPr>
      <w:szCs w:val="22"/>
    </w:rPr>
  </w:style>
  <w:style w:type="paragraph" w:styleId="ac">
    <w:name w:val="footnote text"/>
    <w:basedOn w:val="a"/>
    <w:link w:val="Char4"/>
    <w:uiPriority w:val="99"/>
    <w:qFormat/>
    <w:rsid w:val="004E5D7E"/>
    <w:pPr>
      <w:snapToGrid w:val="0"/>
      <w:jc w:val="left"/>
    </w:pPr>
    <w:rPr>
      <w:rFonts w:ascii="Times New Roman" w:eastAsia="宋体" w:hAnsi="Times New Roman" w:cs="Times New Roman"/>
      <w:sz w:val="18"/>
      <w:szCs w:val="18"/>
    </w:rPr>
  </w:style>
  <w:style w:type="character" w:customStyle="1" w:styleId="ad">
    <w:name w:val="脚注文本 字符"/>
    <w:basedOn w:val="a0"/>
    <w:uiPriority w:val="99"/>
    <w:semiHidden/>
    <w:rsid w:val="004E5D7E"/>
    <w:rPr>
      <w:sz w:val="18"/>
      <w:szCs w:val="18"/>
    </w:rPr>
  </w:style>
  <w:style w:type="character" w:styleId="ae">
    <w:name w:val="footnote reference"/>
    <w:uiPriority w:val="99"/>
    <w:qFormat/>
    <w:rsid w:val="004E5D7E"/>
    <w:rPr>
      <w:vertAlign w:val="superscript"/>
    </w:rPr>
  </w:style>
  <w:style w:type="character" w:customStyle="1" w:styleId="Char4">
    <w:name w:val="脚注文本 Char"/>
    <w:link w:val="ac"/>
    <w:uiPriority w:val="99"/>
    <w:qFormat/>
    <w:rsid w:val="004E5D7E"/>
    <w:rPr>
      <w:rFonts w:ascii="Times New Roman" w:eastAsia="宋体" w:hAnsi="Times New Roman" w:cs="Times New Roman"/>
      <w:sz w:val="18"/>
      <w:szCs w:val="18"/>
    </w:rPr>
  </w:style>
  <w:style w:type="numbering" w:customStyle="1" w:styleId="20">
    <w:name w:val="无列表2"/>
    <w:next w:val="a2"/>
    <w:uiPriority w:val="99"/>
    <w:semiHidden/>
    <w:unhideWhenUsed/>
    <w:rsid w:val="00C673C2"/>
  </w:style>
  <w:style w:type="table" w:customStyle="1" w:styleId="21">
    <w:name w:val="网格型2"/>
    <w:basedOn w:val="a1"/>
    <w:next w:val="a4"/>
    <w:uiPriority w:val="59"/>
    <w:qFormat/>
    <w:rsid w:val="00C673C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5429DA"/>
    <w:rPr>
      <w:rFonts w:ascii="Times New Roman" w:eastAsia="宋体" w:hAnsi="Times New Roman" w:cs="Times New Roman"/>
      <w:b/>
      <w:bCs/>
      <w:kern w:val="0"/>
      <w:sz w:val="24"/>
      <w:szCs w:val="32"/>
      <w:lang w:val="zh-CN" w:bidi="zh-CN"/>
    </w:rPr>
  </w:style>
  <w:style w:type="paragraph" w:styleId="af">
    <w:name w:val="Revision"/>
    <w:hidden/>
    <w:uiPriority w:val="99"/>
    <w:semiHidden/>
    <w:rsid w:val="00B3354C"/>
  </w:style>
  <w:style w:type="numbering" w:customStyle="1" w:styleId="30">
    <w:name w:val="无列表3"/>
    <w:next w:val="a2"/>
    <w:uiPriority w:val="99"/>
    <w:semiHidden/>
    <w:unhideWhenUsed/>
    <w:rsid w:val="00602898"/>
  </w:style>
  <w:style w:type="paragraph" w:styleId="af0">
    <w:name w:val="Body Text"/>
    <w:basedOn w:val="a"/>
    <w:link w:val="Char5"/>
    <w:uiPriority w:val="1"/>
    <w:qFormat/>
    <w:rsid w:val="00D940F8"/>
    <w:pPr>
      <w:autoSpaceDE w:val="0"/>
      <w:autoSpaceDN w:val="0"/>
      <w:jc w:val="left"/>
    </w:pPr>
    <w:rPr>
      <w:rFonts w:ascii="仿宋" w:eastAsia="仿宋" w:hAnsi="仿宋" w:cs="仿宋"/>
      <w:kern w:val="0"/>
      <w:sz w:val="31"/>
      <w:szCs w:val="31"/>
      <w:lang w:val="zh-CN" w:bidi="zh-CN"/>
    </w:rPr>
  </w:style>
  <w:style w:type="character" w:customStyle="1" w:styleId="Char5">
    <w:name w:val="正文文本 Char"/>
    <w:basedOn w:val="a0"/>
    <w:link w:val="af0"/>
    <w:uiPriority w:val="1"/>
    <w:rsid w:val="00D940F8"/>
    <w:rPr>
      <w:rFonts w:ascii="仿宋" w:eastAsia="仿宋" w:hAnsi="仿宋" w:cs="仿宋"/>
      <w:kern w:val="0"/>
      <w:sz w:val="31"/>
      <w:szCs w:val="31"/>
      <w:lang w:val="zh-CN" w:bidi="zh-CN"/>
    </w:rPr>
  </w:style>
  <w:style w:type="character" w:customStyle="1" w:styleId="005Char">
    <w:name w:val="005正文 Char"/>
    <w:basedOn w:val="a0"/>
    <w:link w:val="005"/>
    <w:qFormat/>
    <w:locked/>
    <w:rsid w:val="00D46441"/>
    <w:rPr>
      <w:rFonts w:ascii="Times New Roman" w:eastAsia="宋体" w:hAnsi="Times New Roman" w:cs="Times New Roman"/>
      <w:sz w:val="22"/>
      <w:szCs w:val="22"/>
    </w:rPr>
  </w:style>
  <w:style w:type="paragraph" w:customStyle="1" w:styleId="005">
    <w:name w:val="005正文"/>
    <w:basedOn w:val="a"/>
    <w:link w:val="005Char"/>
    <w:qFormat/>
    <w:rsid w:val="00D46441"/>
    <w:pPr>
      <w:adjustRightInd w:val="0"/>
      <w:snapToGrid w:val="0"/>
      <w:spacing w:beforeLines="50" w:before="50" w:line="360" w:lineRule="auto"/>
      <w:ind w:firstLineChars="200" w:firstLine="200"/>
    </w:pPr>
    <w:rPr>
      <w:rFonts w:ascii="Times New Roman" w:eastAsia="宋体" w:hAnsi="Times New Roman" w:cs="Times New Roman"/>
      <w:sz w:val="22"/>
      <w:szCs w:val="22"/>
    </w:rPr>
  </w:style>
  <w:style w:type="character" w:customStyle="1" w:styleId="002Char">
    <w:name w:val="002二级标题 Char"/>
    <w:basedOn w:val="a0"/>
    <w:link w:val="002"/>
    <w:qFormat/>
    <w:locked/>
    <w:rsid w:val="00D46441"/>
    <w:rPr>
      <w:rFonts w:ascii="Times New Roman" w:eastAsia="宋体" w:hAnsi="Times New Roman" w:cs="Times New Roman"/>
      <w:b/>
      <w:sz w:val="28"/>
      <w:szCs w:val="28"/>
    </w:rPr>
  </w:style>
  <w:style w:type="paragraph" w:customStyle="1" w:styleId="002">
    <w:name w:val="002二级标题"/>
    <w:basedOn w:val="a"/>
    <w:link w:val="002Char"/>
    <w:qFormat/>
    <w:rsid w:val="00D46441"/>
    <w:pPr>
      <w:keepNext/>
      <w:keepLines/>
      <w:widowControl/>
      <w:adjustRightInd w:val="0"/>
      <w:snapToGrid w:val="0"/>
      <w:spacing w:beforeLines="50" w:before="50" w:line="360" w:lineRule="auto"/>
      <w:ind w:firstLineChars="200" w:firstLine="200"/>
      <w:outlineLvl w:val="1"/>
    </w:pPr>
    <w:rPr>
      <w:rFonts w:ascii="Times New Roman" w:eastAsia="宋体" w:hAnsi="Times New Roman" w:cs="Times New Roman"/>
      <w:b/>
      <w:sz w:val="28"/>
      <w:szCs w:val="28"/>
    </w:rPr>
  </w:style>
  <w:style w:type="paragraph" w:customStyle="1" w:styleId="-">
    <w:name w:val="标题-正文"/>
    <w:basedOn w:val="a"/>
    <w:link w:val="-0"/>
    <w:qFormat/>
    <w:rsid w:val="006E34AD"/>
  </w:style>
  <w:style w:type="character" w:customStyle="1" w:styleId="-0">
    <w:name w:val="标题-正文 字符"/>
    <w:basedOn w:val="1Char"/>
    <w:link w:val="-"/>
    <w:rsid w:val="006E34AD"/>
    <w:rPr>
      <w:rFonts w:ascii="Times New Roman" w:eastAsia="黑体" w:hAnsi="Times New Roman" w:cs="Times New Roman"/>
      <w:b/>
      <w:color w:val="000000"/>
      <w:sz w:val="24"/>
      <w:szCs w:val="21"/>
    </w:rPr>
  </w:style>
  <w:style w:type="character" w:styleId="af1">
    <w:name w:val="Hyperlink"/>
    <w:basedOn w:val="a0"/>
    <w:uiPriority w:val="99"/>
    <w:unhideWhenUsed/>
    <w:rsid w:val="00FF140E"/>
    <w:rPr>
      <w:color w:val="0563C1" w:themeColor="hyperlink"/>
      <w:u w:val="single"/>
    </w:rPr>
  </w:style>
  <w:style w:type="character" w:customStyle="1" w:styleId="1Char1">
    <w:name w:val="标题 1 Char1"/>
    <w:basedOn w:val="a0"/>
    <w:link w:val="1"/>
    <w:uiPriority w:val="9"/>
    <w:rsid w:val="00181621"/>
    <w:rPr>
      <w:rFonts w:ascii="黑体" w:eastAsia="黑体" w:hAnsi="黑体"/>
      <w:b/>
      <w:sz w:val="24"/>
    </w:rPr>
  </w:style>
  <w:style w:type="paragraph" w:styleId="TOC">
    <w:name w:val="TOC Heading"/>
    <w:basedOn w:val="1"/>
    <w:next w:val="a"/>
    <w:uiPriority w:val="39"/>
    <w:semiHidden/>
    <w:unhideWhenUsed/>
    <w:qFormat/>
    <w:rsid w:val="0023267B"/>
    <w:pPr>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22">
    <w:name w:val="toc 2"/>
    <w:basedOn w:val="a"/>
    <w:next w:val="a"/>
    <w:autoRedefine/>
    <w:uiPriority w:val="39"/>
    <w:unhideWhenUsed/>
    <w:qFormat/>
    <w:rsid w:val="0023267B"/>
    <w:pPr>
      <w:ind w:leftChars="200" w:left="420"/>
    </w:pPr>
  </w:style>
  <w:style w:type="paragraph" w:styleId="31">
    <w:name w:val="toc 3"/>
    <w:basedOn w:val="a"/>
    <w:next w:val="a"/>
    <w:autoRedefine/>
    <w:uiPriority w:val="39"/>
    <w:semiHidden/>
    <w:unhideWhenUsed/>
    <w:qFormat/>
    <w:rsid w:val="0023267B"/>
    <w:pPr>
      <w:widowControl/>
      <w:spacing w:after="100" w:line="276" w:lineRule="auto"/>
      <w:ind w:left="440"/>
      <w:jc w:val="left"/>
    </w:pPr>
    <w:rPr>
      <w:kern w:val="0"/>
      <w:sz w:val="22"/>
      <w:szCs w:val="22"/>
    </w:rPr>
  </w:style>
  <w:style w:type="paragraph" w:styleId="14">
    <w:name w:val="toc 1"/>
    <w:basedOn w:val="a"/>
    <w:next w:val="a"/>
    <w:autoRedefine/>
    <w:uiPriority w:val="39"/>
    <w:unhideWhenUsed/>
    <w:qFormat/>
    <w:rsid w:val="00181621"/>
    <w:pPr>
      <w:tabs>
        <w:tab w:val="right" w:leader="dot" w:pos="8296"/>
      </w:tabs>
      <w:jc w:val="center"/>
    </w:pPr>
    <w:rPr>
      <w:rFonts w:ascii="黑体" w:eastAsia="黑体" w:hAnsi="黑体"/>
      <w:sz w:val="28"/>
      <w:szCs w:val="36"/>
    </w:rPr>
  </w:style>
  <w:style w:type="character" w:styleId="af2">
    <w:name w:val="page number"/>
    <w:basedOn w:val="a0"/>
    <w:uiPriority w:val="99"/>
    <w:semiHidden/>
    <w:unhideWhenUsed/>
    <w:rsid w:val="0092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4674">
      <w:bodyDiv w:val="1"/>
      <w:marLeft w:val="0"/>
      <w:marRight w:val="0"/>
      <w:marTop w:val="0"/>
      <w:marBottom w:val="0"/>
      <w:divBdr>
        <w:top w:val="none" w:sz="0" w:space="0" w:color="auto"/>
        <w:left w:val="none" w:sz="0" w:space="0" w:color="auto"/>
        <w:bottom w:val="none" w:sz="0" w:space="0" w:color="auto"/>
        <w:right w:val="none" w:sz="0" w:space="0" w:color="auto"/>
      </w:divBdr>
    </w:div>
    <w:div w:id="40061941">
      <w:bodyDiv w:val="1"/>
      <w:marLeft w:val="0"/>
      <w:marRight w:val="0"/>
      <w:marTop w:val="0"/>
      <w:marBottom w:val="0"/>
      <w:divBdr>
        <w:top w:val="none" w:sz="0" w:space="0" w:color="auto"/>
        <w:left w:val="none" w:sz="0" w:space="0" w:color="auto"/>
        <w:bottom w:val="none" w:sz="0" w:space="0" w:color="auto"/>
        <w:right w:val="none" w:sz="0" w:space="0" w:color="auto"/>
      </w:divBdr>
      <w:divsChild>
        <w:div w:id="1721711307">
          <w:marLeft w:val="0"/>
          <w:marRight w:val="0"/>
          <w:marTop w:val="0"/>
          <w:marBottom w:val="0"/>
          <w:divBdr>
            <w:top w:val="none" w:sz="0" w:space="0" w:color="auto"/>
            <w:left w:val="none" w:sz="0" w:space="0" w:color="auto"/>
            <w:bottom w:val="none" w:sz="0" w:space="0" w:color="auto"/>
            <w:right w:val="none" w:sz="0" w:space="0" w:color="auto"/>
          </w:divBdr>
        </w:div>
        <w:div w:id="201599788">
          <w:marLeft w:val="0"/>
          <w:marRight w:val="0"/>
          <w:marTop w:val="0"/>
          <w:marBottom w:val="0"/>
          <w:divBdr>
            <w:top w:val="none" w:sz="0" w:space="0" w:color="auto"/>
            <w:left w:val="none" w:sz="0" w:space="0" w:color="auto"/>
            <w:bottom w:val="none" w:sz="0" w:space="0" w:color="auto"/>
            <w:right w:val="none" w:sz="0" w:space="0" w:color="auto"/>
          </w:divBdr>
        </w:div>
        <w:div w:id="1292441405">
          <w:marLeft w:val="0"/>
          <w:marRight w:val="0"/>
          <w:marTop w:val="0"/>
          <w:marBottom w:val="0"/>
          <w:divBdr>
            <w:top w:val="none" w:sz="0" w:space="0" w:color="auto"/>
            <w:left w:val="none" w:sz="0" w:space="0" w:color="auto"/>
            <w:bottom w:val="none" w:sz="0" w:space="0" w:color="auto"/>
            <w:right w:val="none" w:sz="0" w:space="0" w:color="auto"/>
          </w:divBdr>
        </w:div>
        <w:div w:id="279459152">
          <w:marLeft w:val="0"/>
          <w:marRight w:val="0"/>
          <w:marTop w:val="0"/>
          <w:marBottom w:val="0"/>
          <w:divBdr>
            <w:top w:val="none" w:sz="0" w:space="0" w:color="auto"/>
            <w:left w:val="none" w:sz="0" w:space="0" w:color="auto"/>
            <w:bottom w:val="none" w:sz="0" w:space="0" w:color="auto"/>
            <w:right w:val="none" w:sz="0" w:space="0" w:color="auto"/>
          </w:divBdr>
        </w:div>
        <w:div w:id="1226257016">
          <w:marLeft w:val="0"/>
          <w:marRight w:val="0"/>
          <w:marTop w:val="0"/>
          <w:marBottom w:val="0"/>
          <w:divBdr>
            <w:top w:val="none" w:sz="0" w:space="0" w:color="auto"/>
            <w:left w:val="none" w:sz="0" w:space="0" w:color="auto"/>
            <w:bottom w:val="none" w:sz="0" w:space="0" w:color="auto"/>
            <w:right w:val="none" w:sz="0" w:space="0" w:color="auto"/>
          </w:divBdr>
        </w:div>
        <w:div w:id="732654565">
          <w:marLeft w:val="0"/>
          <w:marRight w:val="0"/>
          <w:marTop w:val="0"/>
          <w:marBottom w:val="0"/>
          <w:divBdr>
            <w:top w:val="none" w:sz="0" w:space="0" w:color="auto"/>
            <w:left w:val="none" w:sz="0" w:space="0" w:color="auto"/>
            <w:bottom w:val="none" w:sz="0" w:space="0" w:color="auto"/>
            <w:right w:val="none" w:sz="0" w:space="0" w:color="auto"/>
          </w:divBdr>
        </w:div>
        <w:div w:id="1526334635">
          <w:marLeft w:val="0"/>
          <w:marRight w:val="0"/>
          <w:marTop w:val="0"/>
          <w:marBottom w:val="0"/>
          <w:divBdr>
            <w:top w:val="none" w:sz="0" w:space="0" w:color="auto"/>
            <w:left w:val="none" w:sz="0" w:space="0" w:color="auto"/>
            <w:bottom w:val="none" w:sz="0" w:space="0" w:color="auto"/>
            <w:right w:val="none" w:sz="0" w:space="0" w:color="auto"/>
          </w:divBdr>
        </w:div>
        <w:div w:id="237175920">
          <w:marLeft w:val="0"/>
          <w:marRight w:val="0"/>
          <w:marTop w:val="0"/>
          <w:marBottom w:val="0"/>
          <w:divBdr>
            <w:top w:val="none" w:sz="0" w:space="0" w:color="auto"/>
            <w:left w:val="none" w:sz="0" w:space="0" w:color="auto"/>
            <w:bottom w:val="none" w:sz="0" w:space="0" w:color="auto"/>
            <w:right w:val="none" w:sz="0" w:space="0" w:color="auto"/>
          </w:divBdr>
        </w:div>
        <w:div w:id="1021663482">
          <w:marLeft w:val="0"/>
          <w:marRight w:val="0"/>
          <w:marTop w:val="0"/>
          <w:marBottom w:val="0"/>
          <w:divBdr>
            <w:top w:val="none" w:sz="0" w:space="0" w:color="auto"/>
            <w:left w:val="none" w:sz="0" w:space="0" w:color="auto"/>
            <w:bottom w:val="none" w:sz="0" w:space="0" w:color="auto"/>
            <w:right w:val="none" w:sz="0" w:space="0" w:color="auto"/>
          </w:divBdr>
        </w:div>
      </w:divsChild>
    </w:div>
    <w:div w:id="48575009">
      <w:bodyDiv w:val="1"/>
      <w:marLeft w:val="0"/>
      <w:marRight w:val="0"/>
      <w:marTop w:val="0"/>
      <w:marBottom w:val="0"/>
      <w:divBdr>
        <w:top w:val="none" w:sz="0" w:space="0" w:color="auto"/>
        <w:left w:val="none" w:sz="0" w:space="0" w:color="auto"/>
        <w:bottom w:val="none" w:sz="0" w:space="0" w:color="auto"/>
        <w:right w:val="none" w:sz="0" w:space="0" w:color="auto"/>
      </w:divBdr>
    </w:div>
    <w:div w:id="104546155">
      <w:bodyDiv w:val="1"/>
      <w:marLeft w:val="0"/>
      <w:marRight w:val="0"/>
      <w:marTop w:val="0"/>
      <w:marBottom w:val="0"/>
      <w:divBdr>
        <w:top w:val="none" w:sz="0" w:space="0" w:color="auto"/>
        <w:left w:val="none" w:sz="0" w:space="0" w:color="auto"/>
        <w:bottom w:val="none" w:sz="0" w:space="0" w:color="auto"/>
        <w:right w:val="none" w:sz="0" w:space="0" w:color="auto"/>
      </w:divBdr>
    </w:div>
    <w:div w:id="144396308">
      <w:bodyDiv w:val="1"/>
      <w:marLeft w:val="0"/>
      <w:marRight w:val="0"/>
      <w:marTop w:val="0"/>
      <w:marBottom w:val="0"/>
      <w:divBdr>
        <w:top w:val="none" w:sz="0" w:space="0" w:color="auto"/>
        <w:left w:val="none" w:sz="0" w:space="0" w:color="auto"/>
        <w:bottom w:val="none" w:sz="0" w:space="0" w:color="auto"/>
        <w:right w:val="none" w:sz="0" w:space="0" w:color="auto"/>
      </w:divBdr>
    </w:div>
    <w:div w:id="157968669">
      <w:bodyDiv w:val="1"/>
      <w:marLeft w:val="0"/>
      <w:marRight w:val="0"/>
      <w:marTop w:val="0"/>
      <w:marBottom w:val="0"/>
      <w:divBdr>
        <w:top w:val="none" w:sz="0" w:space="0" w:color="auto"/>
        <w:left w:val="none" w:sz="0" w:space="0" w:color="auto"/>
        <w:bottom w:val="none" w:sz="0" w:space="0" w:color="auto"/>
        <w:right w:val="none" w:sz="0" w:space="0" w:color="auto"/>
      </w:divBdr>
    </w:div>
    <w:div w:id="194466042">
      <w:bodyDiv w:val="1"/>
      <w:marLeft w:val="0"/>
      <w:marRight w:val="0"/>
      <w:marTop w:val="0"/>
      <w:marBottom w:val="0"/>
      <w:divBdr>
        <w:top w:val="none" w:sz="0" w:space="0" w:color="auto"/>
        <w:left w:val="none" w:sz="0" w:space="0" w:color="auto"/>
        <w:bottom w:val="none" w:sz="0" w:space="0" w:color="auto"/>
        <w:right w:val="none" w:sz="0" w:space="0" w:color="auto"/>
      </w:divBdr>
    </w:div>
    <w:div w:id="248271366">
      <w:bodyDiv w:val="1"/>
      <w:marLeft w:val="0"/>
      <w:marRight w:val="0"/>
      <w:marTop w:val="0"/>
      <w:marBottom w:val="0"/>
      <w:divBdr>
        <w:top w:val="none" w:sz="0" w:space="0" w:color="auto"/>
        <w:left w:val="none" w:sz="0" w:space="0" w:color="auto"/>
        <w:bottom w:val="none" w:sz="0" w:space="0" w:color="auto"/>
        <w:right w:val="none" w:sz="0" w:space="0" w:color="auto"/>
      </w:divBdr>
    </w:div>
    <w:div w:id="264308830">
      <w:bodyDiv w:val="1"/>
      <w:marLeft w:val="0"/>
      <w:marRight w:val="0"/>
      <w:marTop w:val="0"/>
      <w:marBottom w:val="0"/>
      <w:divBdr>
        <w:top w:val="none" w:sz="0" w:space="0" w:color="auto"/>
        <w:left w:val="none" w:sz="0" w:space="0" w:color="auto"/>
        <w:bottom w:val="none" w:sz="0" w:space="0" w:color="auto"/>
        <w:right w:val="none" w:sz="0" w:space="0" w:color="auto"/>
      </w:divBdr>
    </w:div>
    <w:div w:id="302854704">
      <w:bodyDiv w:val="1"/>
      <w:marLeft w:val="0"/>
      <w:marRight w:val="0"/>
      <w:marTop w:val="0"/>
      <w:marBottom w:val="0"/>
      <w:divBdr>
        <w:top w:val="none" w:sz="0" w:space="0" w:color="auto"/>
        <w:left w:val="none" w:sz="0" w:space="0" w:color="auto"/>
        <w:bottom w:val="none" w:sz="0" w:space="0" w:color="auto"/>
        <w:right w:val="none" w:sz="0" w:space="0" w:color="auto"/>
      </w:divBdr>
      <w:divsChild>
        <w:div w:id="1800225171">
          <w:marLeft w:val="0"/>
          <w:marRight w:val="0"/>
          <w:marTop w:val="0"/>
          <w:marBottom w:val="0"/>
          <w:divBdr>
            <w:top w:val="none" w:sz="0" w:space="0" w:color="auto"/>
            <w:left w:val="none" w:sz="0" w:space="0" w:color="auto"/>
            <w:bottom w:val="none" w:sz="0" w:space="0" w:color="auto"/>
            <w:right w:val="none" w:sz="0" w:space="0" w:color="auto"/>
          </w:divBdr>
        </w:div>
        <w:div w:id="878589426">
          <w:marLeft w:val="0"/>
          <w:marRight w:val="0"/>
          <w:marTop w:val="0"/>
          <w:marBottom w:val="0"/>
          <w:divBdr>
            <w:top w:val="none" w:sz="0" w:space="0" w:color="auto"/>
            <w:left w:val="none" w:sz="0" w:space="0" w:color="auto"/>
            <w:bottom w:val="none" w:sz="0" w:space="0" w:color="auto"/>
            <w:right w:val="none" w:sz="0" w:space="0" w:color="auto"/>
          </w:divBdr>
        </w:div>
        <w:div w:id="706369069">
          <w:marLeft w:val="0"/>
          <w:marRight w:val="0"/>
          <w:marTop w:val="0"/>
          <w:marBottom w:val="0"/>
          <w:divBdr>
            <w:top w:val="none" w:sz="0" w:space="0" w:color="auto"/>
            <w:left w:val="none" w:sz="0" w:space="0" w:color="auto"/>
            <w:bottom w:val="none" w:sz="0" w:space="0" w:color="auto"/>
            <w:right w:val="none" w:sz="0" w:space="0" w:color="auto"/>
          </w:divBdr>
        </w:div>
        <w:div w:id="566035937">
          <w:marLeft w:val="0"/>
          <w:marRight w:val="0"/>
          <w:marTop w:val="0"/>
          <w:marBottom w:val="0"/>
          <w:divBdr>
            <w:top w:val="none" w:sz="0" w:space="0" w:color="auto"/>
            <w:left w:val="none" w:sz="0" w:space="0" w:color="auto"/>
            <w:bottom w:val="none" w:sz="0" w:space="0" w:color="auto"/>
            <w:right w:val="none" w:sz="0" w:space="0" w:color="auto"/>
          </w:divBdr>
        </w:div>
        <w:div w:id="556009730">
          <w:marLeft w:val="0"/>
          <w:marRight w:val="0"/>
          <w:marTop w:val="0"/>
          <w:marBottom w:val="0"/>
          <w:divBdr>
            <w:top w:val="none" w:sz="0" w:space="0" w:color="auto"/>
            <w:left w:val="none" w:sz="0" w:space="0" w:color="auto"/>
            <w:bottom w:val="none" w:sz="0" w:space="0" w:color="auto"/>
            <w:right w:val="none" w:sz="0" w:space="0" w:color="auto"/>
          </w:divBdr>
        </w:div>
      </w:divsChild>
    </w:div>
    <w:div w:id="334573986">
      <w:bodyDiv w:val="1"/>
      <w:marLeft w:val="0"/>
      <w:marRight w:val="0"/>
      <w:marTop w:val="0"/>
      <w:marBottom w:val="0"/>
      <w:divBdr>
        <w:top w:val="none" w:sz="0" w:space="0" w:color="auto"/>
        <w:left w:val="none" w:sz="0" w:space="0" w:color="auto"/>
        <w:bottom w:val="none" w:sz="0" w:space="0" w:color="auto"/>
        <w:right w:val="none" w:sz="0" w:space="0" w:color="auto"/>
      </w:divBdr>
    </w:div>
    <w:div w:id="340358875">
      <w:bodyDiv w:val="1"/>
      <w:marLeft w:val="0"/>
      <w:marRight w:val="0"/>
      <w:marTop w:val="0"/>
      <w:marBottom w:val="0"/>
      <w:divBdr>
        <w:top w:val="none" w:sz="0" w:space="0" w:color="auto"/>
        <w:left w:val="none" w:sz="0" w:space="0" w:color="auto"/>
        <w:bottom w:val="none" w:sz="0" w:space="0" w:color="auto"/>
        <w:right w:val="none" w:sz="0" w:space="0" w:color="auto"/>
      </w:divBdr>
    </w:div>
    <w:div w:id="391856078">
      <w:bodyDiv w:val="1"/>
      <w:marLeft w:val="0"/>
      <w:marRight w:val="0"/>
      <w:marTop w:val="0"/>
      <w:marBottom w:val="0"/>
      <w:divBdr>
        <w:top w:val="none" w:sz="0" w:space="0" w:color="auto"/>
        <w:left w:val="none" w:sz="0" w:space="0" w:color="auto"/>
        <w:bottom w:val="none" w:sz="0" w:space="0" w:color="auto"/>
        <w:right w:val="none" w:sz="0" w:space="0" w:color="auto"/>
      </w:divBdr>
    </w:div>
    <w:div w:id="469055010">
      <w:bodyDiv w:val="1"/>
      <w:marLeft w:val="0"/>
      <w:marRight w:val="0"/>
      <w:marTop w:val="0"/>
      <w:marBottom w:val="0"/>
      <w:divBdr>
        <w:top w:val="none" w:sz="0" w:space="0" w:color="auto"/>
        <w:left w:val="none" w:sz="0" w:space="0" w:color="auto"/>
        <w:bottom w:val="none" w:sz="0" w:space="0" w:color="auto"/>
        <w:right w:val="none" w:sz="0" w:space="0" w:color="auto"/>
      </w:divBdr>
    </w:div>
    <w:div w:id="569342427">
      <w:bodyDiv w:val="1"/>
      <w:marLeft w:val="0"/>
      <w:marRight w:val="0"/>
      <w:marTop w:val="0"/>
      <w:marBottom w:val="0"/>
      <w:divBdr>
        <w:top w:val="none" w:sz="0" w:space="0" w:color="auto"/>
        <w:left w:val="none" w:sz="0" w:space="0" w:color="auto"/>
        <w:bottom w:val="none" w:sz="0" w:space="0" w:color="auto"/>
        <w:right w:val="none" w:sz="0" w:space="0" w:color="auto"/>
      </w:divBdr>
    </w:div>
    <w:div w:id="813640764">
      <w:bodyDiv w:val="1"/>
      <w:marLeft w:val="0"/>
      <w:marRight w:val="0"/>
      <w:marTop w:val="0"/>
      <w:marBottom w:val="0"/>
      <w:divBdr>
        <w:top w:val="none" w:sz="0" w:space="0" w:color="auto"/>
        <w:left w:val="none" w:sz="0" w:space="0" w:color="auto"/>
        <w:bottom w:val="none" w:sz="0" w:space="0" w:color="auto"/>
        <w:right w:val="none" w:sz="0" w:space="0" w:color="auto"/>
      </w:divBdr>
    </w:div>
    <w:div w:id="826361527">
      <w:bodyDiv w:val="1"/>
      <w:marLeft w:val="0"/>
      <w:marRight w:val="0"/>
      <w:marTop w:val="0"/>
      <w:marBottom w:val="0"/>
      <w:divBdr>
        <w:top w:val="none" w:sz="0" w:space="0" w:color="auto"/>
        <w:left w:val="none" w:sz="0" w:space="0" w:color="auto"/>
        <w:bottom w:val="none" w:sz="0" w:space="0" w:color="auto"/>
        <w:right w:val="none" w:sz="0" w:space="0" w:color="auto"/>
      </w:divBdr>
      <w:divsChild>
        <w:div w:id="766001653">
          <w:marLeft w:val="0"/>
          <w:marRight w:val="0"/>
          <w:marTop w:val="0"/>
          <w:marBottom w:val="0"/>
          <w:divBdr>
            <w:top w:val="none" w:sz="0" w:space="0" w:color="auto"/>
            <w:left w:val="none" w:sz="0" w:space="0" w:color="auto"/>
            <w:bottom w:val="none" w:sz="0" w:space="0" w:color="auto"/>
            <w:right w:val="none" w:sz="0" w:space="0" w:color="auto"/>
          </w:divBdr>
        </w:div>
        <w:div w:id="35203186">
          <w:marLeft w:val="0"/>
          <w:marRight w:val="0"/>
          <w:marTop w:val="0"/>
          <w:marBottom w:val="0"/>
          <w:divBdr>
            <w:top w:val="none" w:sz="0" w:space="0" w:color="auto"/>
            <w:left w:val="none" w:sz="0" w:space="0" w:color="auto"/>
            <w:bottom w:val="none" w:sz="0" w:space="0" w:color="auto"/>
            <w:right w:val="none" w:sz="0" w:space="0" w:color="auto"/>
          </w:divBdr>
        </w:div>
        <w:div w:id="848719267">
          <w:marLeft w:val="0"/>
          <w:marRight w:val="0"/>
          <w:marTop w:val="0"/>
          <w:marBottom w:val="0"/>
          <w:divBdr>
            <w:top w:val="none" w:sz="0" w:space="0" w:color="auto"/>
            <w:left w:val="none" w:sz="0" w:space="0" w:color="auto"/>
            <w:bottom w:val="none" w:sz="0" w:space="0" w:color="auto"/>
            <w:right w:val="none" w:sz="0" w:space="0" w:color="auto"/>
          </w:divBdr>
        </w:div>
        <w:div w:id="800615120">
          <w:marLeft w:val="0"/>
          <w:marRight w:val="0"/>
          <w:marTop w:val="0"/>
          <w:marBottom w:val="0"/>
          <w:divBdr>
            <w:top w:val="none" w:sz="0" w:space="0" w:color="auto"/>
            <w:left w:val="none" w:sz="0" w:space="0" w:color="auto"/>
            <w:bottom w:val="none" w:sz="0" w:space="0" w:color="auto"/>
            <w:right w:val="none" w:sz="0" w:space="0" w:color="auto"/>
          </w:divBdr>
        </w:div>
        <w:div w:id="1568613990">
          <w:marLeft w:val="0"/>
          <w:marRight w:val="0"/>
          <w:marTop w:val="0"/>
          <w:marBottom w:val="0"/>
          <w:divBdr>
            <w:top w:val="none" w:sz="0" w:space="0" w:color="auto"/>
            <w:left w:val="none" w:sz="0" w:space="0" w:color="auto"/>
            <w:bottom w:val="none" w:sz="0" w:space="0" w:color="auto"/>
            <w:right w:val="none" w:sz="0" w:space="0" w:color="auto"/>
          </w:divBdr>
        </w:div>
        <w:div w:id="807093187">
          <w:marLeft w:val="0"/>
          <w:marRight w:val="0"/>
          <w:marTop w:val="0"/>
          <w:marBottom w:val="0"/>
          <w:divBdr>
            <w:top w:val="none" w:sz="0" w:space="0" w:color="auto"/>
            <w:left w:val="none" w:sz="0" w:space="0" w:color="auto"/>
            <w:bottom w:val="none" w:sz="0" w:space="0" w:color="auto"/>
            <w:right w:val="none" w:sz="0" w:space="0" w:color="auto"/>
          </w:divBdr>
        </w:div>
        <w:div w:id="833646079">
          <w:marLeft w:val="0"/>
          <w:marRight w:val="0"/>
          <w:marTop w:val="0"/>
          <w:marBottom w:val="0"/>
          <w:divBdr>
            <w:top w:val="none" w:sz="0" w:space="0" w:color="auto"/>
            <w:left w:val="none" w:sz="0" w:space="0" w:color="auto"/>
            <w:bottom w:val="none" w:sz="0" w:space="0" w:color="auto"/>
            <w:right w:val="none" w:sz="0" w:space="0" w:color="auto"/>
          </w:divBdr>
        </w:div>
        <w:div w:id="1980308451">
          <w:marLeft w:val="0"/>
          <w:marRight w:val="0"/>
          <w:marTop w:val="0"/>
          <w:marBottom w:val="0"/>
          <w:divBdr>
            <w:top w:val="none" w:sz="0" w:space="0" w:color="auto"/>
            <w:left w:val="none" w:sz="0" w:space="0" w:color="auto"/>
            <w:bottom w:val="none" w:sz="0" w:space="0" w:color="auto"/>
            <w:right w:val="none" w:sz="0" w:space="0" w:color="auto"/>
          </w:divBdr>
        </w:div>
        <w:div w:id="1636370235">
          <w:marLeft w:val="0"/>
          <w:marRight w:val="0"/>
          <w:marTop w:val="0"/>
          <w:marBottom w:val="0"/>
          <w:divBdr>
            <w:top w:val="none" w:sz="0" w:space="0" w:color="auto"/>
            <w:left w:val="none" w:sz="0" w:space="0" w:color="auto"/>
            <w:bottom w:val="none" w:sz="0" w:space="0" w:color="auto"/>
            <w:right w:val="none" w:sz="0" w:space="0" w:color="auto"/>
          </w:divBdr>
        </w:div>
        <w:div w:id="1669089114">
          <w:marLeft w:val="0"/>
          <w:marRight w:val="0"/>
          <w:marTop w:val="0"/>
          <w:marBottom w:val="0"/>
          <w:divBdr>
            <w:top w:val="none" w:sz="0" w:space="0" w:color="auto"/>
            <w:left w:val="none" w:sz="0" w:space="0" w:color="auto"/>
            <w:bottom w:val="none" w:sz="0" w:space="0" w:color="auto"/>
            <w:right w:val="none" w:sz="0" w:space="0" w:color="auto"/>
          </w:divBdr>
        </w:div>
        <w:div w:id="1744523676">
          <w:marLeft w:val="0"/>
          <w:marRight w:val="0"/>
          <w:marTop w:val="0"/>
          <w:marBottom w:val="0"/>
          <w:divBdr>
            <w:top w:val="none" w:sz="0" w:space="0" w:color="auto"/>
            <w:left w:val="none" w:sz="0" w:space="0" w:color="auto"/>
            <w:bottom w:val="none" w:sz="0" w:space="0" w:color="auto"/>
            <w:right w:val="none" w:sz="0" w:space="0" w:color="auto"/>
          </w:divBdr>
        </w:div>
        <w:div w:id="1880896130">
          <w:marLeft w:val="0"/>
          <w:marRight w:val="0"/>
          <w:marTop w:val="0"/>
          <w:marBottom w:val="0"/>
          <w:divBdr>
            <w:top w:val="none" w:sz="0" w:space="0" w:color="auto"/>
            <w:left w:val="none" w:sz="0" w:space="0" w:color="auto"/>
            <w:bottom w:val="none" w:sz="0" w:space="0" w:color="auto"/>
            <w:right w:val="none" w:sz="0" w:space="0" w:color="auto"/>
          </w:divBdr>
        </w:div>
      </w:divsChild>
    </w:div>
    <w:div w:id="848954068">
      <w:bodyDiv w:val="1"/>
      <w:marLeft w:val="0"/>
      <w:marRight w:val="0"/>
      <w:marTop w:val="0"/>
      <w:marBottom w:val="0"/>
      <w:divBdr>
        <w:top w:val="none" w:sz="0" w:space="0" w:color="auto"/>
        <w:left w:val="none" w:sz="0" w:space="0" w:color="auto"/>
        <w:bottom w:val="none" w:sz="0" w:space="0" w:color="auto"/>
        <w:right w:val="none" w:sz="0" w:space="0" w:color="auto"/>
      </w:divBdr>
    </w:div>
    <w:div w:id="988289582">
      <w:bodyDiv w:val="1"/>
      <w:marLeft w:val="0"/>
      <w:marRight w:val="0"/>
      <w:marTop w:val="0"/>
      <w:marBottom w:val="0"/>
      <w:divBdr>
        <w:top w:val="none" w:sz="0" w:space="0" w:color="auto"/>
        <w:left w:val="none" w:sz="0" w:space="0" w:color="auto"/>
        <w:bottom w:val="none" w:sz="0" w:space="0" w:color="auto"/>
        <w:right w:val="none" w:sz="0" w:space="0" w:color="auto"/>
      </w:divBdr>
    </w:div>
    <w:div w:id="1106920724">
      <w:bodyDiv w:val="1"/>
      <w:marLeft w:val="0"/>
      <w:marRight w:val="0"/>
      <w:marTop w:val="0"/>
      <w:marBottom w:val="0"/>
      <w:divBdr>
        <w:top w:val="none" w:sz="0" w:space="0" w:color="auto"/>
        <w:left w:val="none" w:sz="0" w:space="0" w:color="auto"/>
        <w:bottom w:val="none" w:sz="0" w:space="0" w:color="auto"/>
        <w:right w:val="none" w:sz="0" w:space="0" w:color="auto"/>
      </w:divBdr>
    </w:div>
    <w:div w:id="1117026960">
      <w:bodyDiv w:val="1"/>
      <w:marLeft w:val="0"/>
      <w:marRight w:val="0"/>
      <w:marTop w:val="0"/>
      <w:marBottom w:val="0"/>
      <w:divBdr>
        <w:top w:val="none" w:sz="0" w:space="0" w:color="auto"/>
        <w:left w:val="none" w:sz="0" w:space="0" w:color="auto"/>
        <w:bottom w:val="none" w:sz="0" w:space="0" w:color="auto"/>
        <w:right w:val="none" w:sz="0" w:space="0" w:color="auto"/>
      </w:divBdr>
    </w:div>
    <w:div w:id="1274091948">
      <w:bodyDiv w:val="1"/>
      <w:marLeft w:val="0"/>
      <w:marRight w:val="0"/>
      <w:marTop w:val="0"/>
      <w:marBottom w:val="0"/>
      <w:divBdr>
        <w:top w:val="none" w:sz="0" w:space="0" w:color="auto"/>
        <w:left w:val="none" w:sz="0" w:space="0" w:color="auto"/>
        <w:bottom w:val="none" w:sz="0" w:space="0" w:color="auto"/>
        <w:right w:val="none" w:sz="0" w:space="0" w:color="auto"/>
      </w:divBdr>
    </w:div>
    <w:div w:id="1280604603">
      <w:bodyDiv w:val="1"/>
      <w:marLeft w:val="0"/>
      <w:marRight w:val="0"/>
      <w:marTop w:val="0"/>
      <w:marBottom w:val="0"/>
      <w:divBdr>
        <w:top w:val="none" w:sz="0" w:space="0" w:color="auto"/>
        <w:left w:val="none" w:sz="0" w:space="0" w:color="auto"/>
        <w:bottom w:val="none" w:sz="0" w:space="0" w:color="auto"/>
        <w:right w:val="none" w:sz="0" w:space="0" w:color="auto"/>
      </w:divBdr>
    </w:div>
    <w:div w:id="1317880190">
      <w:bodyDiv w:val="1"/>
      <w:marLeft w:val="0"/>
      <w:marRight w:val="0"/>
      <w:marTop w:val="0"/>
      <w:marBottom w:val="0"/>
      <w:divBdr>
        <w:top w:val="none" w:sz="0" w:space="0" w:color="auto"/>
        <w:left w:val="none" w:sz="0" w:space="0" w:color="auto"/>
        <w:bottom w:val="none" w:sz="0" w:space="0" w:color="auto"/>
        <w:right w:val="none" w:sz="0" w:space="0" w:color="auto"/>
      </w:divBdr>
      <w:divsChild>
        <w:div w:id="2097944836">
          <w:marLeft w:val="0"/>
          <w:marRight w:val="0"/>
          <w:marTop w:val="0"/>
          <w:marBottom w:val="0"/>
          <w:divBdr>
            <w:top w:val="none" w:sz="0" w:space="0" w:color="auto"/>
            <w:left w:val="none" w:sz="0" w:space="0" w:color="auto"/>
            <w:bottom w:val="none" w:sz="0" w:space="0" w:color="auto"/>
            <w:right w:val="none" w:sz="0" w:space="0" w:color="auto"/>
          </w:divBdr>
        </w:div>
        <w:div w:id="1268736091">
          <w:marLeft w:val="0"/>
          <w:marRight w:val="0"/>
          <w:marTop w:val="0"/>
          <w:marBottom w:val="0"/>
          <w:divBdr>
            <w:top w:val="none" w:sz="0" w:space="0" w:color="auto"/>
            <w:left w:val="none" w:sz="0" w:space="0" w:color="auto"/>
            <w:bottom w:val="none" w:sz="0" w:space="0" w:color="auto"/>
            <w:right w:val="none" w:sz="0" w:space="0" w:color="auto"/>
          </w:divBdr>
        </w:div>
        <w:div w:id="408236114">
          <w:marLeft w:val="0"/>
          <w:marRight w:val="0"/>
          <w:marTop w:val="0"/>
          <w:marBottom w:val="0"/>
          <w:divBdr>
            <w:top w:val="none" w:sz="0" w:space="0" w:color="auto"/>
            <w:left w:val="none" w:sz="0" w:space="0" w:color="auto"/>
            <w:bottom w:val="none" w:sz="0" w:space="0" w:color="auto"/>
            <w:right w:val="none" w:sz="0" w:space="0" w:color="auto"/>
          </w:divBdr>
        </w:div>
        <w:div w:id="1199851092">
          <w:marLeft w:val="0"/>
          <w:marRight w:val="0"/>
          <w:marTop w:val="0"/>
          <w:marBottom w:val="0"/>
          <w:divBdr>
            <w:top w:val="none" w:sz="0" w:space="0" w:color="auto"/>
            <w:left w:val="none" w:sz="0" w:space="0" w:color="auto"/>
            <w:bottom w:val="none" w:sz="0" w:space="0" w:color="auto"/>
            <w:right w:val="none" w:sz="0" w:space="0" w:color="auto"/>
          </w:divBdr>
        </w:div>
        <w:div w:id="779573233">
          <w:marLeft w:val="0"/>
          <w:marRight w:val="0"/>
          <w:marTop w:val="0"/>
          <w:marBottom w:val="0"/>
          <w:divBdr>
            <w:top w:val="none" w:sz="0" w:space="0" w:color="auto"/>
            <w:left w:val="none" w:sz="0" w:space="0" w:color="auto"/>
            <w:bottom w:val="none" w:sz="0" w:space="0" w:color="auto"/>
            <w:right w:val="none" w:sz="0" w:space="0" w:color="auto"/>
          </w:divBdr>
        </w:div>
        <w:div w:id="1841701482">
          <w:marLeft w:val="0"/>
          <w:marRight w:val="0"/>
          <w:marTop w:val="0"/>
          <w:marBottom w:val="0"/>
          <w:divBdr>
            <w:top w:val="none" w:sz="0" w:space="0" w:color="auto"/>
            <w:left w:val="none" w:sz="0" w:space="0" w:color="auto"/>
            <w:bottom w:val="none" w:sz="0" w:space="0" w:color="auto"/>
            <w:right w:val="none" w:sz="0" w:space="0" w:color="auto"/>
          </w:divBdr>
        </w:div>
        <w:div w:id="1118452711">
          <w:marLeft w:val="0"/>
          <w:marRight w:val="0"/>
          <w:marTop w:val="0"/>
          <w:marBottom w:val="0"/>
          <w:divBdr>
            <w:top w:val="none" w:sz="0" w:space="0" w:color="auto"/>
            <w:left w:val="none" w:sz="0" w:space="0" w:color="auto"/>
            <w:bottom w:val="none" w:sz="0" w:space="0" w:color="auto"/>
            <w:right w:val="none" w:sz="0" w:space="0" w:color="auto"/>
          </w:divBdr>
        </w:div>
        <w:div w:id="466552830">
          <w:marLeft w:val="0"/>
          <w:marRight w:val="0"/>
          <w:marTop w:val="0"/>
          <w:marBottom w:val="0"/>
          <w:divBdr>
            <w:top w:val="none" w:sz="0" w:space="0" w:color="auto"/>
            <w:left w:val="none" w:sz="0" w:space="0" w:color="auto"/>
            <w:bottom w:val="none" w:sz="0" w:space="0" w:color="auto"/>
            <w:right w:val="none" w:sz="0" w:space="0" w:color="auto"/>
          </w:divBdr>
        </w:div>
        <w:div w:id="926234372">
          <w:marLeft w:val="0"/>
          <w:marRight w:val="0"/>
          <w:marTop w:val="0"/>
          <w:marBottom w:val="0"/>
          <w:divBdr>
            <w:top w:val="none" w:sz="0" w:space="0" w:color="auto"/>
            <w:left w:val="none" w:sz="0" w:space="0" w:color="auto"/>
            <w:bottom w:val="none" w:sz="0" w:space="0" w:color="auto"/>
            <w:right w:val="none" w:sz="0" w:space="0" w:color="auto"/>
          </w:divBdr>
        </w:div>
        <w:div w:id="566187552">
          <w:marLeft w:val="0"/>
          <w:marRight w:val="0"/>
          <w:marTop w:val="0"/>
          <w:marBottom w:val="0"/>
          <w:divBdr>
            <w:top w:val="none" w:sz="0" w:space="0" w:color="auto"/>
            <w:left w:val="none" w:sz="0" w:space="0" w:color="auto"/>
            <w:bottom w:val="none" w:sz="0" w:space="0" w:color="auto"/>
            <w:right w:val="none" w:sz="0" w:space="0" w:color="auto"/>
          </w:divBdr>
        </w:div>
        <w:div w:id="736124519">
          <w:marLeft w:val="0"/>
          <w:marRight w:val="0"/>
          <w:marTop w:val="0"/>
          <w:marBottom w:val="0"/>
          <w:divBdr>
            <w:top w:val="none" w:sz="0" w:space="0" w:color="auto"/>
            <w:left w:val="none" w:sz="0" w:space="0" w:color="auto"/>
            <w:bottom w:val="none" w:sz="0" w:space="0" w:color="auto"/>
            <w:right w:val="none" w:sz="0" w:space="0" w:color="auto"/>
          </w:divBdr>
        </w:div>
        <w:div w:id="1134717051">
          <w:marLeft w:val="0"/>
          <w:marRight w:val="0"/>
          <w:marTop w:val="0"/>
          <w:marBottom w:val="0"/>
          <w:divBdr>
            <w:top w:val="none" w:sz="0" w:space="0" w:color="auto"/>
            <w:left w:val="none" w:sz="0" w:space="0" w:color="auto"/>
            <w:bottom w:val="none" w:sz="0" w:space="0" w:color="auto"/>
            <w:right w:val="none" w:sz="0" w:space="0" w:color="auto"/>
          </w:divBdr>
        </w:div>
        <w:div w:id="1525174944">
          <w:marLeft w:val="0"/>
          <w:marRight w:val="0"/>
          <w:marTop w:val="0"/>
          <w:marBottom w:val="0"/>
          <w:divBdr>
            <w:top w:val="none" w:sz="0" w:space="0" w:color="auto"/>
            <w:left w:val="none" w:sz="0" w:space="0" w:color="auto"/>
            <w:bottom w:val="none" w:sz="0" w:space="0" w:color="auto"/>
            <w:right w:val="none" w:sz="0" w:space="0" w:color="auto"/>
          </w:divBdr>
        </w:div>
        <w:div w:id="1782258184">
          <w:marLeft w:val="0"/>
          <w:marRight w:val="0"/>
          <w:marTop w:val="0"/>
          <w:marBottom w:val="0"/>
          <w:divBdr>
            <w:top w:val="none" w:sz="0" w:space="0" w:color="auto"/>
            <w:left w:val="none" w:sz="0" w:space="0" w:color="auto"/>
            <w:bottom w:val="none" w:sz="0" w:space="0" w:color="auto"/>
            <w:right w:val="none" w:sz="0" w:space="0" w:color="auto"/>
          </w:divBdr>
        </w:div>
        <w:div w:id="659120136">
          <w:marLeft w:val="0"/>
          <w:marRight w:val="0"/>
          <w:marTop w:val="0"/>
          <w:marBottom w:val="0"/>
          <w:divBdr>
            <w:top w:val="none" w:sz="0" w:space="0" w:color="auto"/>
            <w:left w:val="none" w:sz="0" w:space="0" w:color="auto"/>
            <w:bottom w:val="none" w:sz="0" w:space="0" w:color="auto"/>
            <w:right w:val="none" w:sz="0" w:space="0" w:color="auto"/>
          </w:divBdr>
        </w:div>
        <w:div w:id="696346392">
          <w:marLeft w:val="0"/>
          <w:marRight w:val="0"/>
          <w:marTop w:val="0"/>
          <w:marBottom w:val="0"/>
          <w:divBdr>
            <w:top w:val="none" w:sz="0" w:space="0" w:color="auto"/>
            <w:left w:val="none" w:sz="0" w:space="0" w:color="auto"/>
            <w:bottom w:val="none" w:sz="0" w:space="0" w:color="auto"/>
            <w:right w:val="none" w:sz="0" w:space="0" w:color="auto"/>
          </w:divBdr>
        </w:div>
        <w:div w:id="470908044">
          <w:marLeft w:val="0"/>
          <w:marRight w:val="0"/>
          <w:marTop w:val="0"/>
          <w:marBottom w:val="0"/>
          <w:divBdr>
            <w:top w:val="none" w:sz="0" w:space="0" w:color="auto"/>
            <w:left w:val="none" w:sz="0" w:space="0" w:color="auto"/>
            <w:bottom w:val="none" w:sz="0" w:space="0" w:color="auto"/>
            <w:right w:val="none" w:sz="0" w:space="0" w:color="auto"/>
          </w:divBdr>
        </w:div>
        <w:div w:id="821509643">
          <w:marLeft w:val="0"/>
          <w:marRight w:val="0"/>
          <w:marTop w:val="0"/>
          <w:marBottom w:val="0"/>
          <w:divBdr>
            <w:top w:val="none" w:sz="0" w:space="0" w:color="auto"/>
            <w:left w:val="none" w:sz="0" w:space="0" w:color="auto"/>
            <w:bottom w:val="none" w:sz="0" w:space="0" w:color="auto"/>
            <w:right w:val="none" w:sz="0" w:space="0" w:color="auto"/>
          </w:divBdr>
        </w:div>
        <w:div w:id="870729213">
          <w:marLeft w:val="0"/>
          <w:marRight w:val="0"/>
          <w:marTop w:val="0"/>
          <w:marBottom w:val="0"/>
          <w:divBdr>
            <w:top w:val="none" w:sz="0" w:space="0" w:color="auto"/>
            <w:left w:val="none" w:sz="0" w:space="0" w:color="auto"/>
            <w:bottom w:val="none" w:sz="0" w:space="0" w:color="auto"/>
            <w:right w:val="none" w:sz="0" w:space="0" w:color="auto"/>
          </w:divBdr>
        </w:div>
        <w:div w:id="91752474">
          <w:marLeft w:val="0"/>
          <w:marRight w:val="0"/>
          <w:marTop w:val="0"/>
          <w:marBottom w:val="0"/>
          <w:divBdr>
            <w:top w:val="none" w:sz="0" w:space="0" w:color="auto"/>
            <w:left w:val="none" w:sz="0" w:space="0" w:color="auto"/>
            <w:bottom w:val="none" w:sz="0" w:space="0" w:color="auto"/>
            <w:right w:val="none" w:sz="0" w:space="0" w:color="auto"/>
          </w:divBdr>
        </w:div>
        <w:div w:id="1225332082">
          <w:marLeft w:val="0"/>
          <w:marRight w:val="0"/>
          <w:marTop w:val="0"/>
          <w:marBottom w:val="0"/>
          <w:divBdr>
            <w:top w:val="none" w:sz="0" w:space="0" w:color="auto"/>
            <w:left w:val="none" w:sz="0" w:space="0" w:color="auto"/>
            <w:bottom w:val="none" w:sz="0" w:space="0" w:color="auto"/>
            <w:right w:val="none" w:sz="0" w:space="0" w:color="auto"/>
          </w:divBdr>
        </w:div>
        <w:div w:id="1456020682">
          <w:marLeft w:val="0"/>
          <w:marRight w:val="0"/>
          <w:marTop w:val="0"/>
          <w:marBottom w:val="0"/>
          <w:divBdr>
            <w:top w:val="none" w:sz="0" w:space="0" w:color="auto"/>
            <w:left w:val="none" w:sz="0" w:space="0" w:color="auto"/>
            <w:bottom w:val="none" w:sz="0" w:space="0" w:color="auto"/>
            <w:right w:val="none" w:sz="0" w:space="0" w:color="auto"/>
          </w:divBdr>
        </w:div>
        <w:div w:id="2053727572">
          <w:marLeft w:val="0"/>
          <w:marRight w:val="0"/>
          <w:marTop w:val="0"/>
          <w:marBottom w:val="0"/>
          <w:divBdr>
            <w:top w:val="none" w:sz="0" w:space="0" w:color="auto"/>
            <w:left w:val="none" w:sz="0" w:space="0" w:color="auto"/>
            <w:bottom w:val="none" w:sz="0" w:space="0" w:color="auto"/>
            <w:right w:val="none" w:sz="0" w:space="0" w:color="auto"/>
          </w:divBdr>
        </w:div>
        <w:div w:id="4792532">
          <w:marLeft w:val="0"/>
          <w:marRight w:val="0"/>
          <w:marTop w:val="0"/>
          <w:marBottom w:val="0"/>
          <w:divBdr>
            <w:top w:val="none" w:sz="0" w:space="0" w:color="auto"/>
            <w:left w:val="none" w:sz="0" w:space="0" w:color="auto"/>
            <w:bottom w:val="none" w:sz="0" w:space="0" w:color="auto"/>
            <w:right w:val="none" w:sz="0" w:space="0" w:color="auto"/>
          </w:divBdr>
        </w:div>
        <w:div w:id="23092563">
          <w:marLeft w:val="0"/>
          <w:marRight w:val="0"/>
          <w:marTop w:val="0"/>
          <w:marBottom w:val="0"/>
          <w:divBdr>
            <w:top w:val="none" w:sz="0" w:space="0" w:color="auto"/>
            <w:left w:val="none" w:sz="0" w:space="0" w:color="auto"/>
            <w:bottom w:val="none" w:sz="0" w:space="0" w:color="auto"/>
            <w:right w:val="none" w:sz="0" w:space="0" w:color="auto"/>
          </w:divBdr>
        </w:div>
      </w:divsChild>
    </w:div>
    <w:div w:id="1497839274">
      <w:bodyDiv w:val="1"/>
      <w:marLeft w:val="0"/>
      <w:marRight w:val="0"/>
      <w:marTop w:val="0"/>
      <w:marBottom w:val="0"/>
      <w:divBdr>
        <w:top w:val="none" w:sz="0" w:space="0" w:color="auto"/>
        <w:left w:val="none" w:sz="0" w:space="0" w:color="auto"/>
        <w:bottom w:val="none" w:sz="0" w:space="0" w:color="auto"/>
        <w:right w:val="none" w:sz="0" w:space="0" w:color="auto"/>
      </w:divBdr>
      <w:divsChild>
        <w:div w:id="736174993">
          <w:marLeft w:val="0"/>
          <w:marRight w:val="0"/>
          <w:marTop w:val="0"/>
          <w:marBottom w:val="0"/>
          <w:divBdr>
            <w:top w:val="none" w:sz="0" w:space="0" w:color="auto"/>
            <w:left w:val="none" w:sz="0" w:space="0" w:color="auto"/>
            <w:bottom w:val="none" w:sz="0" w:space="0" w:color="auto"/>
            <w:right w:val="none" w:sz="0" w:space="0" w:color="auto"/>
          </w:divBdr>
        </w:div>
        <w:div w:id="2007048171">
          <w:marLeft w:val="0"/>
          <w:marRight w:val="0"/>
          <w:marTop w:val="0"/>
          <w:marBottom w:val="0"/>
          <w:divBdr>
            <w:top w:val="none" w:sz="0" w:space="0" w:color="auto"/>
            <w:left w:val="none" w:sz="0" w:space="0" w:color="auto"/>
            <w:bottom w:val="none" w:sz="0" w:space="0" w:color="auto"/>
            <w:right w:val="none" w:sz="0" w:space="0" w:color="auto"/>
          </w:divBdr>
        </w:div>
        <w:div w:id="264046601">
          <w:marLeft w:val="0"/>
          <w:marRight w:val="0"/>
          <w:marTop w:val="0"/>
          <w:marBottom w:val="0"/>
          <w:divBdr>
            <w:top w:val="none" w:sz="0" w:space="0" w:color="auto"/>
            <w:left w:val="none" w:sz="0" w:space="0" w:color="auto"/>
            <w:bottom w:val="none" w:sz="0" w:space="0" w:color="auto"/>
            <w:right w:val="none" w:sz="0" w:space="0" w:color="auto"/>
          </w:divBdr>
        </w:div>
        <w:div w:id="1495299743">
          <w:marLeft w:val="0"/>
          <w:marRight w:val="0"/>
          <w:marTop w:val="0"/>
          <w:marBottom w:val="0"/>
          <w:divBdr>
            <w:top w:val="none" w:sz="0" w:space="0" w:color="auto"/>
            <w:left w:val="none" w:sz="0" w:space="0" w:color="auto"/>
            <w:bottom w:val="none" w:sz="0" w:space="0" w:color="auto"/>
            <w:right w:val="none" w:sz="0" w:space="0" w:color="auto"/>
          </w:divBdr>
        </w:div>
      </w:divsChild>
    </w:div>
    <w:div w:id="1568028511">
      <w:bodyDiv w:val="1"/>
      <w:marLeft w:val="0"/>
      <w:marRight w:val="0"/>
      <w:marTop w:val="0"/>
      <w:marBottom w:val="0"/>
      <w:divBdr>
        <w:top w:val="none" w:sz="0" w:space="0" w:color="auto"/>
        <w:left w:val="none" w:sz="0" w:space="0" w:color="auto"/>
        <w:bottom w:val="none" w:sz="0" w:space="0" w:color="auto"/>
        <w:right w:val="none" w:sz="0" w:space="0" w:color="auto"/>
      </w:divBdr>
    </w:div>
    <w:div w:id="1605335462">
      <w:bodyDiv w:val="1"/>
      <w:marLeft w:val="0"/>
      <w:marRight w:val="0"/>
      <w:marTop w:val="0"/>
      <w:marBottom w:val="0"/>
      <w:divBdr>
        <w:top w:val="none" w:sz="0" w:space="0" w:color="auto"/>
        <w:left w:val="none" w:sz="0" w:space="0" w:color="auto"/>
        <w:bottom w:val="none" w:sz="0" w:space="0" w:color="auto"/>
        <w:right w:val="none" w:sz="0" w:space="0" w:color="auto"/>
      </w:divBdr>
    </w:div>
    <w:div w:id="1615405879">
      <w:bodyDiv w:val="1"/>
      <w:marLeft w:val="0"/>
      <w:marRight w:val="0"/>
      <w:marTop w:val="0"/>
      <w:marBottom w:val="0"/>
      <w:divBdr>
        <w:top w:val="none" w:sz="0" w:space="0" w:color="auto"/>
        <w:left w:val="none" w:sz="0" w:space="0" w:color="auto"/>
        <w:bottom w:val="none" w:sz="0" w:space="0" w:color="auto"/>
        <w:right w:val="none" w:sz="0" w:space="0" w:color="auto"/>
      </w:divBdr>
    </w:div>
    <w:div w:id="1676377963">
      <w:bodyDiv w:val="1"/>
      <w:marLeft w:val="0"/>
      <w:marRight w:val="0"/>
      <w:marTop w:val="0"/>
      <w:marBottom w:val="0"/>
      <w:divBdr>
        <w:top w:val="none" w:sz="0" w:space="0" w:color="auto"/>
        <w:left w:val="none" w:sz="0" w:space="0" w:color="auto"/>
        <w:bottom w:val="none" w:sz="0" w:space="0" w:color="auto"/>
        <w:right w:val="none" w:sz="0" w:space="0" w:color="auto"/>
      </w:divBdr>
    </w:div>
    <w:div w:id="1681814296">
      <w:bodyDiv w:val="1"/>
      <w:marLeft w:val="0"/>
      <w:marRight w:val="0"/>
      <w:marTop w:val="0"/>
      <w:marBottom w:val="0"/>
      <w:divBdr>
        <w:top w:val="none" w:sz="0" w:space="0" w:color="auto"/>
        <w:left w:val="none" w:sz="0" w:space="0" w:color="auto"/>
        <w:bottom w:val="none" w:sz="0" w:space="0" w:color="auto"/>
        <w:right w:val="none" w:sz="0" w:space="0" w:color="auto"/>
      </w:divBdr>
      <w:divsChild>
        <w:div w:id="445202653">
          <w:marLeft w:val="0"/>
          <w:marRight w:val="0"/>
          <w:marTop w:val="0"/>
          <w:marBottom w:val="0"/>
          <w:divBdr>
            <w:top w:val="none" w:sz="0" w:space="0" w:color="auto"/>
            <w:left w:val="none" w:sz="0" w:space="0" w:color="auto"/>
            <w:bottom w:val="none" w:sz="0" w:space="0" w:color="auto"/>
            <w:right w:val="none" w:sz="0" w:space="0" w:color="auto"/>
          </w:divBdr>
        </w:div>
        <w:div w:id="2116972019">
          <w:marLeft w:val="0"/>
          <w:marRight w:val="0"/>
          <w:marTop w:val="0"/>
          <w:marBottom w:val="0"/>
          <w:divBdr>
            <w:top w:val="none" w:sz="0" w:space="0" w:color="auto"/>
            <w:left w:val="none" w:sz="0" w:space="0" w:color="auto"/>
            <w:bottom w:val="none" w:sz="0" w:space="0" w:color="auto"/>
            <w:right w:val="none" w:sz="0" w:space="0" w:color="auto"/>
          </w:divBdr>
        </w:div>
        <w:div w:id="795563463">
          <w:marLeft w:val="0"/>
          <w:marRight w:val="0"/>
          <w:marTop w:val="0"/>
          <w:marBottom w:val="0"/>
          <w:divBdr>
            <w:top w:val="none" w:sz="0" w:space="0" w:color="auto"/>
            <w:left w:val="none" w:sz="0" w:space="0" w:color="auto"/>
            <w:bottom w:val="none" w:sz="0" w:space="0" w:color="auto"/>
            <w:right w:val="none" w:sz="0" w:space="0" w:color="auto"/>
          </w:divBdr>
        </w:div>
        <w:div w:id="1633170181">
          <w:marLeft w:val="0"/>
          <w:marRight w:val="0"/>
          <w:marTop w:val="0"/>
          <w:marBottom w:val="0"/>
          <w:divBdr>
            <w:top w:val="none" w:sz="0" w:space="0" w:color="auto"/>
            <w:left w:val="none" w:sz="0" w:space="0" w:color="auto"/>
            <w:bottom w:val="none" w:sz="0" w:space="0" w:color="auto"/>
            <w:right w:val="none" w:sz="0" w:space="0" w:color="auto"/>
          </w:divBdr>
        </w:div>
      </w:divsChild>
    </w:div>
    <w:div w:id="1696078686">
      <w:bodyDiv w:val="1"/>
      <w:marLeft w:val="0"/>
      <w:marRight w:val="0"/>
      <w:marTop w:val="0"/>
      <w:marBottom w:val="0"/>
      <w:divBdr>
        <w:top w:val="none" w:sz="0" w:space="0" w:color="auto"/>
        <w:left w:val="none" w:sz="0" w:space="0" w:color="auto"/>
        <w:bottom w:val="none" w:sz="0" w:space="0" w:color="auto"/>
        <w:right w:val="none" w:sz="0" w:space="0" w:color="auto"/>
      </w:divBdr>
    </w:div>
    <w:div w:id="1785729225">
      <w:bodyDiv w:val="1"/>
      <w:marLeft w:val="0"/>
      <w:marRight w:val="0"/>
      <w:marTop w:val="0"/>
      <w:marBottom w:val="0"/>
      <w:divBdr>
        <w:top w:val="none" w:sz="0" w:space="0" w:color="auto"/>
        <w:left w:val="none" w:sz="0" w:space="0" w:color="auto"/>
        <w:bottom w:val="none" w:sz="0" w:space="0" w:color="auto"/>
        <w:right w:val="none" w:sz="0" w:space="0" w:color="auto"/>
      </w:divBdr>
    </w:div>
    <w:div w:id="1830898323">
      <w:bodyDiv w:val="1"/>
      <w:marLeft w:val="0"/>
      <w:marRight w:val="0"/>
      <w:marTop w:val="0"/>
      <w:marBottom w:val="0"/>
      <w:divBdr>
        <w:top w:val="none" w:sz="0" w:space="0" w:color="auto"/>
        <w:left w:val="none" w:sz="0" w:space="0" w:color="auto"/>
        <w:bottom w:val="none" w:sz="0" w:space="0" w:color="auto"/>
        <w:right w:val="none" w:sz="0" w:space="0" w:color="auto"/>
      </w:divBdr>
    </w:div>
    <w:div w:id="20834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novo\Desktop\&#22270;-&#24213;&#3129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enovo\Desktop\&#22270;-&#24213;&#31295;.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Sheet3!$B$1</c:f>
              <c:strCache>
                <c:ptCount val="1"/>
                <c:pt idx="0">
                  <c:v>规模（亿元）</c:v>
                </c:pt>
              </c:strCache>
            </c:strRef>
          </c:tx>
          <c:spPr>
            <a:solidFill>
              <a:srgbClr val="002060"/>
            </a:solidFill>
            <a:ln>
              <a:noFill/>
            </a:ln>
            <a:effectLst/>
          </c:spPr>
          <c:invertIfNegative val="0"/>
          <c:dLbls>
            <c:dLbl>
              <c:idx val="4"/>
              <c:layout>
                <c:manualLayout>
                  <c:x val="-1.0185067526415994E-16"/>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FC6-4D31-9D8E-D587D9E55EAA}"/>
                </c:ext>
              </c:extLst>
            </c:dLbl>
            <c:numFmt formatCode="#,##0.0_);[Red]\(#,##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0">
                  <c:v>2016</c:v>
                </c:pt>
                <c:pt idx="1">
                  <c:v>2017</c:v>
                </c:pt>
                <c:pt idx="2">
                  <c:v>2018</c:v>
                </c:pt>
                <c:pt idx="3">
                  <c:v>2019</c:v>
                </c:pt>
                <c:pt idx="4">
                  <c:v>2020E</c:v>
                </c:pt>
                <c:pt idx="5">
                  <c:v>2021E</c:v>
                </c:pt>
                <c:pt idx="6">
                  <c:v>2022E</c:v>
                </c:pt>
              </c:strCache>
            </c:strRef>
          </c:cat>
          <c:val>
            <c:numRef>
              <c:f>Sheet3!$B$2:$B$8</c:f>
              <c:numCache>
                <c:formatCode>General</c:formatCode>
                <c:ptCount val="7"/>
                <c:pt idx="0">
                  <c:v>714.5</c:v>
                </c:pt>
                <c:pt idx="1">
                  <c:v>946.1</c:v>
                </c:pt>
                <c:pt idx="2" formatCode="#,##0.00">
                  <c:v>1228</c:v>
                </c:pt>
                <c:pt idx="3" formatCode="#,##0.00">
                  <c:v>1562.5</c:v>
                </c:pt>
                <c:pt idx="4" formatCode="#,##0.00">
                  <c:v>1958.2</c:v>
                </c:pt>
                <c:pt idx="5" formatCode="#,##0.00">
                  <c:v>2485.6999999999998</c:v>
                </c:pt>
                <c:pt idx="6" formatCode="#,##0.00">
                  <c:v>3200.5</c:v>
                </c:pt>
              </c:numCache>
            </c:numRef>
          </c:val>
          <c:extLst xmlns:c16r2="http://schemas.microsoft.com/office/drawing/2015/06/chart">
            <c:ext xmlns:c16="http://schemas.microsoft.com/office/drawing/2014/chart" uri="{C3380CC4-5D6E-409C-BE32-E72D297353CC}">
              <c16:uniqueId val="{00000001-CFC6-4D31-9D8E-D587D9E55EAA}"/>
            </c:ext>
          </c:extLst>
        </c:ser>
        <c:dLbls>
          <c:showLegendKey val="0"/>
          <c:showVal val="0"/>
          <c:showCatName val="0"/>
          <c:showSerName val="0"/>
          <c:showPercent val="0"/>
          <c:showBubbleSize val="0"/>
        </c:dLbls>
        <c:gapWidth val="219"/>
        <c:overlap val="-27"/>
        <c:axId val="288664192"/>
        <c:axId val="288674176"/>
      </c:barChart>
      <c:lineChart>
        <c:grouping val="standard"/>
        <c:varyColors val="0"/>
        <c:ser>
          <c:idx val="1"/>
          <c:order val="1"/>
          <c:tx>
            <c:strRef>
              <c:f>Sheet3!$C$1</c:f>
              <c:strCache>
                <c:ptCount val="1"/>
                <c:pt idx="0">
                  <c:v>同比增长率</c:v>
                </c:pt>
              </c:strCache>
            </c:strRef>
          </c:tx>
          <c:spPr>
            <a:ln w="12700" cap="rnd">
              <a:solidFill>
                <a:srgbClr val="C00000"/>
              </a:solidFill>
              <a:round/>
            </a:ln>
            <a:effectLst/>
          </c:spPr>
          <c:marker>
            <c:symbol val="circle"/>
            <c:size val="2"/>
            <c:spPr>
              <a:solidFill>
                <a:schemeClr val="accent2"/>
              </a:solidFill>
              <a:ln w="9525">
                <a:solidFill>
                  <a:schemeClr val="accent2"/>
                </a:solidFill>
              </a:ln>
              <a:effectLst/>
            </c:spPr>
          </c:marker>
          <c:dLbls>
            <c:dLbl>
              <c:idx val="2"/>
              <c:layout>
                <c:manualLayout>
                  <c:x val="0"/>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FC6-4D31-9D8E-D587D9E55EAA}"/>
                </c:ext>
              </c:extLst>
            </c:dLbl>
            <c:dLbl>
              <c:idx val="3"/>
              <c:layout>
                <c:manualLayout>
                  <c:x val="0"/>
                  <c:y val="-1.38888888888889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FC6-4D31-9D8E-D587D9E55EAA}"/>
                </c:ext>
              </c:extLst>
            </c:dLbl>
            <c:dLbl>
              <c:idx val="4"/>
              <c:layout>
                <c:manualLayout>
                  <c:x val="-1.6666666666666666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FC6-4D31-9D8E-D587D9E55EAA}"/>
                </c:ext>
              </c:extLst>
            </c:dLbl>
            <c:dLbl>
              <c:idx val="5"/>
              <c:layout>
                <c:manualLayout>
                  <c:x val="-2.7777777777777779E-3"/>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FC6-4D31-9D8E-D587D9E55EAA}"/>
                </c:ext>
              </c:extLst>
            </c:dLbl>
            <c:dLbl>
              <c:idx val="6"/>
              <c:layout>
                <c:manualLayout>
                  <c:x val="-2.7777777777778798E-3"/>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FC6-4D31-9D8E-D587D9E55EAA}"/>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Sheet3!$A$2:$A$8</c:f>
              <c:strCache>
                <c:ptCount val="7"/>
                <c:pt idx="0">
                  <c:v>2016</c:v>
                </c:pt>
                <c:pt idx="1">
                  <c:v>2017</c:v>
                </c:pt>
                <c:pt idx="2">
                  <c:v>2018</c:v>
                </c:pt>
                <c:pt idx="3">
                  <c:v>2019</c:v>
                </c:pt>
                <c:pt idx="4">
                  <c:v>2020E</c:v>
                </c:pt>
                <c:pt idx="5">
                  <c:v>2021E</c:v>
                </c:pt>
                <c:pt idx="6">
                  <c:v>2022E</c:v>
                </c:pt>
              </c:strCache>
            </c:strRef>
          </c:cat>
          <c:val>
            <c:numRef>
              <c:f>Sheet3!$C$2:$C$8</c:f>
              <c:numCache>
                <c:formatCode>0.00%</c:formatCode>
                <c:ptCount val="7"/>
                <c:pt idx="0">
                  <c:v>0.378</c:v>
                </c:pt>
                <c:pt idx="1">
                  <c:v>0.32400000000000001</c:v>
                </c:pt>
                <c:pt idx="2">
                  <c:v>0.29799999999999999</c:v>
                </c:pt>
                <c:pt idx="3">
                  <c:v>0.27200000000000002</c:v>
                </c:pt>
                <c:pt idx="4">
                  <c:v>0.253</c:v>
                </c:pt>
                <c:pt idx="5">
                  <c:v>0.26900000000000002</c:v>
                </c:pt>
                <c:pt idx="6">
                  <c:v>0.28799999999999998</c:v>
                </c:pt>
              </c:numCache>
            </c:numRef>
          </c:val>
          <c:smooth val="1"/>
          <c:extLst xmlns:c16r2="http://schemas.microsoft.com/office/drawing/2015/06/chart">
            <c:ext xmlns:c16="http://schemas.microsoft.com/office/drawing/2014/chart" uri="{C3380CC4-5D6E-409C-BE32-E72D297353CC}">
              <c16:uniqueId val="{00000007-CFC6-4D31-9D8E-D587D9E55EAA}"/>
            </c:ext>
          </c:extLst>
        </c:ser>
        <c:dLbls>
          <c:showLegendKey val="0"/>
          <c:showVal val="0"/>
          <c:showCatName val="0"/>
          <c:showSerName val="0"/>
          <c:showPercent val="0"/>
          <c:showBubbleSize val="0"/>
        </c:dLbls>
        <c:marker val="1"/>
        <c:smooth val="0"/>
        <c:axId val="288677248"/>
        <c:axId val="288675712"/>
      </c:lineChart>
      <c:catAx>
        <c:axId val="28866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88674176"/>
        <c:crosses val="autoZero"/>
        <c:auto val="1"/>
        <c:lblAlgn val="ctr"/>
        <c:lblOffset val="100"/>
        <c:noMultiLvlLbl val="0"/>
      </c:catAx>
      <c:valAx>
        <c:axId val="288674176"/>
        <c:scaling>
          <c:orientation val="minMax"/>
        </c:scaling>
        <c:delete val="0"/>
        <c:axPos val="l"/>
        <c:numFmt formatCode="#,##0_ " sourceLinked="0"/>
        <c:majorTickMark val="in"/>
        <c:minorTickMark val="none"/>
        <c:tickLblPos val="nextTo"/>
        <c:spPr>
          <a:noFill/>
          <a:ln>
            <a:solidFill>
              <a:schemeClr val="bg1">
                <a:lumMod val="85000"/>
              </a:schemeClr>
            </a:solidFill>
          </a:ln>
          <a:effectLst>
            <a:outerShdw blurRad="50800" dist="50800" dir="4800000" sx="5000" sy="5000" algn="ctr" rotWithShape="0">
              <a:srgbClr val="000000">
                <a:alpha val="43137"/>
              </a:srgbClr>
            </a:outerShdw>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88664192"/>
        <c:crosses val="autoZero"/>
        <c:crossBetween val="between"/>
      </c:valAx>
      <c:valAx>
        <c:axId val="288675712"/>
        <c:scaling>
          <c:orientation val="minMax"/>
        </c:scaling>
        <c:delete val="0"/>
        <c:axPos val="r"/>
        <c:numFmt formatCode="0%" sourceLinked="0"/>
        <c:majorTickMark val="in"/>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88677248"/>
        <c:crosses val="max"/>
        <c:crossBetween val="between"/>
      </c:valAx>
      <c:catAx>
        <c:axId val="288677248"/>
        <c:scaling>
          <c:orientation val="minMax"/>
        </c:scaling>
        <c:delete val="1"/>
        <c:axPos val="b"/>
        <c:numFmt formatCode="General" sourceLinked="1"/>
        <c:majorTickMark val="none"/>
        <c:minorTickMark val="none"/>
        <c:tickLblPos val="nextTo"/>
        <c:crossAx val="288675712"/>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Sheet6!$B$1</c:f>
              <c:strCache>
                <c:ptCount val="1"/>
                <c:pt idx="0">
                  <c:v>市场规模（亿元）</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Sheet6!$A$2:$A$8</c:f>
              <c:strCache>
                <c:ptCount val="7"/>
                <c:pt idx="0">
                  <c:v>2016</c:v>
                </c:pt>
                <c:pt idx="1">
                  <c:v>2017</c:v>
                </c:pt>
                <c:pt idx="2">
                  <c:v>2018</c:v>
                </c:pt>
                <c:pt idx="3">
                  <c:v>2019E</c:v>
                </c:pt>
                <c:pt idx="4">
                  <c:v>2020E</c:v>
                </c:pt>
                <c:pt idx="5">
                  <c:v>2021E</c:v>
                </c:pt>
                <c:pt idx="6">
                  <c:v>2022E</c:v>
                </c:pt>
              </c:strCache>
            </c:strRef>
          </c:cat>
          <c:val>
            <c:numRef>
              <c:f>Sheet6!$B$2:$B$8</c:f>
              <c:numCache>
                <c:formatCode>General</c:formatCode>
                <c:ptCount val="7"/>
                <c:pt idx="0">
                  <c:v>170.1</c:v>
                </c:pt>
                <c:pt idx="1">
                  <c:v>264.8</c:v>
                </c:pt>
                <c:pt idx="2">
                  <c:v>437.4</c:v>
                </c:pt>
                <c:pt idx="3">
                  <c:v>668.3</c:v>
                </c:pt>
                <c:pt idx="4">
                  <c:v>949.6</c:v>
                </c:pt>
                <c:pt idx="5">
                  <c:v>1297.8</c:v>
                </c:pt>
                <c:pt idx="6">
                  <c:v>1731.3</c:v>
                </c:pt>
              </c:numCache>
            </c:numRef>
          </c:val>
          <c:extLst xmlns:c16r2="http://schemas.microsoft.com/office/drawing/2015/06/chart">
            <c:ext xmlns:c16="http://schemas.microsoft.com/office/drawing/2014/chart" uri="{C3380CC4-5D6E-409C-BE32-E72D297353CC}">
              <c16:uniqueId val="{00000000-1C2E-44B4-91C5-1C18A1E2F69F}"/>
            </c:ext>
          </c:extLst>
        </c:ser>
        <c:dLbls>
          <c:showLegendKey val="0"/>
          <c:showVal val="0"/>
          <c:showCatName val="0"/>
          <c:showSerName val="0"/>
          <c:showPercent val="0"/>
          <c:showBubbleSize val="0"/>
        </c:dLbls>
        <c:gapWidth val="219"/>
        <c:overlap val="-27"/>
        <c:axId val="291932800"/>
        <c:axId val="291938688"/>
      </c:barChart>
      <c:lineChart>
        <c:grouping val="standard"/>
        <c:varyColors val="0"/>
        <c:ser>
          <c:idx val="1"/>
          <c:order val="1"/>
          <c:tx>
            <c:strRef>
              <c:f>Sheet6!$C$1</c:f>
              <c:strCache>
                <c:ptCount val="1"/>
                <c:pt idx="0">
                  <c:v>增长率</c:v>
                </c:pt>
              </c:strCache>
            </c:strRef>
          </c:tx>
          <c:spPr>
            <a:ln w="12700" cap="rnd">
              <a:solidFill>
                <a:srgbClr val="C00000"/>
              </a:solidFill>
              <a:round/>
            </a:ln>
            <a:effectLst/>
          </c:spPr>
          <c:marker>
            <c:symbol val="circle"/>
            <c:size val="2"/>
            <c:spPr>
              <a:solidFill>
                <a:schemeClr val="accent2"/>
              </a:solidFill>
              <a:ln w="9525">
                <a:solidFill>
                  <a:schemeClr val="accent2"/>
                </a:solidFill>
              </a:ln>
              <a:effectLst/>
            </c:spPr>
          </c:marker>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Sheet6!$A$2:$A$8</c:f>
              <c:strCache>
                <c:ptCount val="7"/>
                <c:pt idx="0">
                  <c:v>2016</c:v>
                </c:pt>
                <c:pt idx="1">
                  <c:v>2017</c:v>
                </c:pt>
                <c:pt idx="2">
                  <c:v>2018</c:v>
                </c:pt>
                <c:pt idx="3">
                  <c:v>2019E</c:v>
                </c:pt>
                <c:pt idx="4">
                  <c:v>2020E</c:v>
                </c:pt>
                <c:pt idx="5">
                  <c:v>2021E</c:v>
                </c:pt>
                <c:pt idx="6">
                  <c:v>2022E</c:v>
                </c:pt>
              </c:strCache>
            </c:strRef>
          </c:cat>
          <c:val>
            <c:numRef>
              <c:f>Sheet6!$C$2:$C$8</c:f>
              <c:numCache>
                <c:formatCode>0.00%</c:formatCode>
                <c:ptCount val="7"/>
                <c:pt idx="1">
                  <c:v>0.55700000000000005</c:v>
                </c:pt>
                <c:pt idx="2">
                  <c:v>0.65200000000000002</c:v>
                </c:pt>
                <c:pt idx="3">
                  <c:v>0.52800000000000002</c:v>
                </c:pt>
                <c:pt idx="4">
                  <c:v>0.42099999999999999</c:v>
                </c:pt>
                <c:pt idx="5">
                  <c:v>0.36699999999999999</c:v>
                </c:pt>
                <c:pt idx="6">
                  <c:v>0.33400000000000002</c:v>
                </c:pt>
              </c:numCache>
            </c:numRef>
          </c:val>
          <c:smooth val="1"/>
          <c:extLst xmlns:c16r2="http://schemas.microsoft.com/office/drawing/2015/06/chart">
            <c:ext xmlns:c16="http://schemas.microsoft.com/office/drawing/2014/chart" uri="{C3380CC4-5D6E-409C-BE32-E72D297353CC}">
              <c16:uniqueId val="{00000001-1C2E-44B4-91C5-1C18A1E2F69F}"/>
            </c:ext>
          </c:extLst>
        </c:ser>
        <c:dLbls>
          <c:showLegendKey val="0"/>
          <c:showVal val="0"/>
          <c:showCatName val="0"/>
          <c:showSerName val="0"/>
          <c:showPercent val="0"/>
          <c:showBubbleSize val="0"/>
        </c:dLbls>
        <c:marker val="1"/>
        <c:smooth val="0"/>
        <c:axId val="291941760"/>
        <c:axId val="291940224"/>
      </c:lineChart>
      <c:catAx>
        <c:axId val="29193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91938688"/>
        <c:crosses val="autoZero"/>
        <c:auto val="1"/>
        <c:lblAlgn val="ctr"/>
        <c:lblOffset val="100"/>
        <c:noMultiLvlLbl val="0"/>
      </c:catAx>
      <c:valAx>
        <c:axId val="291938688"/>
        <c:scaling>
          <c:orientation val="minMax"/>
        </c:scaling>
        <c:delete val="0"/>
        <c:axPos val="l"/>
        <c:numFmt formatCode="#,##0_);[Red]\(#,##0\)" sourceLinked="0"/>
        <c:majorTickMark val="in"/>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91932800"/>
        <c:crosses val="autoZero"/>
        <c:crossBetween val="between"/>
      </c:valAx>
      <c:valAx>
        <c:axId val="291940224"/>
        <c:scaling>
          <c:orientation val="minMax"/>
        </c:scaling>
        <c:delete val="0"/>
        <c:axPos val="r"/>
        <c:numFmt formatCode="0%" sourceLinked="0"/>
        <c:majorTickMark val="in"/>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91941760"/>
        <c:crosses val="max"/>
        <c:crossBetween val="between"/>
      </c:valAx>
      <c:catAx>
        <c:axId val="291941760"/>
        <c:scaling>
          <c:orientation val="minMax"/>
        </c:scaling>
        <c:delete val="1"/>
        <c:axPos val="b"/>
        <c:numFmt formatCode="General" sourceLinked="1"/>
        <c:majorTickMark val="none"/>
        <c:minorTickMark val="none"/>
        <c:tickLblPos val="nextTo"/>
        <c:crossAx val="291940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257BF-D0FE-46C4-98B7-3424B3A2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80</Pages>
  <Words>9382</Words>
  <Characters>53481</Characters>
  <Application>Microsoft Office Word</Application>
  <DocSecurity>0</DocSecurity>
  <Lines>445</Lines>
  <Paragraphs>125</Paragraphs>
  <ScaleCrop>false</ScaleCrop>
  <Company>中信建投证券股份有限公司</Company>
  <LinksUpToDate>false</LinksUpToDate>
  <CharactersWithSpaces>62738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dc:creator>
  <cp:lastModifiedBy>毕岩君</cp:lastModifiedBy>
  <cp:revision>108</cp:revision>
  <cp:lastPrinted>2020-07-31T06:43:00Z</cp:lastPrinted>
  <dcterms:created xsi:type="dcterms:W3CDTF">2020-07-18T17:03:00Z</dcterms:created>
  <dcterms:modified xsi:type="dcterms:W3CDTF">2020-12-07T07:52:00Z</dcterms:modified>
</cp:coreProperties>
</file>