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rPr>
          <w:rFonts w:hint="eastAsia" w:ascii="宋体" w:hAnsi="宋体"/>
          <w:bCs/>
          <w:iCs/>
          <w:sz w:val="24"/>
        </w:rPr>
      </w:pPr>
    </w:p>
    <w:p>
      <w:pPr>
        <w:spacing w:before="156" w:beforeLines="50" w:after="156" w:afterLines="50" w:line="400" w:lineRule="exact"/>
        <w:rPr>
          <w:rFonts w:hint="eastAsia" w:ascii="宋体" w:hAnsi="宋体"/>
          <w:bCs/>
          <w:iCs/>
          <w:sz w:val="24"/>
        </w:rPr>
      </w:pPr>
    </w:p>
    <w:p>
      <w:pPr>
        <w:spacing w:before="156" w:beforeLines="50" w:after="156" w:afterLines="50" w:line="400" w:lineRule="exact"/>
        <w:rPr>
          <w:rFonts w:ascii="宋体" w:hAnsi="宋体"/>
          <w:bCs/>
          <w:iCs/>
          <w:sz w:val="24"/>
        </w:rPr>
      </w:pPr>
      <w:r>
        <w:rPr>
          <w:rFonts w:hint="eastAsia" w:ascii="宋体" w:hAnsi="宋体"/>
          <w:bCs/>
          <w:iCs/>
          <w:sz w:val="24"/>
        </w:rPr>
        <w:t>证券代码：300486                                证券简称：东杰智能</w:t>
      </w:r>
    </w:p>
    <w:p>
      <w:pPr>
        <w:spacing w:before="156" w:beforeLines="50" w:after="156" w:afterLines="50" w:line="400" w:lineRule="exact"/>
        <w:jc w:val="center"/>
        <w:rPr>
          <w:rFonts w:hint="eastAsia" w:ascii="宋体" w:hAnsi="宋体"/>
          <w:b/>
          <w:bCs/>
          <w:iCs/>
          <w:sz w:val="24"/>
          <w:szCs w:val="24"/>
        </w:rPr>
      </w:pPr>
      <w:r>
        <w:rPr>
          <w:rFonts w:hint="eastAsia" w:ascii="宋体" w:hAnsi="宋体"/>
          <w:b/>
          <w:bCs/>
          <w:iCs/>
          <w:sz w:val="24"/>
          <w:szCs w:val="24"/>
        </w:rPr>
        <w:t>东杰智能</w:t>
      </w:r>
      <w:r>
        <w:rPr>
          <w:rFonts w:hint="default" w:ascii="宋体" w:hAnsi="宋体"/>
          <w:b/>
          <w:bCs/>
          <w:iCs/>
          <w:sz w:val="24"/>
          <w:szCs w:val="24"/>
        </w:rPr>
        <w:t>科技集团</w:t>
      </w:r>
      <w:r>
        <w:rPr>
          <w:rFonts w:hint="eastAsia" w:ascii="宋体" w:hAnsi="宋体"/>
          <w:b/>
          <w:bCs/>
          <w:iCs/>
          <w:sz w:val="24"/>
          <w:szCs w:val="24"/>
        </w:rPr>
        <w:t>股份有限公司</w:t>
      </w:r>
    </w:p>
    <w:p>
      <w:pPr>
        <w:spacing w:before="156" w:beforeLines="50" w:after="156" w:afterLines="50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hint="eastAsia" w:ascii="宋体" w:hAnsi="宋体"/>
          <w:b/>
          <w:bCs/>
          <w:iCs/>
          <w:sz w:val="24"/>
          <w:szCs w:val="24"/>
        </w:rPr>
        <w:t>投资者关系活动记录表</w:t>
      </w:r>
    </w:p>
    <w:p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hint="eastAsia" w:ascii="宋体" w:hAnsi="宋体"/>
          <w:bCs/>
          <w:iCs/>
          <w:sz w:val="24"/>
          <w:szCs w:val="24"/>
        </w:rPr>
        <w:t xml:space="preserve">                                                    编号：</w:t>
      </w:r>
      <w:r>
        <w:rPr>
          <w:rFonts w:hint="eastAsia" w:ascii="宋体" w:hAnsi="宋体"/>
          <w:bCs/>
          <w:iCs/>
          <w:sz w:val="24"/>
          <w:szCs w:val="24"/>
          <w:lang w:val="en-US" w:eastAsia="zh-CN"/>
        </w:rPr>
        <w:t>2020</w:t>
      </w:r>
      <w:r>
        <w:rPr>
          <w:rFonts w:hint="eastAsia" w:ascii="宋体" w:hAnsi="宋体"/>
          <w:bCs/>
          <w:iCs/>
          <w:sz w:val="24"/>
          <w:szCs w:val="24"/>
        </w:rPr>
        <w:t>-00</w:t>
      </w:r>
      <w:r>
        <w:rPr>
          <w:rFonts w:hint="default" w:ascii="宋体" w:hAnsi="宋体"/>
          <w:bCs/>
          <w:iCs/>
          <w:sz w:val="24"/>
          <w:szCs w:val="24"/>
        </w:rPr>
        <w:t>2</w:t>
      </w:r>
      <w:r>
        <w:rPr>
          <w:rFonts w:hint="eastAsia" w:ascii="宋体" w:hAnsi="宋体"/>
          <w:bCs/>
          <w:iCs/>
          <w:sz w:val="24"/>
          <w:szCs w:val="24"/>
        </w:rPr>
        <w:t>号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投资者关系活动类别</w:t>
            </w:r>
          </w:p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>
            <w:pPr>
              <w:spacing w:line="48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□特定对象调研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√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分析师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电话</w:t>
            </w:r>
            <w:r>
              <w:rPr>
                <w:rFonts w:hint="eastAsia" w:ascii="宋体" w:hAnsi="宋体"/>
                <w:sz w:val="24"/>
                <w:szCs w:val="24"/>
              </w:rPr>
              <w:t>会议</w:t>
            </w:r>
          </w:p>
          <w:p>
            <w:pPr>
              <w:spacing w:line="48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□媒体采访            □业绩说明会</w:t>
            </w:r>
          </w:p>
          <w:p>
            <w:pPr>
              <w:spacing w:line="48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□新闻发布会          □路演活动</w:t>
            </w:r>
            <w:bookmarkStart w:id="0" w:name="_GoBack"/>
            <w:bookmarkEnd w:id="0"/>
          </w:p>
          <w:p>
            <w:pPr>
              <w:spacing w:line="48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□现场参观</w:t>
            </w:r>
            <w:r>
              <w:rPr>
                <w:rFonts w:hint="eastAsia" w:ascii="宋体" w:hAnsi="宋体"/>
                <w:sz w:val="24"/>
                <w:szCs w:val="24"/>
              </w:rPr>
              <w:tab/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□其他 （请文字说明其他活动内容）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hint="eastAsia" w:ascii="宋体" w:hAnsi="宋体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  <w:lang w:val="en-US" w:eastAsia="zh-CN"/>
              </w:rPr>
              <w:t>中银证券：杨绍辉</w:t>
            </w:r>
          </w:p>
          <w:p>
            <w:pPr>
              <w:spacing w:line="480" w:lineRule="atLeast"/>
              <w:rPr>
                <w:rFonts w:hint="eastAsia" w:ascii="宋体" w:hAnsi="宋体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  <w:lang w:val="en-US" w:eastAsia="zh-CN"/>
              </w:rPr>
              <w:t>交银施罗德基金管理有限公司：徐森洲</w:t>
            </w:r>
          </w:p>
          <w:p>
            <w:pPr>
              <w:spacing w:line="480" w:lineRule="atLeast"/>
              <w:rPr>
                <w:rFonts w:hint="default" w:ascii="宋体" w:hAnsi="宋体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/>
                <w:bCs/>
                <w:iCs/>
                <w:sz w:val="24"/>
                <w:szCs w:val="24"/>
                <w:lang w:eastAsia="zh-CN"/>
              </w:rPr>
              <w:t>华商基金管理有限公司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  <w:lang w:val="en-US" w:eastAsia="zh-CN"/>
              </w:rPr>
              <w:t>：</w:t>
            </w:r>
            <w:r>
              <w:rPr>
                <w:rFonts w:hint="default" w:ascii="宋体" w:hAnsi="宋体"/>
                <w:bCs/>
                <w:iCs/>
                <w:sz w:val="24"/>
                <w:szCs w:val="24"/>
                <w:lang w:eastAsia="zh-CN"/>
              </w:rPr>
              <w:t>常宁</w:t>
            </w:r>
          </w:p>
          <w:p>
            <w:pPr>
              <w:spacing w:line="480" w:lineRule="atLeast"/>
              <w:rPr>
                <w:rFonts w:hint="default" w:ascii="宋体" w:hAnsi="宋体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/>
                <w:bCs/>
                <w:iCs/>
                <w:sz w:val="24"/>
                <w:szCs w:val="24"/>
                <w:lang w:eastAsia="zh-CN"/>
              </w:rPr>
              <w:t>创金合信基金管理有限公司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  <w:lang w:val="en-US" w:eastAsia="zh-CN"/>
              </w:rPr>
              <w:t>：</w:t>
            </w:r>
            <w:r>
              <w:rPr>
                <w:rFonts w:hint="default" w:ascii="宋体" w:hAnsi="宋体"/>
                <w:bCs/>
                <w:iCs/>
                <w:sz w:val="24"/>
                <w:szCs w:val="24"/>
                <w:lang w:eastAsia="zh-CN"/>
              </w:rPr>
              <w:t>李晗</w:t>
            </w:r>
          </w:p>
          <w:p>
            <w:pPr>
              <w:spacing w:line="480" w:lineRule="atLeast"/>
              <w:rPr>
                <w:rFonts w:hint="default" w:ascii="宋体" w:hAnsi="宋体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/>
                <w:bCs/>
                <w:iCs/>
                <w:sz w:val="24"/>
                <w:szCs w:val="24"/>
                <w:lang w:eastAsia="zh-CN"/>
              </w:rPr>
              <w:t>中意资产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  <w:lang w:val="en-US" w:eastAsia="zh-CN"/>
              </w:rPr>
              <w:t>：</w:t>
            </w:r>
            <w:r>
              <w:rPr>
                <w:rFonts w:hint="default" w:ascii="宋体" w:hAnsi="宋体"/>
                <w:bCs/>
                <w:iCs/>
                <w:sz w:val="24"/>
                <w:szCs w:val="24"/>
                <w:lang w:eastAsia="zh-CN"/>
              </w:rPr>
              <w:t>臧怡</w:t>
            </w:r>
          </w:p>
          <w:p>
            <w:pPr>
              <w:spacing w:line="480" w:lineRule="atLeast"/>
              <w:rPr>
                <w:rFonts w:hint="default" w:ascii="宋体" w:hAnsi="宋体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/>
                <w:bCs/>
                <w:iCs/>
                <w:sz w:val="24"/>
                <w:szCs w:val="24"/>
                <w:lang w:eastAsia="zh-CN"/>
              </w:rPr>
              <w:t>国投瑞银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  <w:lang w:val="en-US" w:eastAsia="zh-CN"/>
              </w:rPr>
              <w:t>：</w:t>
            </w:r>
            <w:r>
              <w:rPr>
                <w:rFonts w:hint="default" w:ascii="宋体" w:hAnsi="宋体"/>
                <w:bCs/>
                <w:iCs/>
                <w:sz w:val="24"/>
                <w:szCs w:val="24"/>
                <w:lang w:eastAsia="zh-CN"/>
              </w:rPr>
              <w:t>王侃</w:t>
            </w:r>
          </w:p>
          <w:p>
            <w:pPr>
              <w:spacing w:line="480" w:lineRule="atLeast"/>
              <w:rPr>
                <w:rFonts w:hint="default" w:ascii="宋体" w:hAnsi="宋体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/>
                <w:bCs/>
                <w:iCs/>
                <w:sz w:val="24"/>
                <w:szCs w:val="24"/>
                <w:lang w:eastAsia="zh-CN"/>
              </w:rPr>
              <w:t>金鹰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  <w:lang w:eastAsia="zh-CN"/>
              </w:rPr>
              <w:t>基金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  <w:lang w:val="en-US" w:eastAsia="zh-CN"/>
              </w:rPr>
              <w:t>：</w:t>
            </w:r>
            <w:r>
              <w:rPr>
                <w:rFonts w:hint="default" w:ascii="宋体" w:hAnsi="宋体"/>
                <w:bCs/>
                <w:iCs/>
                <w:sz w:val="24"/>
                <w:szCs w:val="24"/>
                <w:lang w:eastAsia="zh-CN"/>
              </w:rPr>
              <w:t>熊威民</w:t>
            </w:r>
          </w:p>
          <w:p>
            <w:pPr>
              <w:spacing w:line="480" w:lineRule="atLeast"/>
              <w:rPr>
                <w:rFonts w:hint="default" w:ascii="宋体" w:hAnsi="宋体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/>
                <w:bCs/>
                <w:iCs/>
                <w:sz w:val="24"/>
                <w:szCs w:val="24"/>
                <w:lang w:eastAsia="zh-CN"/>
              </w:rPr>
              <w:t>新华基金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  <w:lang w:val="en-US" w:eastAsia="zh-CN"/>
              </w:rPr>
              <w:t>：</w:t>
            </w:r>
            <w:r>
              <w:rPr>
                <w:rFonts w:hint="default" w:ascii="宋体" w:hAnsi="宋体"/>
                <w:bCs/>
                <w:iCs/>
                <w:sz w:val="24"/>
                <w:szCs w:val="24"/>
                <w:lang w:eastAsia="zh-CN"/>
              </w:rPr>
              <w:t>周晓东</w:t>
            </w:r>
          </w:p>
          <w:p>
            <w:pPr>
              <w:spacing w:line="480" w:lineRule="atLeast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宋体" w:hAnsi="宋体"/>
                <w:bCs/>
                <w:iCs/>
                <w:sz w:val="24"/>
                <w:szCs w:val="24"/>
                <w:lang w:eastAsia="zh-CN"/>
              </w:rPr>
              <w:t>拾贝投资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  <w:lang w:val="en-US" w:eastAsia="zh-CN"/>
              </w:rPr>
              <w:t>：</w:t>
            </w:r>
            <w:r>
              <w:rPr>
                <w:rFonts w:hint="default" w:ascii="宋体" w:hAnsi="宋体"/>
                <w:bCs/>
                <w:iCs/>
                <w:sz w:val="24"/>
                <w:szCs w:val="24"/>
                <w:lang w:eastAsia="zh-CN"/>
              </w:rPr>
              <w:t>杨立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  <w:lang w:val="en-US" w:eastAsia="zh-CN"/>
              </w:rPr>
              <w:t>020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日（星期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）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：00-1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山西省太原市新兰路51号东杰智能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层会议室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>
            <w:pPr>
              <w:spacing w:line="480" w:lineRule="atLeast"/>
              <w:rPr>
                <w:rFonts w:hint="default" w:ascii="宋体" w:hAnsi="宋体" w:eastAsia="宋体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张新海 董事会秘书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auto"/>
              <w:ind w:firstLine="422" w:firstLineChars="2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2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b/>
                <w:bCs/>
                <w:szCs w:val="22"/>
              </w:rPr>
              <w:t>、介绍一下公司最新的进展情况</w:t>
            </w:r>
            <w:r>
              <w:rPr>
                <w:rFonts w:hint="eastAsia" w:ascii="宋体" w:hAnsi="宋体" w:cs="宋体"/>
                <w:b/>
                <w:bCs/>
                <w:szCs w:val="2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auto"/>
              <w:ind w:firstLine="420" w:firstLineChars="200"/>
              <w:jc w:val="both"/>
              <w:textAlignment w:val="auto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公司结合行业发展趋势，定位为国际化的智能工业领军服务商。为实现这一目标，公司也制定了一些具体措施，主要是“一体两翼”和国际化布局。“一体”就是要发挥山西当地成本优势，公司作为智能制造领域的企业，能在山西成长起来，得益于山西具有成本的优势，因此我们要继续发挥这一优势。 “两翼”是要在长三角、珠三角设立子公司，主要进行人才的吸引和市场的拓展</w:t>
            </w:r>
            <w:r>
              <w:rPr>
                <w:rFonts w:ascii="宋体" w:hAnsi="宋体" w:eastAsia="宋体" w:cs="宋体"/>
                <w:szCs w:val="22"/>
              </w:rPr>
              <w:t>。在深圳设立了子公司</w:t>
            </w:r>
            <w:r>
              <w:rPr>
                <w:rFonts w:hint="eastAsia" w:ascii="宋体" w:hAnsi="宋体" w:eastAsia="宋体" w:cs="宋体"/>
                <w:szCs w:val="22"/>
              </w:rPr>
              <w:t>，</w:t>
            </w:r>
            <w:r>
              <w:rPr>
                <w:rFonts w:ascii="宋体" w:hAnsi="宋体" w:eastAsia="宋体" w:cs="宋体"/>
                <w:szCs w:val="22"/>
              </w:rPr>
              <w:t>子公司下面又设立了研究院</w:t>
            </w:r>
            <w:r>
              <w:rPr>
                <w:rFonts w:hint="eastAsia" w:ascii="宋体" w:hAnsi="宋体" w:eastAsia="宋体" w:cs="宋体"/>
                <w:szCs w:val="22"/>
              </w:rPr>
              <w:t>，</w:t>
            </w:r>
            <w:r>
              <w:rPr>
                <w:rFonts w:ascii="宋体" w:hAnsi="宋体" w:eastAsia="宋体" w:cs="宋体"/>
                <w:szCs w:val="22"/>
              </w:rPr>
              <w:t>收购了中集智能，现在我们整体一体两翼的布局，基本成型</w:t>
            </w:r>
            <w:r>
              <w:rPr>
                <w:rFonts w:hint="eastAsia" w:ascii="宋体" w:hAnsi="宋体" w:eastAsia="宋体" w:cs="宋体"/>
                <w:szCs w:val="22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auto"/>
              <w:ind w:firstLine="420" w:firstLineChars="20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Cs w:val="22"/>
              </w:rPr>
              <w:t>从产品方面来说，围绕着三大类产品</w:t>
            </w:r>
            <w:r>
              <w:rPr>
                <w:rFonts w:hint="eastAsia" w:ascii="宋体" w:hAnsi="宋体" w:eastAsia="宋体" w:cs="宋体"/>
                <w:szCs w:val="22"/>
              </w:rPr>
              <w:t>不断升级拓展。</w:t>
            </w:r>
            <w:r>
              <w:rPr>
                <w:rFonts w:ascii="宋体" w:hAnsi="宋体" w:eastAsia="宋体" w:cs="宋体"/>
                <w:szCs w:val="22"/>
              </w:rPr>
              <w:t>第</w:t>
            </w:r>
            <w:r>
              <w:rPr>
                <w:rFonts w:hint="eastAsia" w:ascii="宋体" w:hAnsi="宋体" w:eastAsia="宋体" w:cs="宋体"/>
                <w:szCs w:val="22"/>
              </w:rPr>
              <w:t>一大</w:t>
            </w:r>
            <w:r>
              <w:rPr>
                <w:rFonts w:ascii="宋体" w:hAnsi="宋体" w:eastAsia="宋体" w:cs="宋体"/>
                <w:szCs w:val="22"/>
              </w:rPr>
              <w:t>类</w:t>
            </w:r>
            <w:r>
              <w:rPr>
                <w:rFonts w:hint="eastAsia" w:ascii="宋体" w:hAnsi="宋体" w:eastAsia="宋体" w:cs="宋体"/>
                <w:szCs w:val="22"/>
              </w:rPr>
              <w:t>产品</w:t>
            </w:r>
            <w:r>
              <w:rPr>
                <w:rFonts w:ascii="宋体" w:hAnsi="宋体" w:eastAsia="宋体" w:cs="宋体"/>
                <w:szCs w:val="22"/>
              </w:rPr>
              <w:t>是智能工厂</w:t>
            </w:r>
            <w:r>
              <w:rPr>
                <w:rFonts w:hint="eastAsia" w:ascii="宋体" w:hAnsi="宋体" w:eastAsia="宋体" w:cs="宋体"/>
                <w:szCs w:val="22"/>
              </w:rPr>
              <w:t>，</w:t>
            </w:r>
            <w:r>
              <w:rPr>
                <w:rFonts w:ascii="宋体" w:hAnsi="宋体" w:eastAsia="宋体" w:cs="宋体"/>
                <w:szCs w:val="22"/>
              </w:rPr>
              <w:t>第二大类产品是智能物流仓储</w:t>
            </w:r>
            <w:r>
              <w:rPr>
                <w:rFonts w:hint="eastAsia" w:ascii="宋体" w:hAnsi="宋体" w:eastAsia="宋体" w:cs="宋体"/>
                <w:szCs w:val="22"/>
              </w:rPr>
              <w:t>，</w:t>
            </w:r>
            <w:r>
              <w:rPr>
                <w:rFonts w:ascii="宋体" w:hAnsi="宋体" w:eastAsia="宋体" w:cs="宋体"/>
                <w:szCs w:val="22"/>
              </w:rPr>
              <w:t>第三类产品</w:t>
            </w:r>
            <w:r>
              <w:rPr>
                <w:rFonts w:hint="eastAsia" w:ascii="宋体" w:hAnsi="宋体" w:eastAsia="宋体" w:cs="宋体"/>
                <w:szCs w:val="22"/>
              </w:rPr>
              <w:t>是智能</w:t>
            </w:r>
            <w:r>
              <w:rPr>
                <w:rFonts w:ascii="宋体" w:hAnsi="宋体" w:eastAsia="宋体" w:cs="宋体"/>
                <w:szCs w:val="22"/>
              </w:rPr>
              <w:t>立体停车库</w:t>
            </w:r>
            <w:r>
              <w:rPr>
                <w:rFonts w:hint="eastAsia" w:ascii="宋体" w:hAnsi="宋体" w:eastAsia="宋体" w:cs="宋体"/>
                <w:szCs w:val="22"/>
              </w:rPr>
              <w:t>。</w:t>
            </w:r>
            <w:r>
              <w:rPr>
                <w:rFonts w:ascii="宋体" w:hAnsi="宋体" w:eastAsia="宋体" w:cs="宋体"/>
                <w:szCs w:val="22"/>
              </w:rPr>
              <w:t>原来产品主要集中于设备制造</w:t>
            </w:r>
            <w:r>
              <w:rPr>
                <w:rFonts w:hint="eastAsia" w:ascii="宋体" w:hAnsi="宋体" w:eastAsia="宋体" w:cs="宋体"/>
                <w:szCs w:val="22"/>
              </w:rPr>
              <w:t>，</w:t>
            </w:r>
            <w:r>
              <w:rPr>
                <w:rFonts w:ascii="宋体" w:hAnsi="宋体" w:eastAsia="宋体" w:cs="宋体"/>
                <w:szCs w:val="22"/>
              </w:rPr>
              <w:t>目前</w:t>
            </w:r>
            <w:r>
              <w:rPr>
                <w:rFonts w:hint="eastAsia" w:ascii="宋体" w:hAnsi="宋体" w:eastAsia="宋体" w:cs="宋体"/>
                <w:szCs w:val="22"/>
              </w:rPr>
              <w:t>向</w:t>
            </w:r>
            <w:r>
              <w:rPr>
                <w:rFonts w:ascii="宋体" w:hAnsi="宋体" w:eastAsia="宋体" w:cs="宋体"/>
                <w:szCs w:val="22"/>
              </w:rPr>
              <w:t>数字化</w:t>
            </w:r>
            <w:r>
              <w:rPr>
                <w:rFonts w:hint="eastAsia" w:ascii="宋体" w:hAnsi="宋体" w:eastAsia="宋体" w:cs="宋体"/>
                <w:szCs w:val="22"/>
              </w:rPr>
              <w:t>、信息化、工业互联网、智能化</w:t>
            </w:r>
            <w:r>
              <w:rPr>
                <w:rFonts w:ascii="宋体" w:hAnsi="宋体" w:eastAsia="宋体" w:cs="宋体"/>
                <w:szCs w:val="22"/>
              </w:rPr>
              <w:t>方向不断拓展</w:t>
            </w:r>
            <w:r>
              <w:rPr>
                <w:rFonts w:hint="eastAsia" w:ascii="宋体" w:hAnsi="宋体" w:eastAsia="宋体" w:cs="宋体"/>
                <w:szCs w:val="22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auto"/>
              <w:ind w:firstLine="422" w:firstLineChars="2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2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b/>
                <w:bCs/>
                <w:szCs w:val="22"/>
              </w:rPr>
              <w:t>、公司在新能源车和新能源汽车板块的业务情况，即新能源汽车行业的发展会对公司业务产生什么影响？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auto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公司智能生产业务，主要是以新能源汽车为主。例如威马的订单，因此在新能源汽车板块有较大的竞争力。未来新能源汽车行业会保持高速增长，产能也会快速增长，我们的业务机会也会更大。公司非常看好这个行业，也在加快布局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auto"/>
              <w:ind w:firstLine="422" w:firstLineChars="200"/>
              <w:jc w:val="both"/>
              <w:textAlignment w:val="auto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2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b/>
                <w:bCs/>
                <w:szCs w:val="22"/>
              </w:rPr>
              <w:t>、公司的情况发展很好，今明两年来看订单如何呢？客户结构是一个什么样的变化趋势呢？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auto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整个订单今年受疫情影响，一季度相对来说较少。但是从二季度订单增长变快。总体来说，订单比去年会有30%的增长。智能仓储订单占比要多一点，行业有20%-30%的增长，公司比行业高。智能立体停车库订单基数较小，但增长速度快。明年随着海外疫情受到控制，被压抑的海外订单预计会增长较快，进一步推动公司订单整体的增长。客户结构方面我们开始更加注重战略客户，成立了战略客户部，瞄准金额大、持续性强的客户，这一块今年也取得了比较好的成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auto"/>
              <w:ind w:firstLine="422" w:firstLineChars="2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2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b/>
                <w:bCs/>
                <w:szCs w:val="22"/>
              </w:rPr>
              <w:t>、请介绍一下深圳业务发展情况，包括深圳研究院的发展情况</w:t>
            </w:r>
            <w:r>
              <w:rPr>
                <w:rFonts w:hint="eastAsia" w:ascii="宋体" w:hAnsi="宋体" w:cs="宋体"/>
                <w:b/>
                <w:bCs/>
                <w:szCs w:val="22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/>
                <w:bCs/>
                <w:szCs w:val="2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auto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深圳子公司业务发展是比较快的。去年年底开始设立注册，然后碰到疫情的影响。三四月份开始筹备，七八月份开展业务。现在团队人数接近三十人，主要是以技术和销售人员为主，另外也成立了三个业务团队来进行业务拓展工作。目前主要是以智能仓储这个板块为主。现在已经拿到六千多万的订单，后续还有几个大的订单在商业接洽中，总体发展还是比较快的，未来的增长空间会很大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auto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深圳设立东杰智能研究院，定位就是拉动整个东杰智能的研发技术水平。研究院专家委员会是院士挂帅，包括长江学者和知名大学的资深教授，并且在陆续招聘一些研发人员，对公司整个的研发实力会有很大的提升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auto"/>
              <w:ind w:firstLine="422" w:firstLineChars="2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2"/>
                <w:lang w:eastAsia="zh-CN"/>
              </w:rPr>
              <w:t>五、智能仓储行业下游的集中度有没有提升？行业的毛利率是什么水平？付款周期？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auto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行业下游集中度在不断提升之中，因为大订单越来越多，小的企业在资金、品牌、成本、项目经验上都处在竞争劣势，所以行业会逐步向头部企业集中。公司作为行业内知名企业，又是上市公司，在各方面都具有较强的竞争实力，未来的市占率预计会逐步提升。所以公司会综合受益于行业的快速增长和市占率的提升。基本上报价按照成本加30%左右的毛利率去报价，毛利率相对来说比较稳定。付款周期一般是3331的形式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auto"/>
              <w:ind w:firstLine="422" w:firstLineChars="200"/>
              <w:jc w:val="both"/>
              <w:textAlignment w:val="auto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2"/>
                <w:lang w:eastAsia="zh-CN"/>
              </w:rPr>
              <w:t>六</w:t>
            </w:r>
            <w:r>
              <w:rPr>
                <w:rFonts w:hint="eastAsia" w:ascii="宋体" w:hAnsi="宋体" w:eastAsia="宋体" w:cs="宋体"/>
                <w:b/>
                <w:bCs/>
                <w:szCs w:val="22"/>
              </w:rPr>
              <w:t>、目前战略客户这种大的订单占整体订单的百分之多少？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auto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目前大订单份额提升到30%-40%。公司在董事会层面成立了战略委员会，且由战略委员负责战略客户，预计未来大订单会持续增长。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auto"/>
              <w:ind w:firstLine="422" w:firstLineChars="2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2"/>
                <w:lang w:eastAsia="zh-CN"/>
              </w:rPr>
              <w:t>七、</w:t>
            </w:r>
            <w:r>
              <w:rPr>
                <w:rFonts w:hint="eastAsia" w:ascii="宋体" w:hAnsi="宋体" w:eastAsia="宋体" w:cs="宋体"/>
                <w:b/>
                <w:bCs/>
                <w:szCs w:val="22"/>
                <w:lang w:eastAsia="zh-CN"/>
              </w:rPr>
              <w:t>费用研发费用估计是多少啊？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auto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一般是营业收入的3%-4%。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auto"/>
              <w:ind w:firstLine="422" w:firstLineChars="200"/>
              <w:jc w:val="both"/>
              <w:textAlignment w:val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2"/>
                <w:lang w:eastAsia="zh-CN"/>
              </w:rPr>
              <w:t>八、今年前两个季度收入规模同比增长，尤其在一季度，三季度收入和利润有一些下滑，全年怎么看？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auto"/>
              <w:ind w:firstLine="420" w:firstLineChars="200"/>
              <w:jc w:val="both"/>
              <w:textAlignment w:val="auto"/>
              <w:rPr>
                <w:rFonts w:ascii="宋体" w:hAnsi="宋体" w:eastAsia="宋体" w:cs="宋体"/>
                <w:szCs w:val="22"/>
                <w:shd w:val="clear" w:color="auto" w:fill="FFFFFF"/>
              </w:rPr>
            </w:pPr>
            <w:r>
              <w:rPr>
                <w:rFonts w:ascii="宋体" w:hAnsi="宋体" w:eastAsia="宋体" w:cs="宋体"/>
                <w:szCs w:val="22"/>
                <w:shd w:val="clear" w:color="auto" w:fill="FFFFFF"/>
              </w:rPr>
              <w:t>公司的订单大小不一，</w:t>
            </w:r>
            <w:r>
              <w:rPr>
                <w:rFonts w:hint="eastAsia" w:ascii="宋体" w:hAnsi="宋体" w:eastAsia="宋体" w:cs="宋体"/>
                <w:szCs w:val="22"/>
                <w:shd w:val="clear" w:color="auto" w:fill="FFFFFF"/>
              </w:rPr>
              <w:t>收入确认是按照终验收法，所以</w:t>
            </w:r>
            <w:r>
              <w:rPr>
                <w:rFonts w:ascii="宋体" w:hAnsi="宋体" w:eastAsia="宋体" w:cs="宋体"/>
                <w:szCs w:val="22"/>
                <w:shd w:val="clear" w:color="auto" w:fill="FFFFFF"/>
              </w:rPr>
              <w:t>季度和季度之间</w:t>
            </w:r>
            <w:r>
              <w:rPr>
                <w:rFonts w:hint="eastAsia" w:ascii="宋体" w:hAnsi="宋体" w:eastAsia="宋体" w:cs="宋体"/>
                <w:szCs w:val="22"/>
                <w:shd w:val="clear" w:color="auto" w:fill="FFFFFF"/>
              </w:rPr>
              <w:t>的波动相对会比较大，跟大订单确认收入的时点相关。一般来讲以年度为单位进行对比比较合理。全年从订单来看增长比较快。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auto"/>
              <w:ind w:firstLine="422" w:firstLineChars="200"/>
              <w:jc w:val="both"/>
              <w:textAlignment w:val="auto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2"/>
                <w:lang w:eastAsia="zh-CN"/>
              </w:rPr>
              <w:t>九、合盛汇峰产品为什么减持？对二级影响有多大？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auto"/>
              <w:ind w:firstLine="420" w:firstLineChars="200"/>
              <w:jc w:val="both"/>
              <w:textAlignment w:val="auto"/>
              <w:rPr>
                <w:rFonts w:ascii="宋体" w:hAnsi="宋体" w:eastAsia="宋体" w:cs="宋体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2"/>
                <w:shd w:val="clear" w:color="auto" w:fill="FFFFFF"/>
              </w:rPr>
              <w:t>合</w:t>
            </w:r>
            <w:r>
              <w:rPr>
                <w:rFonts w:ascii="宋体" w:hAnsi="宋体" w:eastAsia="宋体" w:cs="宋体"/>
                <w:szCs w:val="22"/>
                <w:shd w:val="clear" w:color="auto" w:fill="FFFFFF"/>
              </w:rPr>
              <w:t>盛</w:t>
            </w:r>
            <w:r>
              <w:rPr>
                <w:rFonts w:hint="eastAsia" w:ascii="宋体" w:hAnsi="宋体" w:eastAsia="宋体" w:cs="宋体"/>
                <w:szCs w:val="22"/>
                <w:shd w:val="clear" w:color="auto" w:fill="FFFFFF"/>
              </w:rPr>
              <w:t>汇峰</w:t>
            </w:r>
            <w:r>
              <w:rPr>
                <w:rFonts w:ascii="宋体" w:hAnsi="宋体" w:eastAsia="宋体" w:cs="宋体"/>
                <w:szCs w:val="22"/>
                <w:shd w:val="clear" w:color="auto" w:fill="FFFFFF"/>
              </w:rPr>
              <w:t>产品是</w:t>
            </w:r>
            <w:r>
              <w:rPr>
                <w:rFonts w:hint="eastAsia" w:ascii="宋体" w:hAnsi="宋体" w:eastAsia="宋体" w:cs="宋体"/>
                <w:szCs w:val="22"/>
                <w:shd w:val="clear" w:color="auto" w:fill="FFFFFF"/>
              </w:rPr>
              <w:t>2018</w:t>
            </w:r>
            <w:r>
              <w:rPr>
                <w:rFonts w:ascii="宋体" w:hAnsi="宋体" w:eastAsia="宋体" w:cs="宋体"/>
                <w:szCs w:val="22"/>
                <w:shd w:val="clear" w:color="auto" w:fill="FFFFFF"/>
              </w:rPr>
              <w:t>年</w:t>
            </w:r>
            <w:r>
              <w:rPr>
                <w:rFonts w:hint="eastAsia" w:ascii="宋体" w:hAnsi="宋体" w:eastAsia="宋体" w:cs="宋体"/>
                <w:szCs w:val="22"/>
                <w:shd w:val="clear" w:color="auto" w:fill="FFFFFF"/>
              </w:rPr>
              <w:t>底参与</w:t>
            </w:r>
            <w:r>
              <w:rPr>
                <w:rFonts w:ascii="宋体" w:hAnsi="宋体" w:eastAsia="宋体" w:cs="宋体"/>
                <w:szCs w:val="22"/>
                <w:shd w:val="clear" w:color="auto" w:fill="FFFFFF"/>
              </w:rPr>
              <w:t>配套募集资金进来</w:t>
            </w:r>
            <w:r>
              <w:rPr>
                <w:rFonts w:hint="eastAsia" w:ascii="宋体" w:hAnsi="宋体" w:eastAsia="宋体" w:cs="宋体"/>
                <w:szCs w:val="22"/>
                <w:shd w:val="clear" w:color="auto" w:fill="FFFFFF"/>
              </w:rPr>
              <w:t>的，</w:t>
            </w:r>
            <w:r>
              <w:rPr>
                <w:rFonts w:ascii="宋体" w:hAnsi="宋体" w:eastAsia="宋体" w:cs="宋体"/>
                <w:szCs w:val="22"/>
                <w:shd w:val="clear" w:color="auto" w:fill="FFFFFF"/>
              </w:rPr>
              <w:t>规模是</w:t>
            </w:r>
            <w:r>
              <w:rPr>
                <w:rFonts w:hint="eastAsia" w:ascii="宋体" w:hAnsi="宋体" w:eastAsia="宋体" w:cs="宋体"/>
                <w:szCs w:val="22"/>
                <w:shd w:val="clear" w:color="auto" w:fill="FFFFFF"/>
              </w:rPr>
              <w:t>1.82</w:t>
            </w:r>
            <w:r>
              <w:rPr>
                <w:rFonts w:ascii="宋体" w:hAnsi="宋体" w:eastAsia="宋体" w:cs="宋体"/>
                <w:szCs w:val="22"/>
                <w:shd w:val="clear" w:color="auto" w:fill="FFFFFF"/>
              </w:rPr>
              <w:t>亿，</w:t>
            </w:r>
            <w:r>
              <w:rPr>
                <w:rFonts w:hint="eastAsia" w:ascii="宋体" w:hAnsi="宋体" w:eastAsia="宋体" w:cs="宋体"/>
                <w:szCs w:val="22"/>
                <w:shd w:val="clear" w:color="auto" w:fill="FFFFFF"/>
              </w:rPr>
              <w:t>占比8.4</w:t>
            </w:r>
            <w:r>
              <w:rPr>
                <w:rFonts w:ascii="宋体" w:hAnsi="宋体" w:eastAsia="宋体" w:cs="宋体"/>
                <w:szCs w:val="22"/>
                <w:shd w:val="clear" w:color="auto" w:fill="FFFFFF"/>
              </w:rPr>
              <w:t>4</w:t>
            </w:r>
            <w:r>
              <w:rPr>
                <w:rFonts w:hint="eastAsia" w:ascii="宋体" w:hAnsi="宋体" w:eastAsia="宋体" w:cs="宋体"/>
                <w:szCs w:val="22"/>
                <w:shd w:val="clear" w:color="auto" w:fill="FFFFFF"/>
              </w:rPr>
              <w:t>%。</w:t>
            </w:r>
            <w:r>
              <w:rPr>
                <w:rFonts w:ascii="宋体" w:hAnsi="宋体" w:eastAsia="宋体" w:cs="宋体"/>
                <w:szCs w:val="22"/>
                <w:shd w:val="clear" w:color="auto" w:fill="FFFFFF"/>
              </w:rPr>
              <w:t>这个产品</w:t>
            </w:r>
            <w:r>
              <w:rPr>
                <w:rFonts w:hint="eastAsia" w:ascii="宋体" w:hAnsi="宋体" w:eastAsia="宋体" w:cs="宋体"/>
                <w:szCs w:val="22"/>
                <w:shd w:val="clear" w:color="auto" w:fill="FFFFFF"/>
              </w:rPr>
              <w:t>的</w:t>
            </w:r>
            <w:r>
              <w:rPr>
                <w:rFonts w:ascii="宋体" w:hAnsi="宋体" w:eastAsia="宋体" w:cs="宋体"/>
                <w:szCs w:val="22"/>
                <w:shd w:val="clear" w:color="auto" w:fill="FFFFFF"/>
              </w:rPr>
              <w:t>设计是二加一年，到现在是两年的时间，所以要进入退出期。</w:t>
            </w:r>
            <w:r>
              <w:rPr>
                <w:rFonts w:hint="eastAsia" w:ascii="宋体" w:hAnsi="宋体" w:eastAsia="宋体" w:cs="宋体"/>
                <w:szCs w:val="22"/>
                <w:shd w:val="clear" w:color="auto" w:fill="FFFFFF"/>
              </w:rPr>
              <w:t>公司</w:t>
            </w:r>
            <w:r>
              <w:rPr>
                <w:rFonts w:ascii="宋体" w:hAnsi="宋体" w:eastAsia="宋体" w:cs="宋体"/>
                <w:szCs w:val="22"/>
                <w:shd w:val="clear" w:color="auto" w:fill="FFFFFF"/>
              </w:rPr>
              <w:t>发公告</w:t>
            </w:r>
            <w:r>
              <w:rPr>
                <w:rFonts w:hint="eastAsia" w:ascii="宋体" w:hAnsi="宋体" w:eastAsia="宋体" w:cs="宋体"/>
                <w:szCs w:val="22"/>
                <w:shd w:val="clear" w:color="auto" w:fill="FFFFFF"/>
              </w:rPr>
              <w:t>是</w:t>
            </w:r>
            <w:r>
              <w:rPr>
                <w:rFonts w:ascii="宋体" w:hAnsi="宋体" w:eastAsia="宋体" w:cs="宋体"/>
                <w:szCs w:val="22"/>
                <w:shd w:val="clear" w:color="auto" w:fill="FFFFFF"/>
              </w:rPr>
              <w:t>因为产品要到期，</w:t>
            </w:r>
            <w:r>
              <w:rPr>
                <w:rFonts w:hint="eastAsia" w:ascii="宋体" w:hAnsi="宋体" w:eastAsia="宋体" w:cs="宋体"/>
                <w:szCs w:val="22"/>
                <w:shd w:val="clear" w:color="auto" w:fill="FFFFFF"/>
              </w:rPr>
              <w:t>减持</w:t>
            </w:r>
            <w:r>
              <w:rPr>
                <w:rFonts w:ascii="宋体" w:hAnsi="宋体" w:eastAsia="宋体" w:cs="宋体"/>
                <w:szCs w:val="22"/>
                <w:shd w:val="clear" w:color="auto" w:fill="FFFFFF"/>
              </w:rPr>
              <w:t>会分步骤来进行，主要的方式还是通过协议转让和大宗交易的方式来进行承接</w:t>
            </w:r>
            <w:r>
              <w:rPr>
                <w:rFonts w:hint="eastAsia" w:ascii="宋体" w:hAnsi="宋体" w:eastAsia="宋体" w:cs="宋体"/>
                <w:szCs w:val="22"/>
                <w:shd w:val="clear" w:color="auto" w:fill="FFFFFF"/>
              </w:rPr>
              <w:t>，所以</w:t>
            </w:r>
            <w:r>
              <w:rPr>
                <w:rFonts w:ascii="宋体" w:hAnsi="宋体" w:eastAsia="宋体" w:cs="宋体"/>
                <w:szCs w:val="22"/>
                <w:shd w:val="clear" w:color="auto" w:fill="FFFFFF"/>
              </w:rPr>
              <w:t>对二级市场的影响很小</w:t>
            </w:r>
            <w:r>
              <w:rPr>
                <w:rFonts w:hint="eastAsia" w:ascii="宋体" w:hAnsi="宋体" w:eastAsia="宋体" w:cs="宋体"/>
                <w:szCs w:val="22"/>
                <w:shd w:val="clear" w:color="auto" w:fill="FFFFFF"/>
              </w:rPr>
              <w:t>。产品的投资人也是公司的重要股东，对公司仍然持续看好。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auto"/>
              <w:ind w:firstLine="422" w:firstLineChars="200"/>
              <w:jc w:val="both"/>
              <w:textAlignment w:val="auto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2"/>
                <w:lang w:eastAsia="zh-CN"/>
              </w:rPr>
              <w:t>十、公司的高管变动比较多，是什么原因呢？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auto"/>
              <w:ind w:firstLine="420" w:firstLineChars="200"/>
              <w:jc w:val="both"/>
              <w:textAlignment w:val="auto"/>
              <w:rPr>
                <w:rFonts w:hint="eastAsia" w:ascii="宋体" w:hAnsi="宋体" w:eastAsia="宋体"/>
                <w:b/>
                <w:bCs/>
                <w:iCs/>
                <w:lang w:eastAsia="zh-CN"/>
              </w:rPr>
            </w:pPr>
            <w:r>
              <w:rPr>
                <w:rFonts w:hint="eastAsia" w:ascii="宋体" w:hAnsi="宋体" w:eastAsia="宋体" w:cs="宋体"/>
                <w:szCs w:val="22"/>
                <w:shd w:val="clear" w:color="auto" w:fill="FFFFFF"/>
              </w:rPr>
              <w:t>公司高管人员变动系正常变动。高管人员的调整既是公司新老班子的交替，也代表了公司在“工业互联网”、“人工智能”等软实力领域专业力量的注入，这既是管理层建设发展的需要，更是是公司持续发展的需要。上一代管理层成员在公司建设发展的关键时期不畏困难，为公司作出了卓越的成绩和贡献，公司的新晋管理层成员也将持续秉承“创新并追求细节的完美”的价值观，承担起公司可持续发展的历史重任，继续做强做优智能工业主业，提升市场和投资者的信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>
            <w:pPr>
              <w:spacing w:line="480" w:lineRule="atLeast"/>
              <w:rPr>
                <w:rFonts w:hint="eastAsia" w:ascii="宋体" w:hAnsi="宋体" w:eastAsia="宋体"/>
                <w:bCs/>
                <w:iCs/>
                <w:sz w:val="24"/>
                <w:szCs w:val="24"/>
                <w:lang w:val="en-US" w:eastAsia="zh-CN"/>
              </w:rPr>
            </w:pPr>
          </w:p>
        </w:tc>
      </w:tr>
    </w:tbl>
    <w:p>
      <w:pPr>
        <w:ind w:firstLine="480" w:firstLineChars="200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E1"/>
    <w:rsid w:val="00001278"/>
    <w:rsid w:val="00001D44"/>
    <w:rsid w:val="00013C9D"/>
    <w:rsid w:val="000326B3"/>
    <w:rsid w:val="0004087D"/>
    <w:rsid w:val="00056008"/>
    <w:rsid w:val="0007515E"/>
    <w:rsid w:val="000760D1"/>
    <w:rsid w:val="0008089F"/>
    <w:rsid w:val="000B4250"/>
    <w:rsid w:val="000C38BC"/>
    <w:rsid w:val="000E6F7D"/>
    <w:rsid w:val="001158E1"/>
    <w:rsid w:val="001340A4"/>
    <w:rsid w:val="001925AF"/>
    <w:rsid w:val="001A0053"/>
    <w:rsid w:val="001A2426"/>
    <w:rsid w:val="001C17AB"/>
    <w:rsid w:val="001D7B6C"/>
    <w:rsid w:val="001F4ED3"/>
    <w:rsid w:val="001F585D"/>
    <w:rsid w:val="00200A30"/>
    <w:rsid w:val="002029D9"/>
    <w:rsid w:val="00221033"/>
    <w:rsid w:val="00234031"/>
    <w:rsid w:val="002502F7"/>
    <w:rsid w:val="00263FA5"/>
    <w:rsid w:val="00272A8F"/>
    <w:rsid w:val="002A2BD8"/>
    <w:rsid w:val="002A5AE5"/>
    <w:rsid w:val="002E1430"/>
    <w:rsid w:val="002E57F4"/>
    <w:rsid w:val="003267AE"/>
    <w:rsid w:val="003655A2"/>
    <w:rsid w:val="004221F0"/>
    <w:rsid w:val="0043058B"/>
    <w:rsid w:val="004456F5"/>
    <w:rsid w:val="004573AB"/>
    <w:rsid w:val="004D3EE6"/>
    <w:rsid w:val="004F0071"/>
    <w:rsid w:val="005200CD"/>
    <w:rsid w:val="0052518C"/>
    <w:rsid w:val="00525D7F"/>
    <w:rsid w:val="005262D3"/>
    <w:rsid w:val="00534A96"/>
    <w:rsid w:val="00551340"/>
    <w:rsid w:val="00562AD1"/>
    <w:rsid w:val="005722F8"/>
    <w:rsid w:val="005827F1"/>
    <w:rsid w:val="0059621F"/>
    <w:rsid w:val="005D46A2"/>
    <w:rsid w:val="005E4F06"/>
    <w:rsid w:val="005F3AAB"/>
    <w:rsid w:val="00652C92"/>
    <w:rsid w:val="00660DAA"/>
    <w:rsid w:val="00665F6A"/>
    <w:rsid w:val="00667C52"/>
    <w:rsid w:val="006737BF"/>
    <w:rsid w:val="00681B81"/>
    <w:rsid w:val="006A12C8"/>
    <w:rsid w:val="006A28E5"/>
    <w:rsid w:val="006A7997"/>
    <w:rsid w:val="006D0921"/>
    <w:rsid w:val="006D3476"/>
    <w:rsid w:val="006F4120"/>
    <w:rsid w:val="007029FC"/>
    <w:rsid w:val="00712462"/>
    <w:rsid w:val="00717780"/>
    <w:rsid w:val="0072113F"/>
    <w:rsid w:val="00737AE7"/>
    <w:rsid w:val="00750C05"/>
    <w:rsid w:val="00760458"/>
    <w:rsid w:val="00766FBD"/>
    <w:rsid w:val="007866AE"/>
    <w:rsid w:val="007963DA"/>
    <w:rsid w:val="007A474B"/>
    <w:rsid w:val="007B162E"/>
    <w:rsid w:val="007B4166"/>
    <w:rsid w:val="007B5076"/>
    <w:rsid w:val="007E325B"/>
    <w:rsid w:val="0088571B"/>
    <w:rsid w:val="008B4C39"/>
    <w:rsid w:val="008C7C64"/>
    <w:rsid w:val="008F1019"/>
    <w:rsid w:val="008F3A35"/>
    <w:rsid w:val="008F5BA8"/>
    <w:rsid w:val="009110A7"/>
    <w:rsid w:val="00934591"/>
    <w:rsid w:val="00941086"/>
    <w:rsid w:val="009440E1"/>
    <w:rsid w:val="0094684A"/>
    <w:rsid w:val="00991331"/>
    <w:rsid w:val="009D404D"/>
    <w:rsid w:val="009D557C"/>
    <w:rsid w:val="009E2E93"/>
    <w:rsid w:val="009E3E68"/>
    <w:rsid w:val="009F40B2"/>
    <w:rsid w:val="00A14754"/>
    <w:rsid w:val="00A1516B"/>
    <w:rsid w:val="00A5555E"/>
    <w:rsid w:val="00A645F8"/>
    <w:rsid w:val="00A95DA6"/>
    <w:rsid w:val="00AA3C00"/>
    <w:rsid w:val="00AC5B24"/>
    <w:rsid w:val="00AC61B2"/>
    <w:rsid w:val="00AE7651"/>
    <w:rsid w:val="00AE7DF0"/>
    <w:rsid w:val="00AF15CC"/>
    <w:rsid w:val="00AF3A37"/>
    <w:rsid w:val="00B0161D"/>
    <w:rsid w:val="00B05F94"/>
    <w:rsid w:val="00B17DE7"/>
    <w:rsid w:val="00B4796F"/>
    <w:rsid w:val="00B6723E"/>
    <w:rsid w:val="00BC22D6"/>
    <w:rsid w:val="00BC7C57"/>
    <w:rsid w:val="00BD04AA"/>
    <w:rsid w:val="00BF3871"/>
    <w:rsid w:val="00C10E6A"/>
    <w:rsid w:val="00C3403E"/>
    <w:rsid w:val="00C5176E"/>
    <w:rsid w:val="00C724E9"/>
    <w:rsid w:val="00C93F14"/>
    <w:rsid w:val="00CB0289"/>
    <w:rsid w:val="00CB6822"/>
    <w:rsid w:val="00D149A4"/>
    <w:rsid w:val="00D94490"/>
    <w:rsid w:val="00DB2FAC"/>
    <w:rsid w:val="00DE3357"/>
    <w:rsid w:val="00DF590F"/>
    <w:rsid w:val="00E07F3E"/>
    <w:rsid w:val="00E130B2"/>
    <w:rsid w:val="00E476D3"/>
    <w:rsid w:val="00EB0486"/>
    <w:rsid w:val="00EE10BC"/>
    <w:rsid w:val="00F157B8"/>
    <w:rsid w:val="00F31732"/>
    <w:rsid w:val="00F404CB"/>
    <w:rsid w:val="00F7330D"/>
    <w:rsid w:val="00FD6BAB"/>
    <w:rsid w:val="00FE6921"/>
    <w:rsid w:val="04C23386"/>
    <w:rsid w:val="08A606BE"/>
    <w:rsid w:val="116D5360"/>
    <w:rsid w:val="2796781C"/>
    <w:rsid w:val="2C0333E4"/>
    <w:rsid w:val="349F48B9"/>
    <w:rsid w:val="47064BD7"/>
    <w:rsid w:val="475D5C7D"/>
    <w:rsid w:val="48CA3B4E"/>
    <w:rsid w:val="4A855452"/>
    <w:rsid w:val="4FA97DF9"/>
    <w:rsid w:val="57535D91"/>
    <w:rsid w:val="57602697"/>
    <w:rsid w:val="57657EFC"/>
    <w:rsid w:val="608D06F2"/>
    <w:rsid w:val="60EE0CF0"/>
    <w:rsid w:val="6CD44225"/>
    <w:rsid w:val="6FE73A56"/>
    <w:rsid w:val="767C32A6"/>
    <w:rsid w:val="78FB249D"/>
    <w:rsid w:val="7A0F018C"/>
    <w:rsid w:val="7B9C7363"/>
    <w:rsid w:val="7D1B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unhideWhenUsed/>
    <w:qFormat/>
    <w:uiPriority w:val="99"/>
    <w:pPr>
      <w:jc w:val="left"/>
    </w:pPr>
    <w:rPr>
      <w:rFonts w:asciiTheme="minorHAnsi" w:hAnsiTheme="minorHAnsi" w:eastAsiaTheme="minorEastAsia" w:cstheme="minorBidi"/>
      <w:szCs w:val="22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  <w:jc w:val="left"/>
    </w:pPr>
    <w:rPr>
      <w:sz w:val="24"/>
      <w:lang w:eastAsia="zh-TW"/>
    </w:rPr>
  </w:style>
  <w:style w:type="character" w:customStyle="1" w:styleId="11">
    <w:name w:val="批注文字 Char"/>
    <w:basedOn w:val="7"/>
    <w:link w:val="2"/>
    <w:qFormat/>
    <w:uiPriority w:val="99"/>
  </w:style>
  <w:style w:type="character" w:customStyle="1" w:styleId="12">
    <w:name w:val="批注文字 Char1"/>
    <w:basedOn w:val="7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样式 概要 + 段前: 1 行 段后: 0.5 行"/>
    <w:basedOn w:val="1"/>
    <w:qFormat/>
    <w:uiPriority w:val="0"/>
    <w:pPr>
      <w:spacing w:beforeLines="50"/>
    </w:pPr>
    <w:rPr>
      <w:rFonts w:eastAsia="楷体_GB2312" w:cs="宋体"/>
      <w:sz w:val="18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F03C48-D593-4AEC-82DB-E998D97FE9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166</Words>
  <Characters>947</Characters>
  <Lines>7</Lines>
  <Paragraphs>2</Paragraphs>
  <TotalTime>1</TotalTime>
  <ScaleCrop>false</ScaleCrop>
  <LinksUpToDate>false</LinksUpToDate>
  <CharactersWithSpaces>1111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2018-11-30T06:30:00Z</dcterms:created>
  <dc:creator>董蕾</dc:creator>
  <cp:lastModifiedBy>admin</cp:lastModifiedBy>
  <cp:lastPrinted>2018-11-09T05:54:00Z</cp:lastPrinted>
  <dcterms:modified xsi:type="dcterms:W3CDTF">2020-12-11T06:57:34Z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