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ind w:firstLine="120" w:firstLineChars="50"/>
        <w:rPr>
          <w:bCs/>
          <w:iCs/>
          <w:color w:val="000000"/>
          <w:sz w:val="24"/>
        </w:rPr>
      </w:pPr>
      <w:r>
        <w:rPr>
          <w:bCs/>
          <w:iCs/>
          <w:color w:val="000000"/>
          <w:sz w:val="24"/>
        </w:rPr>
        <w:t>证券代码：002973                                 证券简称：侨银环保</w:t>
      </w:r>
    </w:p>
    <w:p>
      <w:pPr>
        <w:spacing w:before="156" w:beforeLines="50" w:after="156" w:afterLines="50" w:line="360" w:lineRule="auto"/>
        <w:jc w:val="center"/>
        <w:rPr>
          <w:b/>
          <w:bCs/>
          <w:iCs/>
          <w:color w:val="000000"/>
          <w:sz w:val="32"/>
          <w:szCs w:val="32"/>
        </w:rPr>
      </w:pPr>
      <w:r>
        <w:rPr>
          <w:b/>
          <w:bCs/>
          <w:iCs/>
          <w:color w:val="000000"/>
          <w:sz w:val="32"/>
          <w:szCs w:val="32"/>
        </w:rPr>
        <w:t>侨银环保科技股份有限公司</w:t>
      </w:r>
    </w:p>
    <w:p>
      <w:pPr>
        <w:spacing w:before="156" w:beforeLines="50" w:after="156" w:afterLines="50" w:line="360" w:lineRule="auto"/>
        <w:jc w:val="center"/>
        <w:rPr>
          <w:b/>
          <w:bCs/>
          <w:iCs/>
          <w:color w:val="000000"/>
          <w:sz w:val="32"/>
          <w:szCs w:val="32"/>
        </w:rPr>
      </w:pPr>
      <w:r>
        <w:rPr>
          <w:b/>
          <w:bCs/>
          <w:iCs/>
          <w:color w:val="000000"/>
          <w:sz w:val="32"/>
          <w:szCs w:val="32"/>
        </w:rPr>
        <w:t>投资者关系活动记录表</w:t>
      </w:r>
    </w:p>
    <w:p>
      <w:pPr>
        <w:wordWrap w:val="0"/>
        <w:spacing w:line="360" w:lineRule="auto"/>
        <w:jc w:val="right"/>
        <w:rPr>
          <w:rFonts w:hint="eastAsia" w:eastAsia="宋体"/>
          <w:bCs/>
          <w:iCs/>
          <w:color w:val="000000"/>
          <w:sz w:val="21"/>
          <w:szCs w:val="21"/>
          <w:lang w:eastAsia="zh-CN"/>
        </w:rPr>
      </w:pPr>
      <w:r>
        <w:rPr>
          <w:bCs/>
          <w:iCs/>
          <w:color w:val="000000"/>
          <w:sz w:val="24"/>
        </w:rPr>
        <w:t xml:space="preserve">                                                      </w:t>
      </w:r>
      <w:r>
        <w:rPr>
          <w:bCs/>
          <w:iCs/>
          <w:color w:val="000000"/>
          <w:sz w:val="21"/>
          <w:szCs w:val="21"/>
        </w:rPr>
        <w:t>编号：2020-01</w:t>
      </w:r>
      <w:r>
        <w:rPr>
          <w:rFonts w:hint="eastAsia"/>
          <w:bCs/>
          <w:iCs/>
          <w:color w:val="000000"/>
          <w:sz w:val="21"/>
          <w:szCs w:val="21"/>
          <w:lang w:val="en-US" w:eastAsia="zh-CN"/>
        </w:rPr>
        <w:t>7</w:t>
      </w:r>
    </w:p>
    <w:tbl>
      <w:tblPr>
        <w:tblStyle w:val="4"/>
        <w:tblW w:w="48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1"/>
        <w:gridCol w:w="6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37" w:type="pct"/>
            <w:vAlign w:val="center"/>
          </w:tcPr>
          <w:p>
            <w:pPr>
              <w:spacing w:line="360" w:lineRule="auto"/>
              <w:jc w:val="center"/>
              <w:rPr>
                <w:b/>
                <w:bCs/>
                <w:iCs/>
                <w:color w:val="000000"/>
                <w:sz w:val="21"/>
                <w:szCs w:val="21"/>
              </w:rPr>
            </w:pPr>
            <w:r>
              <w:rPr>
                <w:b/>
                <w:bCs/>
                <w:iCs/>
                <w:color w:val="000000"/>
                <w:sz w:val="21"/>
                <w:szCs w:val="21"/>
              </w:rPr>
              <w:t>投资者关系活动类别</w:t>
            </w:r>
          </w:p>
        </w:tc>
        <w:tc>
          <w:tcPr>
            <w:tcW w:w="3962" w:type="pct"/>
          </w:tcPr>
          <w:p>
            <w:pPr>
              <w:spacing w:line="360" w:lineRule="auto"/>
              <w:rPr>
                <w:bCs/>
                <w:iCs/>
                <w:color w:val="000000"/>
                <w:sz w:val="21"/>
                <w:szCs w:val="21"/>
              </w:rPr>
            </w:pPr>
            <w:r>
              <w:rPr>
                <w:bCs/>
                <w:iCs/>
                <w:color w:val="000000"/>
                <w:sz w:val="21"/>
                <w:szCs w:val="21"/>
              </w:rPr>
              <w:sym w:font="Wingdings 2" w:char="00A3"/>
            </w:r>
            <w:r>
              <w:rPr>
                <w:sz w:val="21"/>
                <w:szCs w:val="21"/>
              </w:rPr>
              <w:t xml:space="preserve">特定对象调研       </w:t>
            </w:r>
            <w:r>
              <w:rPr>
                <w:color w:val="FF0000"/>
                <w:sz w:val="21"/>
                <w:szCs w:val="21"/>
              </w:rPr>
              <w:t xml:space="preserve"> </w:t>
            </w:r>
            <w:r>
              <w:rPr>
                <w:rFonts w:ascii="宋体" w:hAnsi="宋体"/>
                <w:bCs/>
                <w:iCs/>
                <w:color w:val="000000"/>
                <w:sz w:val="21"/>
                <w:szCs w:val="21"/>
              </w:rPr>
              <w:sym w:font="Wingdings 2" w:char="00A3"/>
            </w:r>
            <w:r>
              <w:rPr>
                <w:sz w:val="21"/>
                <w:szCs w:val="21"/>
              </w:rPr>
              <w:t>分析师会议</w:t>
            </w:r>
          </w:p>
          <w:p>
            <w:pPr>
              <w:spacing w:line="360" w:lineRule="auto"/>
              <w:rPr>
                <w:bCs/>
                <w:iCs/>
                <w:color w:val="000000"/>
                <w:sz w:val="21"/>
                <w:szCs w:val="21"/>
              </w:rPr>
            </w:pPr>
            <w:r>
              <w:rPr>
                <w:rFonts w:ascii="宋体" w:hAnsi="宋体"/>
                <w:bCs/>
                <w:iCs/>
                <w:color w:val="000000"/>
                <w:sz w:val="21"/>
                <w:szCs w:val="21"/>
              </w:rPr>
              <w:t>□</w:t>
            </w:r>
            <w:r>
              <w:rPr>
                <w:sz w:val="21"/>
                <w:szCs w:val="21"/>
              </w:rPr>
              <w:t xml:space="preserve">媒体采访            </w:t>
            </w:r>
            <w:r>
              <w:rPr>
                <w:rFonts w:ascii="宋体" w:hAnsi="宋体"/>
                <w:bCs/>
                <w:iCs/>
                <w:color w:val="000000"/>
                <w:sz w:val="21"/>
                <w:szCs w:val="21"/>
              </w:rPr>
              <w:sym w:font="Wingdings 2" w:char="00A3"/>
            </w:r>
            <w:r>
              <w:rPr>
                <w:sz w:val="21"/>
                <w:szCs w:val="21"/>
              </w:rPr>
              <w:t>业绩说明会</w:t>
            </w:r>
          </w:p>
          <w:p>
            <w:pPr>
              <w:spacing w:line="360" w:lineRule="auto"/>
              <w:rPr>
                <w:bCs/>
                <w:iCs/>
                <w:color w:val="000000"/>
                <w:sz w:val="21"/>
                <w:szCs w:val="21"/>
              </w:rPr>
            </w:pPr>
            <w:r>
              <w:rPr>
                <w:rFonts w:ascii="宋体" w:hAnsi="宋体"/>
                <w:bCs/>
                <w:iCs/>
                <w:color w:val="000000"/>
                <w:sz w:val="21"/>
                <w:szCs w:val="21"/>
              </w:rPr>
              <w:sym w:font="Wingdings 2" w:char="0052"/>
            </w:r>
            <w:r>
              <w:rPr>
                <w:sz w:val="21"/>
                <w:szCs w:val="21"/>
              </w:rPr>
              <w:t xml:space="preserve">新闻发布会          </w:t>
            </w:r>
            <w:r>
              <w:rPr>
                <w:rFonts w:ascii="宋体" w:hAnsi="宋体"/>
                <w:bCs/>
                <w:iCs/>
                <w:color w:val="000000"/>
                <w:sz w:val="21"/>
                <w:szCs w:val="21"/>
              </w:rPr>
              <w:t>□</w:t>
            </w:r>
            <w:r>
              <w:rPr>
                <w:sz w:val="21"/>
                <w:szCs w:val="21"/>
              </w:rPr>
              <w:t>路演活动</w:t>
            </w:r>
          </w:p>
          <w:p>
            <w:pPr>
              <w:tabs>
                <w:tab w:val="left" w:pos="3045"/>
                <w:tab w:val="center" w:pos="3199"/>
              </w:tabs>
              <w:spacing w:line="360" w:lineRule="auto"/>
              <w:rPr>
                <w:bCs/>
                <w:iCs/>
                <w:color w:val="000000"/>
                <w:sz w:val="21"/>
                <w:szCs w:val="21"/>
              </w:rPr>
            </w:pPr>
            <w:r>
              <w:rPr>
                <w:rFonts w:ascii="宋体" w:hAnsi="宋体"/>
                <w:bCs/>
                <w:iCs/>
                <w:color w:val="000000"/>
                <w:sz w:val="21"/>
                <w:szCs w:val="21"/>
              </w:rPr>
              <w:sym w:font="Wingdings 2" w:char="00A3"/>
            </w:r>
            <w:r>
              <w:rPr>
                <w:sz w:val="21"/>
                <w:szCs w:val="21"/>
              </w:rPr>
              <w:t>现场参观</w:t>
            </w:r>
            <w:r>
              <w:rPr>
                <w:rFonts w:hint="eastAsia"/>
                <w:sz w:val="21"/>
                <w:szCs w:val="21"/>
                <w:lang w:val="en-US" w:eastAsia="zh-CN"/>
              </w:rPr>
              <w:t xml:space="preserve">            </w:t>
            </w:r>
            <w:r>
              <w:rPr>
                <w:rFonts w:ascii="宋体" w:hAnsi="宋体"/>
                <w:bCs/>
                <w:iCs/>
                <w:color w:val="000000"/>
                <w:sz w:val="21"/>
                <w:szCs w:val="21"/>
              </w:rPr>
              <w:sym w:font="Wingdings 2" w:char="00A3"/>
            </w:r>
            <w:r>
              <w:rPr>
                <w:sz w:val="21"/>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7" w:type="pct"/>
            <w:vAlign w:val="center"/>
          </w:tcPr>
          <w:p>
            <w:pPr>
              <w:spacing w:line="360" w:lineRule="auto"/>
              <w:jc w:val="center"/>
              <w:rPr>
                <w:b/>
                <w:bCs/>
                <w:iCs/>
                <w:color w:val="000000"/>
                <w:sz w:val="21"/>
                <w:szCs w:val="21"/>
              </w:rPr>
            </w:pPr>
            <w:r>
              <w:rPr>
                <w:b/>
                <w:bCs/>
                <w:iCs/>
                <w:color w:val="000000"/>
                <w:sz w:val="21"/>
                <w:szCs w:val="21"/>
              </w:rPr>
              <w:t>参与单位名称及人员姓名</w:t>
            </w:r>
          </w:p>
        </w:tc>
        <w:tc>
          <w:tcPr>
            <w:tcW w:w="3962" w:type="pct"/>
            <w:vAlign w:val="center"/>
          </w:tcPr>
          <w:p>
            <w:pPr>
              <w:spacing w:line="360" w:lineRule="auto"/>
              <w:rPr>
                <w:rFonts w:hint="eastAsia"/>
                <w:bCs/>
                <w:iCs/>
                <w:color w:val="000000"/>
                <w:sz w:val="21"/>
                <w:szCs w:val="21"/>
                <w:lang w:eastAsia="zh-CN"/>
              </w:rPr>
            </w:pPr>
            <w:r>
              <w:rPr>
                <w:rFonts w:hint="eastAsia"/>
                <w:b/>
                <w:bCs w:val="0"/>
                <w:iCs/>
                <w:color w:val="000000"/>
                <w:sz w:val="21"/>
                <w:szCs w:val="21"/>
                <w:lang w:eastAsia="zh-CN"/>
              </w:rPr>
              <w:t>机构投资者：</w:t>
            </w:r>
            <w:r>
              <w:rPr>
                <w:rFonts w:hint="eastAsia"/>
                <w:bCs/>
                <w:iCs/>
                <w:color w:val="000000"/>
                <w:sz w:val="21"/>
                <w:szCs w:val="21"/>
                <w:lang w:eastAsia="zh-CN"/>
              </w:rPr>
              <w:t>易方达基金、中科沃土基金、玄元投资、惠正投资、恩宝资产、新同方投资、太行资产、南传资产、南方传媒投资、广发证券、东吴证券、长江证券、国盛证券、中金证券、华泰证券、国金证券、华西证券、华金证券、东方证券、中原证券、天风证券、国泰君安、东兴证券等</w:t>
            </w:r>
          </w:p>
          <w:p>
            <w:pPr>
              <w:spacing w:line="360" w:lineRule="auto"/>
              <w:rPr>
                <w:rFonts w:hint="eastAsia"/>
                <w:bCs/>
                <w:iCs/>
                <w:color w:val="000000"/>
                <w:sz w:val="21"/>
                <w:szCs w:val="21"/>
                <w:lang w:eastAsia="zh-CN"/>
              </w:rPr>
            </w:pPr>
            <w:r>
              <w:rPr>
                <w:rFonts w:hint="eastAsia"/>
                <w:b/>
                <w:bCs w:val="0"/>
                <w:iCs/>
                <w:color w:val="000000"/>
                <w:sz w:val="21"/>
                <w:szCs w:val="21"/>
                <w:lang w:eastAsia="zh-CN"/>
              </w:rPr>
              <w:t>媒体：</w:t>
            </w:r>
            <w:r>
              <w:rPr>
                <w:rFonts w:hint="eastAsia"/>
                <w:bCs/>
                <w:iCs/>
                <w:color w:val="000000"/>
                <w:sz w:val="21"/>
                <w:szCs w:val="21"/>
                <w:lang w:eastAsia="zh-CN"/>
              </w:rPr>
              <w:t>中央广播电台央视广东站、新华社、证券时报、中国证券报、上海证券报、广州电视台综合频道、南方电视台、广东电视台、深圳电视台、南方都市报、广东科技报、南方日报、羊城晚报、广州日报、亚太经济时报、粤港澳都市网、南方网、新华网、央广网、腾讯新闻、Tom、中国网、网易新闻、凤凰新闻、Zaker、腾讯视频、网易视频、信息时报、新快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7" w:type="pct"/>
            <w:vAlign w:val="center"/>
          </w:tcPr>
          <w:p>
            <w:pPr>
              <w:spacing w:line="360" w:lineRule="auto"/>
              <w:jc w:val="center"/>
              <w:rPr>
                <w:b/>
                <w:bCs/>
                <w:iCs/>
                <w:color w:val="000000"/>
                <w:sz w:val="21"/>
                <w:szCs w:val="21"/>
              </w:rPr>
            </w:pPr>
            <w:r>
              <w:rPr>
                <w:b/>
                <w:bCs/>
                <w:iCs/>
                <w:color w:val="000000"/>
                <w:sz w:val="21"/>
                <w:szCs w:val="21"/>
              </w:rPr>
              <w:t>时间</w:t>
            </w:r>
          </w:p>
        </w:tc>
        <w:tc>
          <w:tcPr>
            <w:tcW w:w="3962" w:type="pct"/>
            <w:vAlign w:val="center"/>
          </w:tcPr>
          <w:p>
            <w:pPr>
              <w:spacing w:line="360" w:lineRule="auto"/>
              <w:rPr>
                <w:bCs/>
                <w:iCs/>
                <w:color w:val="000000"/>
                <w:sz w:val="21"/>
                <w:szCs w:val="21"/>
              </w:rPr>
            </w:pPr>
            <w:r>
              <w:rPr>
                <w:rFonts w:hint="eastAsia"/>
                <w:sz w:val="21"/>
                <w:szCs w:val="21"/>
              </w:rPr>
              <w:t>2</w:t>
            </w:r>
            <w:r>
              <w:rPr>
                <w:sz w:val="21"/>
                <w:szCs w:val="21"/>
              </w:rPr>
              <w:t>020</w:t>
            </w:r>
            <w:r>
              <w:rPr>
                <w:rFonts w:hint="eastAsia"/>
                <w:sz w:val="21"/>
                <w:szCs w:val="21"/>
              </w:rPr>
              <w:t>年</w:t>
            </w:r>
            <w:r>
              <w:rPr>
                <w:rFonts w:hint="eastAsia"/>
                <w:sz w:val="21"/>
                <w:szCs w:val="21"/>
                <w:lang w:val="en-US" w:eastAsia="zh-CN"/>
              </w:rPr>
              <w:t>12</w:t>
            </w:r>
            <w:r>
              <w:rPr>
                <w:rFonts w:hint="eastAsia"/>
                <w:sz w:val="21"/>
                <w:szCs w:val="21"/>
              </w:rPr>
              <w:t>月</w:t>
            </w:r>
            <w:r>
              <w:rPr>
                <w:rFonts w:hint="eastAsia"/>
                <w:sz w:val="21"/>
                <w:szCs w:val="21"/>
                <w:lang w:val="en-US" w:eastAsia="zh-CN"/>
              </w:rPr>
              <w:t>22</w:t>
            </w:r>
            <w:r>
              <w:rPr>
                <w:rFonts w:hint="eastAsia"/>
                <w:sz w:val="21"/>
                <w:szCs w:val="21"/>
              </w:rPr>
              <w:t>日 1</w:t>
            </w:r>
            <w:r>
              <w:rPr>
                <w:rFonts w:hint="eastAsia"/>
                <w:sz w:val="21"/>
                <w:szCs w:val="21"/>
                <w:lang w:val="en-US" w:eastAsia="zh-CN"/>
              </w:rPr>
              <w:t>3</w:t>
            </w:r>
            <w:r>
              <w:rPr>
                <w:rFonts w:hint="eastAsia"/>
                <w:sz w:val="21"/>
                <w:szCs w:val="21"/>
              </w:rPr>
              <w:t>:30开始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7" w:type="pct"/>
            <w:vAlign w:val="center"/>
          </w:tcPr>
          <w:p>
            <w:pPr>
              <w:spacing w:line="360" w:lineRule="auto"/>
              <w:jc w:val="center"/>
              <w:rPr>
                <w:b/>
                <w:bCs/>
                <w:iCs/>
                <w:color w:val="000000"/>
                <w:sz w:val="21"/>
                <w:szCs w:val="21"/>
              </w:rPr>
            </w:pPr>
            <w:r>
              <w:rPr>
                <w:b/>
                <w:bCs/>
                <w:iCs/>
                <w:color w:val="000000"/>
                <w:sz w:val="21"/>
                <w:szCs w:val="21"/>
              </w:rPr>
              <w:t>地点</w:t>
            </w:r>
          </w:p>
        </w:tc>
        <w:tc>
          <w:tcPr>
            <w:tcW w:w="3962" w:type="pct"/>
            <w:vAlign w:val="center"/>
          </w:tcPr>
          <w:p>
            <w:pPr>
              <w:spacing w:line="360" w:lineRule="auto"/>
              <w:rPr>
                <w:rFonts w:hint="eastAsia" w:eastAsia="宋体"/>
                <w:bCs/>
                <w:iCs/>
                <w:color w:val="000000"/>
                <w:sz w:val="21"/>
                <w:szCs w:val="21"/>
                <w:lang w:eastAsia="zh-CN"/>
              </w:rPr>
            </w:pPr>
            <w:r>
              <w:rPr>
                <w:rFonts w:hint="eastAsia"/>
                <w:bCs/>
                <w:iCs/>
                <w:color w:val="000000"/>
                <w:sz w:val="21"/>
                <w:szCs w:val="21"/>
                <w:lang w:eastAsia="zh-CN"/>
              </w:rPr>
              <w:t>广州富力丽思卡尔顿酒店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7" w:type="pct"/>
          </w:tcPr>
          <w:p>
            <w:pPr>
              <w:spacing w:line="360" w:lineRule="auto"/>
              <w:jc w:val="center"/>
              <w:rPr>
                <w:b/>
                <w:bCs/>
                <w:iCs/>
                <w:color w:val="000000"/>
                <w:sz w:val="21"/>
                <w:szCs w:val="21"/>
              </w:rPr>
            </w:pPr>
            <w:r>
              <w:rPr>
                <w:b/>
                <w:bCs/>
                <w:iCs/>
                <w:color w:val="000000"/>
                <w:sz w:val="21"/>
                <w:szCs w:val="21"/>
              </w:rPr>
              <w:t>上市公司接待人员姓名</w:t>
            </w:r>
          </w:p>
        </w:tc>
        <w:tc>
          <w:tcPr>
            <w:tcW w:w="3962" w:type="pct"/>
            <w:vAlign w:val="center"/>
          </w:tcPr>
          <w:p>
            <w:pPr>
              <w:widowControl/>
              <w:spacing w:line="360" w:lineRule="auto"/>
              <w:rPr>
                <w:sz w:val="21"/>
                <w:szCs w:val="21"/>
              </w:rPr>
            </w:pPr>
            <w:r>
              <w:rPr>
                <w:rFonts w:hint="eastAsia"/>
                <w:sz w:val="21"/>
                <w:szCs w:val="21"/>
                <w:lang w:eastAsia="zh-CN"/>
              </w:rPr>
              <w:t>董事长兼总经理：刘少云；</w:t>
            </w:r>
            <w:r>
              <w:rPr>
                <w:sz w:val="21"/>
                <w:szCs w:val="21"/>
              </w:rPr>
              <w:t>财务总监：陈立叶</w:t>
            </w:r>
            <w:r>
              <w:rPr>
                <w:rFonts w:hint="eastAsia"/>
                <w:sz w:val="21"/>
                <w:szCs w:val="21"/>
                <w:lang w:eastAsia="zh-CN"/>
              </w:rPr>
              <w:t>；</w:t>
            </w:r>
            <w:r>
              <w:rPr>
                <w:sz w:val="21"/>
                <w:szCs w:val="21"/>
              </w:rPr>
              <w:t>董事会秘书：陈春霞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037" w:type="pct"/>
            <w:vAlign w:val="center"/>
          </w:tcPr>
          <w:p>
            <w:pPr>
              <w:spacing w:line="360" w:lineRule="auto"/>
              <w:jc w:val="center"/>
              <w:rPr>
                <w:b/>
                <w:bCs/>
                <w:iCs/>
                <w:color w:val="000000"/>
                <w:sz w:val="21"/>
                <w:szCs w:val="21"/>
              </w:rPr>
            </w:pPr>
            <w:r>
              <w:rPr>
                <w:b/>
                <w:bCs/>
                <w:iCs/>
                <w:color w:val="000000"/>
                <w:sz w:val="21"/>
                <w:szCs w:val="21"/>
              </w:rPr>
              <w:t>投资者关系活动主要内容介绍</w:t>
            </w:r>
          </w:p>
        </w:tc>
        <w:tc>
          <w:tcPr>
            <w:tcW w:w="3962" w:type="pct"/>
            <w:vAlign w:val="center"/>
          </w:tcPr>
          <w:p>
            <w:pPr>
              <w:spacing w:line="360" w:lineRule="auto"/>
              <w:rPr>
                <w:sz w:val="21"/>
                <w:szCs w:val="21"/>
              </w:rPr>
            </w:pPr>
            <w:r>
              <w:rPr>
                <w:sz w:val="21"/>
                <w:szCs w:val="21"/>
              </w:rPr>
              <w:t>详见会议纪要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7" w:type="pct"/>
            <w:vAlign w:val="center"/>
          </w:tcPr>
          <w:p>
            <w:pPr>
              <w:spacing w:line="360" w:lineRule="auto"/>
              <w:jc w:val="center"/>
              <w:rPr>
                <w:b/>
                <w:bCs/>
                <w:iCs/>
                <w:color w:val="000000"/>
                <w:sz w:val="21"/>
                <w:szCs w:val="21"/>
              </w:rPr>
            </w:pPr>
            <w:r>
              <w:rPr>
                <w:b/>
                <w:bCs/>
                <w:iCs/>
                <w:color w:val="000000"/>
                <w:sz w:val="21"/>
                <w:szCs w:val="21"/>
              </w:rPr>
              <w:t>附件清单（如有）</w:t>
            </w:r>
          </w:p>
        </w:tc>
        <w:tc>
          <w:tcPr>
            <w:tcW w:w="3962" w:type="pct"/>
            <w:vAlign w:val="center"/>
          </w:tcPr>
          <w:p>
            <w:pPr>
              <w:spacing w:line="360" w:lineRule="auto"/>
              <w:rPr>
                <w:sz w:val="21"/>
                <w:szCs w:val="21"/>
              </w:rPr>
            </w:pPr>
            <w:r>
              <w:rPr>
                <w:sz w:val="21"/>
                <w:szCs w:val="21"/>
              </w:rPr>
              <w:t>会议纪要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7" w:type="pct"/>
            <w:vAlign w:val="center"/>
          </w:tcPr>
          <w:p>
            <w:pPr>
              <w:spacing w:line="360" w:lineRule="auto"/>
              <w:jc w:val="center"/>
              <w:rPr>
                <w:b/>
                <w:bCs/>
                <w:iCs/>
                <w:color w:val="000000"/>
                <w:sz w:val="21"/>
                <w:szCs w:val="21"/>
              </w:rPr>
            </w:pPr>
            <w:r>
              <w:rPr>
                <w:b/>
                <w:bCs/>
                <w:iCs/>
                <w:color w:val="000000"/>
                <w:sz w:val="21"/>
                <w:szCs w:val="21"/>
              </w:rPr>
              <w:t>日期</w:t>
            </w:r>
          </w:p>
        </w:tc>
        <w:tc>
          <w:tcPr>
            <w:tcW w:w="3962" w:type="pct"/>
            <w:vAlign w:val="center"/>
          </w:tcPr>
          <w:p>
            <w:pPr>
              <w:widowControl/>
              <w:spacing w:line="360" w:lineRule="auto"/>
              <w:rPr>
                <w:sz w:val="21"/>
                <w:szCs w:val="21"/>
              </w:rPr>
            </w:pPr>
            <w:r>
              <w:rPr>
                <w:sz w:val="21"/>
                <w:szCs w:val="21"/>
              </w:rPr>
              <w:t>2020年</w:t>
            </w:r>
            <w:r>
              <w:rPr>
                <w:rFonts w:hint="eastAsia"/>
                <w:sz w:val="21"/>
                <w:szCs w:val="21"/>
                <w:lang w:val="en-US" w:eastAsia="zh-CN"/>
              </w:rPr>
              <w:t>12</w:t>
            </w:r>
            <w:r>
              <w:rPr>
                <w:sz w:val="21"/>
                <w:szCs w:val="21"/>
              </w:rPr>
              <w:t>月</w:t>
            </w:r>
            <w:r>
              <w:rPr>
                <w:rFonts w:hint="eastAsia"/>
                <w:sz w:val="21"/>
                <w:szCs w:val="21"/>
                <w:lang w:val="en-US" w:eastAsia="zh-CN"/>
              </w:rPr>
              <w:t>22</w:t>
            </w:r>
            <w:r>
              <w:rPr>
                <w:sz w:val="21"/>
                <w:szCs w:val="21"/>
              </w:rPr>
              <w:t>日</w:t>
            </w:r>
          </w:p>
        </w:tc>
      </w:tr>
    </w:tbl>
    <w:p>
      <w:pPr>
        <w:spacing w:before="156" w:beforeLines="50" w:after="156" w:afterLines="50" w:line="360" w:lineRule="auto"/>
        <w:jc w:val="center"/>
        <w:rPr>
          <w:b/>
          <w:bCs/>
          <w:iCs/>
          <w:color w:val="000000"/>
          <w:sz w:val="32"/>
          <w:szCs w:val="32"/>
        </w:rPr>
      </w:pPr>
      <w:r>
        <w:rPr>
          <w:b/>
          <w:bCs/>
          <w:iCs/>
          <w:color w:val="000000"/>
          <w:sz w:val="32"/>
          <w:szCs w:val="32"/>
        </w:rPr>
        <w:t>会议纪要</w:t>
      </w:r>
    </w:p>
    <w:tbl>
      <w:tblPr>
        <w:tblStyle w:val="4"/>
        <w:tblW w:w="84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2452"/>
        <w:gridCol w:w="1433"/>
        <w:gridCol w:w="2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809" w:type="dxa"/>
            <w:vAlign w:val="center"/>
          </w:tcPr>
          <w:p>
            <w:pPr>
              <w:spacing w:line="360" w:lineRule="auto"/>
              <w:jc w:val="center"/>
              <w:rPr>
                <w:b/>
                <w:sz w:val="21"/>
                <w:szCs w:val="21"/>
              </w:rPr>
            </w:pPr>
            <w:r>
              <w:rPr>
                <w:b/>
                <w:sz w:val="21"/>
                <w:szCs w:val="21"/>
              </w:rPr>
              <w:t>会议名称</w:t>
            </w:r>
          </w:p>
        </w:tc>
        <w:tc>
          <w:tcPr>
            <w:tcW w:w="6663" w:type="dxa"/>
            <w:gridSpan w:val="3"/>
            <w:vAlign w:val="center"/>
          </w:tcPr>
          <w:p>
            <w:pPr>
              <w:spacing w:line="360" w:lineRule="auto"/>
              <w:rPr>
                <w:sz w:val="21"/>
                <w:szCs w:val="21"/>
              </w:rPr>
            </w:pPr>
            <w:r>
              <w:rPr>
                <w:rFonts w:hint="eastAsia"/>
                <w:bCs/>
                <w:iCs/>
                <w:color w:val="000000"/>
                <w:sz w:val="21"/>
                <w:szCs w:val="21"/>
                <w:lang w:eastAsia="zh-CN"/>
              </w:rPr>
              <w:t>“城市大管家 创新驱动未来”品牌更名仪式暨战略发布会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809" w:type="dxa"/>
            <w:vAlign w:val="center"/>
          </w:tcPr>
          <w:p>
            <w:pPr>
              <w:spacing w:line="360" w:lineRule="auto"/>
              <w:jc w:val="center"/>
              <w:rPr>
                <w:b/>
                <w:sz w:val="21"/>
                <w:szCs w:val="21"/>
              </w:rPr>
            </w:pPr>
            <w:r>
              <w:rPr>
                <w:b/>
                <w:sz w:val="21"/>
                <w:szCs w:val="21"/>
              </w:rPr>
              <w:t>时间</w:t>
            </w:r>
          </w:p>
        </w:tc>
        <w:tc>
          <w:tcPr>
            <w:tcW w:w="2452" w:type="dxa"/>
            <w:vAlign w:val="center"/>
          </w:tcPr>
          <w:p>
            <w:pPr>
              <w:spacing w:line="360" w:lineRule="auto"/>
              <w:rPr>
                <w:sz w:val="21"/>
                <w:szCs w:val="21"/>
              </w:rPr>
            </w:pPr>
            <w:r>
              <w:rPr>
                <w:sz w:val="21"/>
                <w:szCs w:val="21"/>
              </w:rPr>
              <w:t>2020.</w:t>
            </w:r>
            <w:r>
              <w:rPr>
                <w:rFonts w:hint="eastAsia"/>
                <w:sz w:val="21"/>
                <w:szCs w:val="21"/>
                <w:lang w:val="en-US" w:eastAsia="zh-CN"/>
              </w:rPr>
              <w:t>12</w:t>
            </w:r>
            <w:r>
              <w:rPr>
                <w:sz w:val="21"/>
                <w:szCs w:val="21"/>
              </w:rPr>
              <w:t>.</w:t>
            </w:r>
            <w:r>
              <w:rPr>
                <w:rFonts w:hint="eastAsia"/>
                <w:sz w:val="21"/>
                <w:szCs w:val="21"/>
                <w:lang w:val="en-US" w:eastAsia="zh-CN"/>
              </w:rPr>
              <w:t>22</w:t>
            </w:r>
            <w:r>
              <w:rPr>
                <w:sz w:val="21"/>
                <w:szCs w:val="21"/>
              </w:rPr>
              <w:t xml:space="preserve"> 1</w:t>
            </w:r>
            <w:r>
              <w:rPr>
                <w:rFonts w:hint="eastAsia"/>
                <w:sz w:val="21"/>
                <w:szCs w:val="21"/>
                <w:lang w:val="en-US" w:eastAsia="zh-CN"/>
              </w:rPr>
              <w:t>3</w:t>
            </w:r>
            <w:r>
              <w:rPr>
                <w:sz w:val="21"/>
                <w:szCs w:val="21"/>
              </w:rPr>
              <w:t>:</w:t>
            </w:r>
            <w:r>
              <w:rPr>
                <w:rFonts w:hint="eastAsia"/>
                <w:sz w:val="21"/>
                <w:szCs w:val="21"/>
              </w:rPr>
              <w:t>30</w:t>
            </w:r>
            <w:r>
              <w:rPr>
                <w:sz w:val="21"/>
                <w:szCs w:val="21"/>
              </w:rPr>
              <w:t>开始</w:t>
            </w:r>
          </w:p>
        </w:tc>
        <w:tc>
          <w:tcPr>
            <w:tcW w:w="1433" w:type="dxa"/>
            <w:vAlign w:val="center"/>
          </w:tcPr>
          <w:p>
            <w:pPr>
              <w:spacing w:line="360" w:lineRule="auto"/>
              <w:jc w:val="center"/>
              <w:rPr>
                <w:b/>
                <w:sz w:val="21"/>
                <w:szCs w:val="21"/>
              </w:rPr>
            </w:pPr>
            <w:r>
              <w:rPr>
                <w:b/>
                <w:sz w:val="21"/>
                <w:szCs w:val="21"/>
              </w:rPr>
              <w:t>地点</w:t>
            </w:r>
          </w:p>
        </w:tc>
        <w:tc>
          <w:tcPr>
            <w:tcW w:w="2778" w:type="dxa"/>
            <w:vAlign w:val="center"/>
          </w:tcPr>
          <w:p>
            <w:pPr>
              <w:spacing w:line="360" w:lineRule="auto"/>
              <w:rPr>
                <w:sz w:val="21"/>
                <w:szCs w:val="21"/>
              </w:rPr>
            </w:pPr>
            <w:r>
              <w:rPr>
                <w:rFonts w:hint="eastAsia"/>
                <w:bCs/>
                <w:iCs/>
                <w:color w:val="000000"/>
                <w:sz w:val="21"/>
                <w:szCs w:val="21"/>
                <w:lang w:eastAsia="zh-CN"/>
              </w:rPr>
              <w:t>广州富力丽思卡尔顿酒店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09" w:type="dxa"/>
            <w:vAlign w:val="center"/>
          </w:tcPr>
          <w:p>
            <w:pPr>
              <w:spacing w:line="360" w:lineRule="auto"/>
              <w:jc w:val="center"/>
              <w:rPr>
                <w:b/>
                <w:sz w:val="21"/>
                <w:szCs w:val="21"/>
              </w:rPr>
            </w:pPr>
            <w:r>
              <w:rPr>
                <w:b/>
                <w:sz w:val="21"/>
                <w:szCs w:val="21"/>
              </w:rPr>
              <w:t>参会人员</w:t>
            </w:r>
          </w:p>
        </w:tc>
        <w:tc>
          <w:tcPr>
            <w:tcW w:w="6663" w:type="dxa"/>
            <w:gridSpan w:val="3"/>
          </w:tcPr>
          <w:p>
            <w:pPr>
              <w:spacing w:line="360" w:lineRule="auto"/>
              <w:rPr>
                <w:rFonts w:hint="eastAsia"/>
                <w:bCs/>
                <w:iCs/>
                <w:color w:val="000000"/>
                <w:sz w:val="21"/>
                <w:szCs w:val="21"/>
                <w:lang w:eastAsia="zh-CN"/>
              </w:rPr>
            </w:pPr>
            <w:r>
              <w:rPr>
                <w:rFonts w:hint="eastAsia"/>
                <w:b/>
                <w:bCs w:val="0"/>
                <w:iCs/>
                <w:color w:val="000000"/>
                <w:sz w:val="21"/>
                <w:szCs w:val="21"/>
                <w:lang w:eastAsia="zh-CN"/>
              </w:rPr>
              <w:t>机构投资者：</w:t>
            </w:r>
            <w:r>
              <w:rPr>
                <w:rFonts w:hint="eastAsia"/>
                <w:bCs/>
                <w:iCs/>
                <w:color w:val="000000"/>
                <w:sz w:val="21"/>
                <w:szCs w:val="21"/>
                <w:lang w:eastAsia="zh-CN"/>
              </w:rPr>
              <w:t>易方达基金、中科沃土基金、玄元投资、惠正投资、恩宝资产、新同方投资、太行资产、南传资产、南方传媒投资、广发证券、东吴证券、长江证券、国盛证券、中金证券、华泰证券、国金证券、华西证券、华金证券、东方证券、中原证券、天风证券、国泰君安、东兴证券等</w:t>
            </w:r>
          </w:p>
          <w:p>
            <w:pPr>
              <w:spacing w:line="360" w:lineRule="auto"/>
              <w:rPr>
                <w:rFonts w:hint="eastAsia"/>
                <w:bCs/>
                <w:iCs/>
                <w:color w:val="000000"/>
                <w:sz w:val="21"/>
                <w:szCs w:val="21"/>
                <w:lang w:eastAsia="zh-CN"/>
              </w:rPr>
            </w:pPr>
            <w:r>
              <w:rPr>
                <w:rFonts w:hint="eastAsia"/>
                <w:b/>
                <w:bCs w:val="0"/>
                <w:iCs/>
                <w:color w:val="000000"/>
                <w:sz w:val="21"/>
                <w:szCs w:val="21"/>
                <w:lang w:eastAsia="zh-CN"/>
              </w:rPr>
              <w:t>媒体：</w:t>
            </w:r>
            <w:r>
              <w:rPr>
                <w:rFonts w:hint="eastAsia"/>
                <w:bCs/>
                <w:iCs/>
                <w:color w:val="000000"/>
                <w:sz w:val="21"/>
                <w:szCs w:val="21"/>
                <w:lang w:eastAsia="zh-CN"/>
              </w:rPr>
              <w:t>中央广播电台央视广东站、新华社、证券时报、中国证券报、上海证券报、广州电视台综合频道、南方电视台、广东电视台、深圳电视台、南方都市报、广东科技报、南方日报、羊城晚报、广州日报、亚太经济时报、粤港澳都市网、南方网、新华网、央广网、腾讯新闻、Tom、中国网、网易新闻、凤凰新闻、Zaker、腾讯视频、网易视频、信息时报、新快报等</w:t>
            </w:r>
          </w:p>
          <w:p>
            <w:pPr>
              <w:spacing w:line="360" w:lineRule="auto"/>
              <w:rPr>
                <w:rFonts w:hint="eastAsia"/>
                <w:bCs/>
                <w:iCs/>
                <w:color w:val="000000"/>
                <w:sz w:val="21"/>
                <w:szCs w:val="21"/>
                <w:lang w:eastAsia="zh-CN"/>
              </w:rPr>
            </w:pPr>
          </w:p>
          <w:p>
            <w:pPr>
              <w:widowControl/>
              <w:spacing w:line="360" w:lineRule="auto"/>
              <w:rPr>
                <w:b/>
                <w:sz w:val="21"/>
                <w:szCs w:val="21"/>
              </w:rPr>
            </w:pPr>
            <w:r>
              <w:rPr>
                <w:b/>
                <w:sz w:val="21"/>
                <w:szCs w:val="21"/>
              </w:rPr>
              <w:t>公司人员：</w:t>
            </w:r>
          </w:p>
          <w:p>
            <w:pPr>
              <w:widowControl/>
              <w:spacing w:line="360" w:lineRule="auto"/>
              <w:rPr>
                <w:sz w:val="21"/>
                <w:szCs w:val="21"/>
              </w:rPr>
            </w:pPr>
            <w:r>
              <w:rPr>
                <w:rFonts w:hint="eastAsia"/>
                <w:sz w:val="21"/>
                <w:szCs w:val="21"/>
                <w:lang w:eastAsia="zh-CN"/>
              </w:rPr>
              <w:t>董事长兼总经理：刘少云；</w:t>
            </w:r>
            <w:r>
              <w:rPr>
                <w:sz w:val="21"/>
                <w:szCs w:val="21"/>
              </w:rPr>
              <w:t>财务总监：陈立叶</w:t>
            </w:r>
            <w:r>
              <w:rPr>
                <w:rFonts w:hint="eastAsia"/>
                <w:sz w:val="21"/>
                <w:szCs w:val="21"/>
                <w:lang w:eastAsia="zh-CN"/>
              </w:rPr>
              <w:t>；</w:t>
            </w:r>
            <w:r>
              <w:rPr>
                <w:sz w:val="21"/>
                <w:szCs w:val="21"/>
              </w:rPr>
              <w:t>董事会秘书：陈春霞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809" w:type="dxa"/>
            <w:vAlign w:val="center"/>
          </w:tcPr>
          <w:p>
            <w:pPr>
              <w:spacing w:line="360" w:lineRule="auto"/>
              <w:jc w:val="center"/>
              <w:rPr>
                <w:b/>
                <w:sz w:val="21"/>
                <w:szCs w:val="21"/>
              </w:rPr>
            </w:pPr>
            <w:r>
              <w:rPr>
                <w:b/>
                <w:sz w:val="21"/>
                <w:szCs w:val="21"/>
              </w:rPr>
              <w:t>主持人</w:t>
            </w:r>
          </w:p>
        </w:tc>
        <w:tc>
          <w:tcPr>
            <w:tcW w:w="2452" w:type="dxa"/>
            <w:vAlign w:val="center"/>
          </w:tcPr>
          <w:p>
            <w:pPr>
              <w:spacing w:line="360" w:lineRule="auto"/>
              <w:jc w:val="center"/>
              <w:rPr>
                <w:b/>
                <w:sz w:val="21"/>
                <w:szCs w:val="21"/>
              </w:rPr>
            </w:pPr>
            <w:r>
              <w:rPr>
                <w:b/>
                <w:sz w:val="21"/>
                <w:szCs w:val="21"/>
              </w:rPr>
              <w:t>/</w:t>
            </w:r>
          </w:p>
        </w:tc>
        <w:tc>
          <w:tcPr>
            <w:tcW w:w="1433" w:type="dxa"/>
            <w:vAlign w:val="center"/>
          </w:tcPr>
          <w:p>
            <w:pPr>
              <w:spacing w:line="360" w:lineRule="auto"/>
              <w:jc w:val="center"/>
              <w:rPr>
                <w:b/>
                <w:sz w:val="21"/>
                <w:szCs w:val="21"/>
              </w:rPr>
            </w:pPr>
            <w:r>
              <w:rPr>
                <w:b/>
                <w:sz w:val="21"/>
                <w:szCs w:val="21"/>
              </w:rPr>
              <w:t>记录人</w:t>
            </w:r>
          </w:p>
        </w:tc>
        <w:tc>
          <w:tcPr>
            <w:tcW w:w="2778" w:type="dxa"/>
            <w:vAlign w:val="center"/>
          </w:tcPr>
          <w:p>
            <w:pPr>
              <w:spacing w:line="360" w:lineRule="auto"/>
              <w:rPr>
                <w:sz w:val="21"/>
                <w:szCs w:val="21"/>
              </w:rPr>
            </w:pPr>
            <w:r>
              <w:rPr>
                <w:rFonts w:hint="eastAsia"/>
                <w:sz w:val="21"/>
                <w:szCs w:val="21"/>
                <w:lang w:eastAsia="zh-CN"/>
              </w:rPr>
              <w:t>黄美华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2" w:type="dxa"/>
            <w:gridSpan w:val="4"/>
            <w:tcMar>
              <w:top w:w="283" w:type="dxa"/>
              <w:left w:w="454" w:type="dxa"/>
              <w:bottom w:w="283" w:type="dxa"/>
              <w:right w:w="454" w:type="dxa"/>
            </w:tcMar>
          </w:tcPr>
          <w:p>
            <w:pPr>
              <w:spacing w:line="360" w:lineRule="auto"/>
              <w:rPr>
                <w:b/>
                <w:sz w:val="21"/>
                <w:szCs w:val="21"/>
              </w:rPr>
            </w:pPr>
            <w:r>
              <w:rPr>
                <w:b/>
                <w:sz w:val="21"/>
                <w:szCs w:val="21"/>
              </w:rPr>
              <w:t>纪要内容：</w:t>
            </w:r>
          </w:p>
          <w:p>
            <w:pPr>
              <w:spacing w:line="360" w:lineRule="auto"/>
              <w:ind w:firstLine="422" w:firstLineChars="200"/>
              <w:rPr>
                <w:rFonts w:hint="eastAsia"/>
                <w:b/>
                <w:sz w:val="21"/>
                <w:szCs w:val="21"/>
                <w:lang w:eastAsia="zh-CN"/>
              </w:rPr>
            </w:pPr>
            <w:r>
              <w:rPr>
                <w:rFonts w:hint="eastAsia"/>
                <w:b/>
                <w:sz w:val="21"/>
                <w:szCs w:val="21"/>
                <w:lang w:eastAsia="zh-CN"/>
              </w:rPr>
              <w:t>一、董事长致辞简介：</w:t>
            </w:r>
          </w:p>
          <w:p>
            <w:pPr>
              <w:spacing w:line="360" w:lineRule="auto"/>
              <w:ind w:firstLine="420" w:firstLineChars="200"/>
              <w:rPr>
                <w:rFonts w:hint="eastAsia"/>
                <w:sz w:val="21"/>
                <w:szCs w:val="21"/>
              </w:rPr>
            </w:pPr>
            <w:r>
              <w:rPr>
                <w:rFonts w:hint="eastAsia"/>
                <w:sz w:val="21"/>
                <w:szCs w:val="21"/>
              </w:rPr>
              <w:t>推进城市管理现代化，凝聚着党和国家领导的殷切希望，关系着14亿人民的美好生活环境。侨银环保自2001年成立以来，一直致力于环境事业，紧紧围绕“人居环境综合提升”这一核心战略，坚持实施“城市大管家”战略发展，现形成了一套综合性的城乡公共环境管理服务体系，为做好城市管理服务积蓄高能。</w:t>
            </w:r>
          </w:p>
          <w:p>
            <w:pPr>
              <w:spacing w:line="360" w:lineRule="auto"/>
              <w:ind w:firstLine="420" w:firstLineChars="200"/>
              <w:rPr>
                <w:rFonts w:hint="eastAsia"/>
                <w:sz w:val="21"/>
                <w:szCs w:val="21"/>
              </w:rPr>
            </w:pPr>
            <w:r>
              <w:rPr>
                <w:rFonts w:hint="eastAsia"/>
                <w:sz w:val="21"/>
                <w:szCs w:val="21"/>
              </w:rPr>
              <w:t>侨银环保的“城市大管家”，是以一个城市的环卫清扫工作为载体，从横向拓宽产业链，实现从环卫保洁、垃圾分类、园林绿化、地下管网、市政道路维护、交通设施管理、公园管理、水体维护、政府物业服务到城市停车等公共空间整体市场化管理服务。</w:t>
            </w:r>
          </w:p>
          <w:p>
            <w:pPr>
              <w:spacing w:line="360" w:lineRule="auto"/>
              <w:ind w:firstLine="420" w:firstLineChars="200"/>
              <w:rPr>
                <w:rFonts w:hint="eastAsia"/>
                <w:sz w:val="21"/>
                <w:szCs w:val="21"/>
              </w:rPr>
            </w:pPr>
            <w:r>
              <w:rPr>
                <w:rFonts w:hint="eastAsia"/>
                <w:sz w:val="21"/>
                <w:szCs w:val="21"/>
              </w:rPr>
              <w:t>公司的城市大管家项目，以“一体化”总包取代“碎片化”发包，以“联管联评”取代传统的“九龙治水”，具有提高城市管理作业效率、提高财政资金使用效率、降低公共服务成本等优势，能最大化实现行业效应、投资效应、管理效应、经济效应和社会效应。</w:t>
            </w:r>
          </w:p>
          <w:p>
            <w:pPr>
              <w:spacing w:line="360" w:lineRule="auto"/>
              <w:ind w:firstLine="420" w:firstLineChars="200"/>
              <w:rPr>
                <w:rFonts w:hint="eastAsia"/>
                <w:sz w:val="21"/>
                <w:szCs w:val="21"/>
              </w:rPr>
            </w:pPr>
            <w:r>
              <w:rPr>
                <w:rFonts w:hint="eastAsia"/>
                <w:sz w:val="21"/>
                <w:szCs w:val="21"/>
              </w:rPr>
              <w:t>迄今为止，侨银环保已在全国70多个城市投资建设并运营300多个项目，包括昆明官渡区环卫一体化项目等多个城市大管家项目，已助力全国40多个城市成功创建全国文明城市、创建国家卫生城市。特别是2020年，侨银环保充分发挥“城市大管家”优势，克服了“疫情”“洪水”等种种考验，保障了全国70多个城市的环境卫生安全。在行业形势艰难的情况下，公司的营业收入持续高速增长，年度新增合同金额稳居全国同行前列。</w:t>
            </w:r>
          </w:p>
          <w:p>
            <w:pPr>
              <w:spacing w:line="360" w:lineRule="auto"/>
              <w:ind w:firstLine="420" w:firstLineChars="200"/>
              <w:rPr>
                <w:rFonts w:hint="eastAsia"/>
                <w:sz w:val="21"/>
                <w:szCs w:val="21"/>
              </w:rPr>
            </w:pPr>
            <w:r>
              <w:rPr>
                <w:rFonts w:hint="eastAsia"/>
                <w:sz w:val="21"/>
                <w:szCs w:val="21"/>
              </w:rPr>
              <w:t>现今，公司名称拟更名为“侨银城市管理股份有限公司”,由侨银环保升位为侨银城市管理，是顺应亿万老百姓对美好生活的向往，顺应城市管理海量的刚性需求，并结合自身业务基础和实际发展趋势所作出的重大战略决策，这一战略决策体现了侨银人坚持将“每到一城</w:t>
            </w:r>
            <w:r>
              <w:rPr>
                <w:rFonts w:hint="eastAsia"/>
                <w:sz w:val="21"/>
                <w:szCs w:val="21"/>
                <w:lang w:val="en-US" w:eastAsia="zh-CN"/>
              </w:rPr>
              <w:t xml:space="preserve"> </w:t>
            </w:r>
            <w:r>
              <w:rPr>
                <w:rFonts w:hint="eastAsia"/>
                <w:sz w:val="21"/>
                <w:szCs w:val="21"/>
              </w:rPr>
              <w:t>美一城”作为企业使命，坚持将“人居环境综合提升领导品牌”作为企业愿景，是侨银发展战略的又一次提升、优化和聚焦，无疑给公司将来的腾飞带来一股强大的力量。</w:t>
            </w:r>
          </w:p>
          <w:p>
            <w:pPr>
              <w:spacing w:line="360" w:lineRule="auto"/>
              <w:ind w:firstLine="420" w:firstLineChars="200"/>
              <w:rPr>
                <w:rFonts w:hint="eastAsia"/>
                <w:sz w:val="21"/>
                <w:szCs w:val="21"/>
              </w:rPr>
            </w:pPr>
            <w:r>
              <w:rPr>
                <w:rFonts w:hint="eastAsia"/>
                <w:sz w:val="21"/>
                <w:szCs w:val="21"/>
              </w:rPr>
              <w:t>党的十九届五中全会将十四五规划和2035年远景目标进行了统筹考虑。此时恰逢十四五规划开局之年，侨银人相信，在政策的春风鼓荡下，在社会各界的关心下，在在座朋友的鼎力支持下，侨银环保定当不断追求卓越，定能当好“城市大管家”，不断优化提升城市管理水平和服务质量，着力打造高效率、高品质、高智能的人居环境综合提升服务品牌。以大业绩创造大效益，以更大的责任和担当，为美丽中国贡献新的力量，为投资者、员工和社会提供最为满意的回馈。</w:t>
            </w:r>
          </w:p>
          <w:p>
            <w:pPr>
              <w:spacing w:line="360" w:lineRule="auto"/>
              <w:rPr>
                <w:sz w:val="21"/>
                <w:szCs w:val="21"/>
              </w:rPr>
            </w:pPr>
          </w:p>
          <w:p>
            <w:pPr>
              <w:spacing w:line="360" w:lineRule="auto"/>
              <w:rPr>
                <w:b/>
                <w:sz w:val="21"/>
                <w:szCs w:val="21"/>
              </w:rPr>
            </w:pPr>
            <w:r>
              <w:rPr>
                <w:rFonts w:hint="eastAsia"/>
                <w:b/>
                <w:sz w:val="21"/>
                <w:szCs w:val="21"/>
              </w:rPr>
              <w:t>二</w:t>
            </w:r>
            <w:r>
              <w:rPr>
                <w:b/>
                <w:sz w:val="21"/>
                <w:szCs w:val="21"/>
              </w:rPr>
              <w:t>、问答环节</w:t>
            </w:r>
          </w:p>
          <w:p>
            <w:pPr>
              <w:pStyle w:val="7"/>
              <w:spacing w:line="360" w:lineRule="auto"/>
              <w:ind w:firstLine="0" w:firstLineChars="0"/>
              <w:rPr>
                <w:rFonts w:hint="eastAsia" w:ascii="Times New Roman" w:hAnsi="Times New Roman" w:eastAsia="宋体"/>
                <w:b/>
                <w:sz w:val="21"/>
                <w:szCs w:val="21"/>
                <w:lang w:eastAsia="zh-CN"/>
              </w:rPr>
            </w:pPr>
            <w:r>
              <w:rPr>
                <w:rFonts w:hint="eastAsia" w:ascii="Times New Roman" w:hAnsi="Times New Roman"/>
                <w:b/>
                <w:sz w:val="21"/>
                <w:szCs w:val="21"/>
              </w:rPr>
              <w:t>1、</w:t>
            </w:r>
            <w:r>
              <w:rPr>
                <w:rFonts w:hint="eastAsia" w:ascii="Times New Roman" w:hAnsi="Times New Roman"/>
                <w:b/>
                <w:sz w:val="21"/>
                <w:szCs w:val="21"/>
                <w:lang w:eastAsia="zh-CN"/>
              </w:rPr>
              <w:t>十四五时期对城市的规划为侨银环保的“城市大管家”战略带来哪些机遇？城市大管家的意义是什么？</w:t>
            </w:r>
          </w:p>
          <w:p>
            <w:pPr>
              <w:pStyle w:val="7"/>
              <w:spacing w:line="360" w:lineRule="auto"/>
              <w:ind w:firstLine="0" w:firstLineChars="0"/>
              <w:rPr>
                <w:rFonts w:hint="eastAsia" w:ascii="Times New Roman" w:hAnsi="Times New Roman"/>
                <w:b w:val="0"/>
                <w:bCs/>
                <w:sz w:val="21"/>
                <w:szCs w:val="21"/>
                <w:lang w:eastAsia="zh-CN"/>
              </w:rPr>
            </w:pPr>
            <w:r>
              <w:rPr>
                <w:rFonts w:hint="eastAsia" w:ascii="Times New Roman" w:hAnsi="Times New Roman"/>
                <w:b w:val="0"/>
                <w:bCs/>
                <w:sz w:val="21"/>
                <w:szCs w:val="21"/>
                <w:lang w:eastAsia="zh-CN"/>
              </w:rPr>
              <w:t>答：今年是十三五规划的收官之年，也是十四五规划的开局之年。十四五规划提出要建设以人为核心的新型城镇化，以建设城市、建设市政为主，以市政管理、城市治理为辅。随着未来城市管理会向精细化、智能化、科学化发展，将会催生很多机会，因此城市大管家的理念会得到政府的认可，也会促进产生更多市场机会。</w:t>
            </w:r>
          </w:p>
          <w:p>
            <w:pPr>
              <w:pStyle w:val="7"/>
              <w:spacing w:line="360" w:lineRule="auto"/>
              <w:ind w:firstLine="0" w:firstLineChars="0"/>
              <w:rPr>
                <w:rFonts w:hint="eastAsia" w:ascii="Times New Roman" w:hAnsi="Times New Roman"/>
                <w:b w:val="0"/>
                <w:bCs/>
                <w:sz w:val="21"/>
                <w:szCs w:val="21"/>
                <w:lang w:eastAsia="zh-CN"/>
              </w:rPr>
            </w:pPr>
            <w:r>
              <w:rPr>
                <w:rFonts w:hint="eastAsia" w:ascii="Times New Roman" w:hAnsi="Times New Roman"/>
                <w:b w:val="0"/>
                <w:bCs/>
                <w:sz w:val="21"/>
                <w:szCs w:val="21"/>
                <w:lang w:eastAsia="zh-CN"/>
              </w:rPr>
              <w:t>城市大管家是一个综合性的城市服务体系，主张政府进行一体化管理，有助于克服传统中国城市管理的碎片化、职能部门繁多、效率低下等弊端，从而提升政府管理效率、减少政府公共服务成本、提升政府资金使用效率。</w:t>
            </w:r>
          </w:p>
          <w:p>
            <w:pPr>
              <w:pStyle w:val="7"/>
              <w:spacing w:line="360" w:lineRule="auto"/>
              <w:ind w:firstLine="0" w:firstLineChars="0"/>
              <w:rPr>
                <w:rFonts w:hint="eastAsia" w:ascii="Times New Roman" w:hAnsi="Times New Roman"/>
                <w:b/>
                <w:sz w:val="21"/>
                <w:szCs w:val="21"/>
                <w:lang w:eastAsia="zh-CN"/>
              </w:rPr>
            </w:pPr>
          </w:p>
          <w:p>
            <w:pPr>
              <w:pStyle w:val="7"/>
              <w:spacing w:line="360" w:lineRule="auto"/>
              <w:ind w:firstLine="0" w:firstLineChars="0"/>
              <w:rPr>
                <w:rFonts w:hint="eastAsia" w:ascii="Times New Roman" w:hAnsi="Times New Roman"/>
                <w:b/>
                <w:sz w:val="21"/>
                <w:szCs w:val="21"/>
                <w:lang w:eastAsia="zh-CN"/>
              </w:rPr>
            </w:pPr>
            <w:r>
              <w:rPr>
                <w:rFonts w:hint="eastAsia" w:ascii="Times New Roman" w:hAnsi="Times New Roman"/>
                <w:b/>
                <w:sz w:val="21"/>
                <w:szCs w:val="21"/>
                <w:lang w:val="en-US" w:eastAsia="zh-CN"/>
              </w:rPr>
              <w:t>2、</w:t>
            </w:r>
            <w:r>
              <w:rPr>
                <w:rFonts w:hint="eastAsia" w:ascii="Times New Roman" w:hAnsi="Times New Roman"/>
                <w:b/>
                <w:sz w:val="21"/>
                <w:szCs w:val="21"/>
                <w:lang w:eastAsia="zh-CN"/>
              </w:rPr>
              <w:t>侨银将怎么做好“城市大管家”？公司有哪些优势？</w:t>
            </w:r>
          </w:p>
          <w:p>
            <w:pPr>
              <w:pStyle w:val="7"/>
              <w:spacing w:line="360" w:lineRule="auto"/>
              <w:ind w:firstLine="0" w:firstLineChars="0"/>
              <w:rPr>
                <w:rFonts w:hint="eastAsia" w:ascii="Times New Roman" w:hAnsi="Times New Roman"/>
                <w:b w:val="0"/>
                <w:bCs/>
                <w:sz w:val="21"/>
                <w:szCs w:val="21"/>
                <w:lang w:eastAsia="zh-CN"/>
              </w:rPr>
            </w:pPr>
            <w:r>
              <w:rPr>
                <w:rFonts w:hint="eastAsia" w:ascii="Times New Roman" w:hAnsi="Times New Roman"/>
                <w:b w:val="0"/>
                <w:bCs/>
                <w:sz w:val="21"/>
                <w:szCs w:val="21"/>
                <w:lang w:eastAsia="zh-CN"/>
              </w:rPr>
              <w:t>答：城市大管家战略不仅响应了国家号召和要求，也是公司战略聚焦和选择的结果。主要有以下五点：</w:t>
            </w:r>
            <w:r>
              <w:rPr>
                <w:rFonts w:hint="eastAsia" w:ascii="Times New Roman" w:hAnsi="Times New Roman"/>
                <w:b w:val="0"/>
                <w:bCs/>
                <w:sz w:val="21"/>
                <w:szCs w:val="21"/>
                <w:lang w:val="en-US" w:eastAsia="zh-CN"/>
              </w:rPr>
              <w:t>1、</w:t>
            </w:r>
            <w:r>
              <w:rPr>
                <w:rFonts w:hint="eastAsia" w:ascii="Times New Roman" w:hAnsi="Times New Roman"/>
                <w:b w:val="0"/>
                <w:bCs/>
                <w:sz w:val="21"/>
                <w:szCs w:val="21"/>
                <w:lang w:eastAsia="zh-CN"/>
              </w:rPr>
              <w:t>经过多年的发展，侨银环保建立了品牌意识，拥有了较高的品牌知名度，有助于获得更多来自政府和市民的关注和信任；</w:t>
            </w:r>
            <w:r>
              <w:rPr>
                <w:rFonts w:hint="eastAsia" w:ascii="Times New Roman" w:hAnsi="Times New Roman"/>
                <w:b w:val="0"/>
                <w:bCs/>
                <w:sz w:val="21"/>
                <w:szCs w:val="21"/>
                <w:lang w:val="en-US" w:eastAsia="zh-CN"/>
              </w:rPr>
              <w:t>2、</w:t>
            </w:r>
            <w:r>
              <w:rPr>
                <w:rFonts w:hint="eastAsia" w:ascii="Times New Roman" w:hAnsi="Times New Roman"/>
                <w:b w:val="0"/>
                <w:bCs/>
                <w:sz w:val="21"/>
                <w:szCs w:val="21"/>
                <w:lang w:eastAsia="zh-CN"/>
              </w:rPr>
              <w:t>作为一家上市公司，侨银环保拥有良好的融资平台和渠道、广泛的金融机构合作关系和资金支持，使其具备实施项目的实力；</w:t>
            </w:r>
            <w:r>
              <w:rPr>
                <w:rFonts w:hint="eastAsia" w:ascii="Times New Roman" w:hAnsi="Times New Roman"/>
                <w:b w:val="0"/>
                <w:bCs/>
                <w:sz w:val="21"/>
                <w:szCs w:val="21"/>
                <w:lang w:val="en-US" w:eastAsia="zh-CN"/>
              </w:rPr>
              <w:t>3、</w:t>
            </w:r>
            <w:r>
              <w:rPr>
                <w:rFonts w:hint="eastAsia" w:ascii="Times New Roman" w:hAnsi="Times New Roman"/>
                <w:b w:val="0"/>
                <w:bCs/>
                <w:sz w:val="21"/>
                <w:szCs w:val="21"/>
                <w:lang w:eastAsia="zh-CN"/>
              </w:rPr>
              <w:t>作为中国环境卫生协会的副会长单位，侨银环保参编了多项环卫行业的标准，积累了丰富的技术优势；</w:t>
            </w:r>
            <w:r>
              <w:rPr>
                <w:rFonts w:hint="eastAsia" w:ascii="Times New Roman" w:hAnsi="Times New Roman"/>
                <w:b w:val="0"/>
                <w:bCs/>
                <w:sz w:val="21"/>
                <w:szCs w:val="21"/>
                <w:lang w:val="en-US" w:eastAsia="zh-CN"/>
              </w:rPr>
              <w:t>4、</w:t>
            </w:r>
            <w:r>
              <w:rPr>
                <w:rFonts w:hint="eastAsia" w:ascii="Times New Roman" w:hAnsi="Times New Roman"/>
                <w:b w:val="0"/>
                <w:bCs/>
                <w:sz w:val="21"/>
                <w:szCs w:val="21"/>
                <w:lang w:eastAsia="zh-CN"/>
              </w:rPr>
              <w:t>侨银环保在</w:t>
            </w:r>
            <w:r>
              <w:rPr>
                <w:rFonts w:hint="eastAsia" w:ascii="Times New Roman" w:hAnsi="Times New Roman"/>
                <w:b w:val="0"/>
                <w:bCs/>
                <w:sz w:val="21"/>
                <w:szCs w:val="21"/>
                <w:lang w:val="en-US" w:eastAsia="zh-CN"/>
              </w:rPr>
              <w:t>18</w:t>
            </w:r>
            <w:r>
              <w:rPr>
                <w:rFonts w:hint="eastAsia" w:ascii="Times New Roman" w:hAnsi="Times New Roman"/>
                <w:b w:val="0"/>
                <w:bCs/>
                <w:sz w:val="21"/>
                <w:szCs w:val="21"/>
                <w:lang w:eastAsia="zh-CN"/>
              </w:rPr>
              <w:t>个省</w:t>
            </w:r>
            <w:r>
              <w:rPr>
                <w:rFonts w:hint="eastAsia" w:ascii="Times New Roman" w:hAnsi="Times New Roman"/>
                <w:b w:val="0"/>
                <w:bCs/>
                <w:sz w:val="21"/>
                <w:szCs w:val="21"/>
                <w:lang w:val="en-US" w:eastAsia="zh-CN"/>
              </w:rPr>
              <w:t>7</w:t>
            </w:r>
            <w:r>
              <w:rPr>
                <w:rFonts w:hint="eastAsia" w:ascii="Times New Roman" w:hAnsi="Times New Roman"/>
                <w:b w:val="0"/>
                <w:bCs/>
                <w:sz w:val="21"/>
                <w:szCs w:val="21"/>
                <w:lang w:eastAsia="zh-CN"/>
              </w:rPr>
              <w:t>0个城市</w:t>
            </w:r>
            <w:r>
              <w:rPr>
                <w:rFonts w:hint="eastAsia" w:ascii="Times New Roman" w:hAnsi="Times New Roman"/>
                <w:b w:val="0"/>
                <w:bCs/>
                <w:sz w:val="21"/>
                <w:szCs w:val="21"/>
                <w:lang w:val="en-US" w:eastAsia="zh-CN"/>
              </w:rPr>
              <w:t>300</w:t>
            </w:r>
            <w:r>
              <w:rPr>
                <w:rFonts w:hint="eastAsia" w:ascii="Times New Roman" w:hAnsi="Times New Roman"/>
                <w:b w:val="0"/>
                <w:bCs/>
                <w:sz w:val="21"/>
                <w:szCs w:val="21"/>
                <w:lang w:eastAsia="zh-CN"/>
              </w:rPr>
              <w:t>多个项目中积累了丰富的渠道，具有通道优势；</w:t>
            </w:r>
            <w:r>
              <w:rPr>
                <w:rFonts w:hint="eastAsia" w:ascii="Times New Roman" w:hAnsi="Times New Roman"/>
                <w:b w:val="0"/>
                <w:bCs/>
                <w:sz w:val="21"/>
                <w:szCs w:val="21"/>
                <w:lang w:val="en-US" w:eastAsia="zh-CN"/>
              </w:rPr>
              <w:t>5、</w:t>
            </w:r>
            <w:r>
              <w:rPr>
                <w:rFonts w:hint="eastAsia" w:ascii="Times New Roman" w:hAnsi="Times New Roman"/>
                <w:b w:val="0"/>
                <w:bCs/>
                <w:sz w:val="21"/>
                <w:szCs w:val="21"/>
                <w:lang w:eastAsia="zh-CN"/>
              </w:rPr>
              <w:t>经过多年的发展，侨银环保设立了侨银学院，培养了非常多全能、经营丰富的优秀员工，具有人才优势。侨银环保不断在“科学化、精细化、智能化上下功夫”，坚持精细管理，提升城市品质；坚持规划投资建设运营一体化，补城市管理短板；坚持智能管理，打造“城市大脑”。</w:t>
            </w:r>
          </w:p>
          <w:p>
            <w:pPr>
              <w:pStyle w:val="7"/>
              <w:spacing w:line="360" w:lineRule="auto"/>
              <w:ind w:firstLine="0" w:firstLineChars="0"/>
              <w:rPr>
                <w:rFonts w:hint="eastAsia" w:ascii="Times New Roman" w:hAnsi="Times New Roman"/>
                <w:b/>
                <w:sz w:val="21"/>
                <w:szCs w:val="21"/>
                <w:lang w:eastAsia="zh-CN"/>
              </w:rPr>
            </w:pPr>
          </w:p>
          <w:p>
            <w:pPr>
              <w:pStyle w:val="7"/>
              <w:numPr>
                <w:ilvl w:val="0"/>
                <w:numId w:val="0"/>
              </w:numPr>
              <w:spacing w:line="360" w:lineRule="auto"/>
              <w:rPr>
                <w:rFonts w:hint="eastAsia" w:ascii="Times New Roman" w:hAnsi="Times New Roman"/>
                <w:b/>
                <w:sz w:val="21"/>
                <w:szCs w:val="21"/>
                <w:lang w:eastAsia="zh-CN"/>
              </w:rPr>
            </w:pPr>
            <w:r>
              <w:rPr>
                <w:rFonts w:hint="eastAsia" w:ascii="Times New Roman" w:hAnsi="Times New Roman"/>
                <w:b/>
                <w:sz w:val="21"/>
                <w:szCs w:val="21"/>
                <w:lang w:val="en-US" w:eastAsia="zh-CN"/>
              </w:rPr>
              <w:t>3、</w:t>
            </w:r>
            <w:r>
              <w:rPr>
                <w:rFonts w:hint="eastAsia" w:ascii="Times New Roman" w:hAnsi="Times New Roman"/>
                <w:b/>
                <w:sz w:val="21"/>
                <w:szCs w:val="21"/>
                <w:lang w:eastAsia="zh-CN"/>
              </w:rPr>
              <w:t>在国家推动垃圾分类的背景下，广州城市垃圾分类也正在有序开展，公司的“城市大管家”战略，将如何进一步推动垃圾前端分类与终端处理工作？怎样实现城市管理一体化？</w:t>
            </w:r>
          </w:p>
          <w:p>
            <w:pPr>
              <w:pStyle w:val="7"/>
              <w:numPr>
                <w:ilvl w:val="0"/>
                <w:numId w:val="0"/>
              </w:numPr>
              <w:spacing w:line="360" w:lineRule="auto"/>
              <w:rPr>
                <w:rFonts w:hint="eastAsia" w:ascii="Times New Roman" w:hAnsi="Times New Roman"/>
                <w:b w:val="0"/>
                <w:bCs/>
                <w:sz w:val="21"/>
                <w:szCs w:val="21"/>
                <w:lang w:eastAsia="zh-CN"/>
              </w:rPr>
            </w:pPr>
            <w:r>
              <w:rPr>
                <w:rFonts w:hint="eastAsia" w:ascii="Times New Roman" w:hAnsi="Times New Roman"/>
                <w:b w:val="0"/>
                <w:bCs/>
                <w:sz w:val="21"/>
                <w:szCs w:val="21"/>
                <w:lang w:eastAsia="zh-CN"/>
              </w:rPr>
              <w:t>答：十三五期间全国已划分</w:t>
            </w:r>
            <w:r>
              <w:rPr>
                <w:rFonts w:hint="eastAsia" w:ascii="Times New Roman" w:hAnsi="Times New Roman"/>
                <w:b w:val="0"/>
                <w:bCs/>
                <w:sz w:val="21"/>
                <w:szCs w:val="21"/>
                <w:lang w:val="en-US" w:eastAsia="zh-CN"/>
              </w:rPr>
              <w:t>46</w:t>
            </w:r>
            <w:r>
              <w:rPr>
                <w:rFonts w:hint="eastAsia" w:ascii="Times New Roman" w:hAnsi="Times New Roman"/>
                <w:b w:val="0"/>
                <w:bCs/>
                <w:sz w:val="21"/>
                <w:szCs w:val="21"/>
                <w:lang w:eastAsia="zh-CN"/>
              </w:rPr>
              <w:t>个垃圾分类重点城市，在十四五规划中也会有越来越多的城市加入垃圾分类的队伍。垃圾分类作为城市管理的重要环节，公司会一如既往地积极响应国家的号召和要求。早在国家战略发布之前，侨银环保在垃圾分类领域就是行内先行者和排头兵。在垃圾前端分类部分，公司在广东省湛江市实施了第一个全市的智能垃圾分类系统、在江西省宜春市运用了政府与企业携手共建共管的模式来推动垃圾分类，并在全国46个垃圾分类重点示范城市中宜春市取得了与北京市并列的好成绩。在江西省靖安实施了农村全域垃圾分类推动模式，这个“靖安模式”也在全国生态大会上获得了赞誉。</w:t>
            </w:r>
          </w:p>
          <w:p>
            <w:pPr>
              <w:pStyle w:val="7"/>
              <w:numPr>
                <w:ilvl w:val="0"/>
                <w:numId w:val="0"/>
              </w:numPr>
              <w:spacing w:line="360" w:lineRule="auto"/>
              <w:rPr>
                <w:rFonts w:hint="eastAsia" w:ascii="Times New Roman" w:hAnsi="Times New Roman"/>
                <w:b w:val="0"/>
                <w:bCs/>
                <w:sz w:val="21"/>
                <w:szCs w:val="21"/>
                <w:lang w:eastAsia="zh-CN"/>
              </w:rPr>
            </w:pPr>
            <w:r>
              <w:rPr>
                <w:rFonts w:hint="eastAsia" w:ascii="Times New Roman" w:hAnsi="Times New Roman"/>
                <w:b w:val="0"/>
                <w:bCs/>
                <w:sz w:val="21"/>
                <w:szCs w:val="21"/>
                <w:lang w:eastAsia="zh-CN"/>
              </w:rPr>
              <w:t>在垃圾终端处理部分，公司在广州市建设了全亚洲单体规模最大的厨余垃圾处理厂，日处理量为1000吨，有效解决了广州市湿垃圾处理产能不足的问题。同时公司也采取了较为先进的差异化处理策略和工艺路线，能够提升湿垃圾的处理效率并解决湿垃圾扩带问题。未来，公司也会在诸多领域和项目中积极推进垃圾分类与垃圾清运收运处理一体化，利用公司过去的经验和全产业链的优势来支持垃圾分类的工作。</w:t>
            </w:r>
          </w:p>
          <w:p>
            <w:pPr>
              <w:pStyle w:val="7"/>
              <w:numPr>
                <w:ilvl w:val="0"/>
                <w:numId w:val="0"/>
              </w:numPr>
              <w:spacing w:line="360" w:lineRule="auto"/>
              <w:rPr>
                <w:rFonts w:hint="eastAsia" w:ascii="Times New Roman" w:hAnsi="Times New Roman"/>
                <w:b/>
                <w:sz w:val="21"/>
                <w:szCs w:val="21"/>
                <w:lang w:eastAsia="zh-CN"/>
              </w:rPr>
            </w:pPr>
          </w:p>
          <w:p>
            <w:pPr>
              <w:pStyle w:val="7"/>
              <w:numPr>
                <w:ilvl w:val="0"/>
                <w:numId w:val="0"/>
              </w:numPr>
              <w:spacing w:line="360" w:lineRule="auto"/>
              <w:rPr>
                <w:rFonts w:hint="eastAsia" w:ascii="Times New Roman" w:hAnsi="Times New Roman"/>
                <w:b/>
                <w:sz w:val="21"/>
                <w:szCs w:val="21"/>
                <w:lang w:eastAsia="zh-CN"/>
              </w:rPr>
            </w:pPr>
            <w:r>
              <w:rPr>
                <w:rFonts w:hint="eastAsia" w:ascii="Times New Roman" w:hAnsi="Times New Roman"/>
                <w:b/>
                <w:sz w:val="21"/>
                <w:szCs w:val="21"/>
                <w:lang w:val="en-US" w:eastAsia="zh-CN"/>
              </w:rPr>
              <w:t>4、</w:t>
            </w:r>
            <w:r>
              <w:rPr>
                <w:rFonts w:hint="eastAsia" w:ascii="Times New Roman" w:hAnsi="Times New Roman"/>
                <w:b/>
                <w:sz w:val="21"/>
                <w:szCs w:val="21"/>
                <w:lang w:eastAsia="zh-CN"/>
              </w:rPr>
              <w:t>公司上市后，资本市场如何助推“城市大管家”发展？</w:t>
            </w:r>
          </w:p>
          <w:p>
            <w:pPr>
              <w:pStyle w:val="7"/>
              <w:numPr>
                <w:ilvl w:val="0"/>
                <w:numId w:val="0"/>
              </w:numPr>
              <w:spacing w:line="360" w:lineRule="auto"/>
              <w:rPr>
                <w:rFonts w:hint="eastAsia" w:ascii="Times New Roman" w:hAnsi="Times New Roman"/>
                <w:b w:val="0"/>
                <w:bCs/>
                <w:sz w:val="21"/>
                <w:szCs w:val="21"/>
                <w:lang w:eastAsia="zh-CN"/>
              </w:rPr>
            </w:pPr>
            <w:r>
              <w:rPr>
                <w:rFonts w:hint="eastAsia" w:ascii="Times New Roman" w:hAnsi="Times New Roman"/>
                <w:b w:val="0"/>
                <w:bCs/>
                <w:sz w:val="21"/>
                <w:szCs w:val="21"/>
                <w:lang w:eastAsia="zh-CN"/>
              </w:rPr>
              <w:t>答：首先城市大管家的项目有几个特点，资金投入很多、项目规模大、合同内容很丰富，这就对运营企业在资金实力、品牌影响力等提出更高要求。而我们在公司上市后，在资金实力和品牌影响力及公信力等方面得到了很大的提升。1、在资金实力方面，我们可以利用资本市场平台进行发债、定增等资本运作，比如我们刚刚发行完的4.2亿的可转债就是很好的一个融资产品。我们还可以跟各大银行和金融机构进行更多方式的合作，融资渠道多，融资成本也在降低，这为公司承接城市大管家项目提供了很好的资金保障；2、在品牌影响力方面，公司作为上市公司，品牌效应更加明显，知名度传播更广泛，让更多的政府知道我们、关注我们。这为我们获取城市大管家项目信息提供了基础；3、在公信力方面，上市公司的运作更为规范和透明，能让政府更好地信任我们，更倾向于选择我们。这为我们赢取城市大管家项目提供了更多的机会。所以，我们将充分利用资本市场平台，不断地提升公司的业绩，坚定地打造公司“城市大管家”领导品牌，以更好地回报投资者回报社会。</w:t>
            </w:r>
          </w:p>
          <w:p>
            <w:pPr>
              <w:pStyle w:val="7"/>
              <w:numPr>
                <w:ilvl w:val="0"/>
                <w:numId w:val="0"/>
              </w:numPr>
              <w:spacing w:line="360" w:lineRule="auto"/>
              <w:rPr>
                <w:rFonts w:hint="eastAsia" w:ascii="Times New Roman" w:hAnsi="Times New Roman"/>
                <w:b w:val="0"/>
                <w:bCs/>
                <w:sz w:val="21"/>
                <w:szCs w:val="21"/>
                <w:lang w:eastAsia="zh-CN"/>
              </w:rPr>
            </w:pPr>
          </w:p>
          <w:p>
            <w:pPr>
              <w:pStyle w:val="7"/>
              <w:numPr>
                <w:ilvl w:val="0"/>
                <w:numId w:val="0"/>
              </w:numPr>
              <w:spacing w:line="360" w:lineRule="auto"/>
              <w:rPr>
                <w:rFonts w:hint="default" w:ascii="Times New Roman" w:hAnsi="Times New Roman"/>
                <w:b/>
                <w:bCs w:val="0"/>
                <w:sz w:val="21"/>
                <w:szCs w:val="21"/>
                <w:lang w:val="en-US" w:eastAsia="zh-CN"/>
              </w:rPr>
            </w:pPr>
            <w:r>
              <w:rPr>
                <w:rFonts w:hint="eastAsia" w:ascii="Times New Roman" w:hAnsi="Times New Roman"/>
                <w:b/>
                <w:bCs w:val="0"/>
                <w:sz w:val="21"/>
                <w:szCs w:val="21"/>
                <w:lang w:val="en-US" w:eastAsia="zh-CN"/>
              </w:rPr>
              <w:t>5、公司如何看待大湾区的城市服务前景？</w:t>
            </w:r>
          </w:p>
          <w:p>
            <w:pPr>
              <w:pStyle w:val="7"/>
              <w:numPr>
                <w:ilvl w:val="0"/>
                <w:numId w:val="0"/>
              </w:numPr>
              <w:spacing w:line="360" w:lineRule="auto"/>
              <w:rPr>
                <w:rFonts w:hint="eastAsia" w:ascii="Times New Roman" w:hAnsi="Times New Roman"/>
                <w:b w:val="0"/>
                <w:bCs/>
                <w:sz w:val="21"/>
                <w:szCs w:val="21"/>
                <w:lang w:eastAsia="zh-CN"/>
              </w:rPr>
            </w:pPr>
            <w:r>
              <w:rPr>
                <w:rFonts w:hint="eastAsia" w:ascii="Times New Roman" w:hAnsi="Times New Roman"/>
                <w:b w:val="0"/>
                <w:bCs/>
                <w:sz w:val="21"/>
                <w:szCs w:val="21"/>
                <w:lang w:eastAsia="zh-CN"/>
              </w:rPr>
              <w:t>答：粤港澳大湾区是中国开放程度最高，经济活力最强的区域之一，在国家发展大局中具有重要战略地位。侨银环保2001年在广州成立，作为一家在大湾区成长壮大的环卫龙头企业，我对大湾区的城市服务前景非常有信心。</w:t>
            </w:r>
          </w:p>
          <w:p>
            <w:pPr>
              <w:pStyle w:val="7"/>
              <w:numPr>
                <w:ilvl w:val="0"/>
                <w:numId w:val="0"/>
              </w:numPr>
              <w:spacing w:line="360" w:lineRule="auto"/>
              <w:rPr>
                <w:rFonts w:hint="eastAsia" w:ascii="Times New Roman" w:hAnsi="Times New Roman"/>
                <w:b w:val="0"/>
                <w:bCs/>
                <w:sz w:val="21"/>
                <w:szCs w:val="21"/>
                <w:lang w:eastAsia="zh-CN"/>
              </w:rPr>
            </w:pPr>
            <w:r>
              <w:rPr>
                <w:rFonts w:hint="eastAsia" w:ascii="Times New Roman" w:hAnsi="Times New Roman"/>
                <w:b w:val="0"/>
                <w:bCs/>
                <w:sz w:val="21"/>
                <w:szCs w:val="21"/>
                <w:lang w:eastAsia="zh-CN"/>
              </w:rPr>
              <w:t>目前，我们的业务布局粤港澳大湾区9个城市中的7个（港澳除外）。以广州为例，侨银环保发挥“城市大管家”优势：1、着力打造广州珠江流域清捞保洁与广州市市本级垃圾处理环卫一体化PPP项目；2、城市污染防治攻坚战方面，2019年已建成全国单体规模最大的厨余垃圾处理BOT项目——广州李坑综合处理厂，全国单体规模最大的垃圾渗滤液处理厂BOT项目——广州萝岗福山循环经济产业园污水处理厂；3、为了带动广佛同城、大湾区核心极点建设，侨银环境总部大厦也于2019年动工，项目重点打造研发、创新、智慧环卫中心。未来，我们将继续携手政府、企业同行，加快粤港澳大湾区环卫市场化，为打造国际一流湾区、世界创新高地贡献力量。</w:t>
            </w:r>
          </w:p>
          <w:p>
            <w:pPr>
              <w:pStyle w:val="7"/>
              <w:numPr>
                <w:ilvl w:val="0"/>
                <w:numId w:val="0"/>
              </w:numPr>
              <w:spacing w:line="360" w:lineRule="auto"/>
              <w:rPr>
                <w:rFonts w:hint="eastAsia" w:ascii="Times New Roman" w:hAnsi="Times New Roman"/>
                <w:b w:val="0"/>
                <w:bCs/>
                <w:sz w:val="21"/>
                <w:szCs w:val="21"/>
                <w:lang w:eastAsia="zh-CN"/>
              </w:rPr>
            </w:pPr>
          </w:p>
          <w:p>
            <w:pPr>
              <w:pStyle w:val="7"/>
              <w:numPr>
                <w:ilvl w:val="0"/>
                <w:numId w:val="0"/>
              </w:numPr>
              <w:spacing w:line="360" w:lineRule="auto"/>
              <w:rPr>
                <w:rFonts w:hint="default" w:ascii="Times New Roman" w:hAnsi="Times New Roman"/>
                <w:b/>
                <w:bCs w:val="0"/>
                <w:sz w:val="21"/>
                <w:szCs w:val="21"/>
                <w:lang w:val="en-US" w:eastAsia="zh-CN"/>
              </w:rPr>
            </w:pPr>
            <w:r>
              <w:rPr>
                <w:rFonts w:hint="eastAsia" w:ascii="Times New Roman" w:hAnsi="Times New Roman"/>
                <w:b/>
                <w:bCs w:val="0"/>
                <w:sz w:val="21"/>
                <w:szCs w:val="21"/>
                <w:lang w:val="en-US" w:eastAsia="zh-CN"/>
              </w:rPr>
              <w:t>6、环卫和物业公司都在进入大管家的领域，如何看待这两个行业的竞争势态？公司上市后对业务的影响？</w:t>
            </w:r>
          </w:p>
          <w:p>
            <w:pPr>
              <w:pStyle w:val="7"/>
              <w:numPr>
                <w:ilvl w:val="0"/>
                <w:numId w:val="0"/>
              </w:numPr>
              <w:spacing w:line="360" w:lineRule="auto"/>
              <w:rPr>
                <w:rFonts w:hint="eastAsia" w:ascii="Times New Roman" w:hAnsi="Times New Roman"/>
                <w:b w:val="0"/>
                <w:bCs/>
                <w:sz w:val="21"/>
                <w:szCs w:val="21"/>
                <w:lang w:eastAsia="zh-CN"/>
              </w:rPr>
            </w:pPr>
            <w:r>
              <w:rPr>
                <w:rFonts w:hint="eastAsia" w:ascii="Times New Roman" w:hAnsi="Times New Roman"/>
                <w:b w:val="0"/>
                <w:bCs/>
                <w:sz w:val="21"/>
                <w:szCs w:val="21"/>
                <w:lang w:eastAsia="zh-CN"/>
              </w:rPr>
              <w:t>答：随着环卫服务的市场化改革及一体化进程的推进，行业的市场空间越来越受到资本市场的广泛关注。物业企业的参与，推动了“物业城市+城市大管家”的概念，这恰恰说明了对公司产业价值的认可。公司也希望通过多方资本的进入一起把行业做得更大，使行业内涵进一步丰富。目前的环卫服务内容已经由清扫保洁扩张到绿化养护、管网道路养护、市政公路管理等。</w:t>
            </w:r>
          </w:p>
          <w:p>
            <w:pPr>
              <w:pStyle w:val="7"/>
              <w:numPr>
                <w:ilvl w:val="0"/>
                <w:numId w:val="0"/>
              </w:numPr>
              <w:spacing w:line="360" w:lineRule="auto"/>
              <w:rPr>
                <w:rFonts w:hint="eastAsia" w:ascii="Times New Roman" w:hAnsi="Times New Roman"/>
                <w:b w:val="0"/>
                <w:bCs/>
                <w:sz w:val="21"/>
                <w:szCs w:val="21"/>
                <w:lang w:eastAsia="zh-CN"/>
              </w:rPr>
            </w:pPr>
            <w:r>
              <w:rPr>
                <w:rFonts w:hint="eastAsia" w:ascii="Times New Roman" w:hAnsi="Times New Roman"/>
                <w:b w:val="0"/>
                <w:bCs/>
                <w:sz w:val="21"/>
                <w:szCs w:val="21"/>
                <w:lang w:eastAsia="zh-CN"/>
              </w:rPr>
              <w:t>公司作为环卫行业领军企业，紧紧围绕“人居环境综合提升”的核心战略，制定了“城市大管家+环保创新技术”双轮驱动发展路线，形成了一套综合性的城乡公共环境管理服务体系。“城市大管家”是基于城市的环卫服务业务，从横向拓宽产业链，为城市提供综合管理服务，比如绿化、公共设施维护、下水管道清梳、公厕维护、垃圾中转站维护等等，延伸到城市各方面的综合服务。“环保创新技术”主要是垃圾的后端处理业务，从纵向上延长产业链，积极积累并不断创新环保技术，在充分的市场调研和可行性论证的前提下承接更多优质的垃圾后端处理业务。同时，在垃圾分类领域，公司积极探索垃圾智慧分类运营模式，对垃圾前端分类、中端收运、末端处理实施全链条管理。</w:t>
            </w:r>
          </w:p>
          <w:p>
            <w:pPr>
              <w:pStyle w:val="7"/>
              <w:numPr>
                <w:ilvl w:val="0"/>
                <w:numId w:val="0"/>
              </w:numPr>
              <w:spacing w:line="360" w:lineRule="auto"/>
              <w:rPr>
                <w:rFonts w:hint="eastAsia" w:ascii="Times New Roman" w:hAnsi="Times New Roman"/>
                <w:b w:val="0"/>
                <w:bCs/>
                <w:sz w:val="21"/>
                <w:szCs w:val="21"/>
                <w:lang w:val="en-US" w:eastAsia="zh-CN"/>
              </w:rPr>
            </w:pPr>
          </w:p>
          <w:p>
            <w:pPr>
              <w:pStyle w:val="7"/>
              <w:numPr>
                <w:ilvl w:val="0"/>
                <w:numId w:val="0"/>
              </w:numPr>
              <w:spacing w:line="360" w:lineRule="auto"/>
              <w:rPr>
                <w:rFonts w:hint="eastAsia" w:ascii="Times New Roman" w:hAnsi="Times New Roman"/>
                <w:b w:val="0"/>
                <w:bCs/>
                <w:sz w:val="21"/>
                <w:szCs w:val="21"/>
                <w:lang w:eastAsia="zh-CN"/>
              </w:rPr>
            </w:pPr>
            <w:r>
              <w:rPr>
                <w:rFonts w:hint="eastAsia"/>
                <w:b/>
                <w:bCs/>
                <w:sz w:val="21"/>
                <w:szCs w:val="21"/>
                <w:lang w:val="en-US" w:eastAsia="zh-CN"/>
              </w:rPr>
              <w:t>7、</w:t>
            </w:r>
            <w:r>
              <w:rPr>
                <w:rFonts w:hint="eastAsia"/>
                <w:b/>
                <w:bCs/>
                <w:sz w:val="21"/>
                <w:szCs w:val="21"/>
              </w:rPr>
              <w:t>新增年化项目是否都能在明年贡献收入？</w:t>
            </w:r>
          </w:p>
          <w:p>
            <w:pPr>
              <w:pStyle w:val="7"/>
              <w:numPr>
                <w:ilvl w:val="0"/>
                <w:numId w:val="0"/>
              </w:numPr>
              <w:spacing w:line="360" w:lineRule="auto"/>
              <w:rPr>
                <w:rFonts w:hint="eastAsia" w:ascii="Times New Roman" w:hAnsi="Times New Roman"/>
                <w:b/>
                <w:sz w:val="21"/>
                <w:szCs w:val="21"/>
                <w:lang w:eastAsia="zh-CN"/>
              </w:rPr>
            </w:pPr>
            <w:r>
              <w:rPr>
                <w:rFonts w:hint="eastAsia" w:ascii="Times New Roman" w:hAnsi="Times New Roman"/>
                <w:b w:val="0"/>
                <w:bCs/>
                <w:sz w:val="21"/>
                <w:szCs w:val="21"/>
                <w:lang w:eastAsia="zh-CN"/>
              </w:rPr>
              <w:t>答：如果是今年中标的，一般明年都能贡献收入，具体要看每个合同的规定，及是否有相关的建设期的内容。</w:t>
            </w:r>
          </w:p>
          <w:p>
            <w:pPr>
              <w:pStyle w:val="7"/>
              <w:numPr>
                <w:ilvl w:val="0"/>
                <w:numId w:val="0"/>
              </w:numPr>
              <w:spacing w:line="360" w:lineRule="auto"/>
              <w:rPr>
                <w:rFonts w:hint="eastAsia"/>
                <w:b/>
                <w:bCs/>
                <w:sz w:val="21"/>
                <w:szCs w:val="21"/>
                <w:lang w:eastAsia="zh-CN"/>
              </w:rPr>
            </w:pPr>
            <w:r>
              <w:rPr>
                <w:rFonts w:hint="eastAsia" w:ascii="Times New Roman" w:hAnsi="Times New Roman"/>
                <w:b/>
                <w:sz w:val="21"/>
                <w:szCs w:val="21"/>
                <w:lang w:val="en-US" w:eastAsia="zh-CN"/>
              </w:rPr>
              <w:t>8、公司如何看待近期即将来临的解禁？</w:t>
            </w:r>
          </w:p>
          <w:p>
            <w:pPr>
              <w:pStyle w:val="7"/>
              <w:numPr>
                <w:ilvl w:val="0"/>
                <w:numId w:val="0"/>
              </w:numPr>
              <w:spacing w:line="360" w:lineRule="auto"/>
              <w:rPr>
                <w:rFonts w:hint="eastAsia"/>
                <w:b w:val="0"/>
                <w:bCs w:val="0"/>
                <w:sz w:val="21"/>
                <w:szCs w:val="21"/>
                <w:lang w:val="en-US" w:eastAsia="zh-CN"/>
              </w:rPr>
            </w:pPr>
            <w:r>
              <w:rPr>
                <w:rFonts w:hint="eastAsia"/>
                <w:b w:val="0"/>
                <w:bCs w:val="0"/>
                <w:sz w:val="21"/>
                <w:szCs w:val="21"/>
                <w:lang w:val="en-US" w:eastAsia="zh-CN"/>
              </w:rPr>
              <w:t>答：已询问过各限售股</w:t>
            </w:r>
            <w:bookmarkStart w:id="0" w:name="_GoBack"/>
            <w:bookmarkEnd w:id="0"/>
            <w:r>
              <w:rPr>
                <w:rFonts w:hint="eastAsia"/>
                <w:b w:val="0"/>
                <w:bCs w:val="0"/>
                <w:sz w:val="21"/>
                <w:szCs w:val="21"/>
                <w:lang w:val="en-US" w:eastAsia="zh-CN"/>
              </w:rPr>
              <w:t>东的意见，目前对公司业务发展很满意，对未来的发展也很看好，不会发生恶意解禁的情况。</w:t>
            </w:r>
          </w:p>
          <w:p>
            <w:pPr>
              <w:pStyle w:val="7"/>
              <w:numPr>
                <w:ilvl w:val="0"/>
                <w:numId w:val="0"/>
              </w:numPr>
              <w:spacing w:line="360" w:lineRule="auto"/>
              <w:rPr>
                <w:rFonts w:hint="eastAsia"/>
                <w:b w:val="0"/>
                <w:bCs w:val="0"/>
                <w:sz w:val="21"/>
                <w:szCs w:val="21"/>
                <w:lang w:val="en-US" w:eastAsia="zh-CN"/>
              </w:rPr>
            </w:pPr>
          </w:p>
          <w:p>
            <w:pPr>
              <w:pStyle w:val="7"/>
              <w:numPr>
                <w:ilvl w:val="0"/>
                <w:numId w:val="0"/>
              </w:numPr>
              <w:spacing w:line="360" w:lineRule="auto"/>
              <w:rPr>
                <w:rFonts w:hint="eastAsia"/>
                <w:b/>
                <w:bCs/>
                <w:sz w:val="21"/>
                <w:szCs w:val="21"/>
                <w:lang w:val="en-US" w:eastAsia="zh-CN"/>
              </w:rPr>
            </w:pPr>
            <w:r>
              <w:rPr>
                <w:rFonts w:hint="eastAsia"/>
                <w:b/>
                <w:bCs/>
                <w:sz w:val="21"/>
                <w:szCs w:val="21"/>
                <w:lang w:val="en-US" w:eastAsia="zh-CN"/>
              </w:rPr>
              <w:t>9、未来公司可能会向轻资产化方向发展，那么对于餐厨垃圾这样的重资产会怎么控制规模？</w:t>
            </w:r>
          </w:p>
          <w:p>
            <w:pPr>
              <w:pStyle w:val="7"/>
              <w:numPr>
                <w:ilvl w:val="0"/>
                <w:numId w:val="0"/>
              </w:numPr>
              <w:spacing w:line="360" w:lineRule="auto"/>
              <w:rPr>
                <w:sz w:val="21"/>
                <w:szCs w:val="21"/>
              </w:rPr>
            </w:pPr>
            <w:r>
              <w:rPr>
                <w:rFonts w:hint="eastAsia"/>
                <w:b w:val="0"/>
                <w:bCs w:val="0"/>
                <w:sz w:val="21"/>
                <w:szCs w:val="21"/>
                <w:lang w:val="en-US" w:eastAsia="zh-CN"/>
              </w:rPr>
              <w:t>答：公司布局后端的时候更多是布局后端的技术研发和应用，公司不会过多的在后端进行大规模的投资，会非常谨慎，主要看政府是否对于前后端一体化有要求，以及在充分的市场调研和可行性论证的前提下承接优质的垃圾后端处理业务。现有投资的两个广州BOT项目是因为这两个项目在广州一线城市，政府的财政支付能力比较稳健，垃圾量也有保证，因此未来的收益预期比较好。公司会谨慎选择后端重资产投资的项目。</w:t>
            </w:r>
          </w:p>
        </w:tc>
      </w:tr>
    </w:tbl>
    <w:p>
      <w:pPr>
        <w:spacing w:line="360" w:lineRule="auto"/>
        <w:ind w:firstLine="420" w:firstLineChars="200"/>
        <w:rPr>
          <w:rFonts w:hint="eastAsia" w:eastAsia="宋体"/>
          <w:sz w:val="21"/>
          <w:szCs w:val="21"/>
          <w:lang w:eastAsia="zh-CN"/>
        </w:rPr>
      </w:pPr>
      <w:r>
        <w:rPr>
          <w:sz w:val="21"/>
          <w:szCs w:val="21"/>
        </w:rPr>
        <w:t>记录人：</w:t>
      </w:r>
      <w:r>
        <w:rPr>
          <w:rFonts w:hint="eastAsia"/>
          <w:sz w:val="21"/>
          <w:szCs w:val="21"/>
        </w:rPr>
        <w:t>黄美华</w:t>
      </w:r>
      <w:r>
        <w:rPr>
          <w:sz w:val="21"/>
          <w:szCs w:val="21"/>
        </w:rPr>
        <w:t xml:space="preserve">                                  审核人：陈春霞</w:t>
      </w:r>
    </w:p>
    <w:p/>
    <w:sectPr>
      <w:headerReference r:id="rId3" w:type="default"/>
      <w:footerReference r:id="rId4" w:type="default"/>
      <w:footerReference r:id="rId5" w:type="even"/>
      <w:pgSz w:w="11906" w:h="16838"/>
      <w:pgMar w:top="1440" w:right="1800" w:bottom="1440" w:left="1800" w:header="567"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2"/>
    <w:family w:val="roman"/>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3</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drawing>
        <wp:inline distT="0" distB="0" distL="114300" distR="114300">
          <wp:extent cx="1542415" cy="328295"/>
          <wp:effectExtent l="0" t="0" r="635" b="1460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
                  <a:stretch>
                    <a:fillRect/>
                  </a:stretch>
                </pic:blipFill>
                <pic:spPr>
                  <a:xfrm>
                    <a:off x="0" y="0"/>
                    <a:ext cx="1542415" cy="328295"/>
                  </a:xfrm>
                  <a:prstGeom prst="rect">
                    <a:avLst/>
                  </a:prstGeom>
                  <a:noFill/>
                  <a:ln>
                    <a:noFill/>
                  </a:ln>
                </pic:spPr>
              </pic:pic>
            </a:graphicData>
          </a:graphic>
        </wp:inline>
      </w:drawing>
    </w: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D21CDF"/>
    <w:rsid w:val="00A73993"/>
    <w:rsid w:val="01237A6E"/>
    <w:rsid w:val="03336302"/>
    <w:rsid w:val="065F70D4"/>
    <w:rsid w:val="08E77B53"/>
    <w:rsid w:val="095F5DEB"/>
    <w:rsid w:val="11877FB1"/>
    <w:rsid w:val="12607DD6"/>
    <w:rsid w:val="153B151E"/>
    <w:rsid w:val="15477B0A"/>
    <w:rsid w:val="1549481B"/>
    <w:rsid w:val="15B20B6C"/>
    <w:rsid w:val="1A6D7F8E"/>
    <w:rsid w:val="1A987720"/>
    <w:rsid w:val="1BF5158A"/>
    <w:rsid w:val="1C8E5EA1"/>
    <w:rsid w:val="21B679F4"/>
    <w:rsid w:val="22F712F7"/>
    <w:rsid w:val="2ED21CDF"/>
    <w:rsid w:val="30316449"/>
    <w:rsid w:val="32386D5D"/>
    <w:rsid w:val="36163DA3"/>
    <w:rsid w:val="362234CD"/>
    <w:rsid w:val="3C12301B"/>
    <w:rsid w:val="407C60B0"/>
    <w:rsid w:val="421D74A3"/>
    <w:rsid w:val="433E44DA"/>
    <w:rsid w:val="449F2A45"/>
    <w:rsid w:val="44C35B50"/>
    <w:rsid w:val="46AF6351"/>
    <w:rsid w:val="488E03B2"/>
    <w:rsid w:val="49A053B2"/>
    <w:rsid w:val="4A5B59F3"/>
    <w:rsid w:val="54FF7AF3"/>
    <w:rsid w:val="5EC1146D"/>
    <w:rsid w:val="623D5744"/>
    <w:rsid w:val="64C65A4B"/>
    <w:rsid w:val="67F65026"/>
    <w:rsid w:val="710172D2"/>
    <w:rsid w:val="71FD2896"/>
    <w:rsid w:val="7F0528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styleId="7">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2020-12-23T08:40:00Z</dcterms:created>
  <dc:creator>DUDU</dc:creator>
  <cp:lastModifiedBy>DUDU</cp:lastModifiedBy>
  <dcterms:modified xsi:type="dcterms:W3CDTF">2020-12-24T10:10:01Z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