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bCs/>
          <w:iCs/>
          <w:sz w:val="24"/>
        </w:rPr>
      </w:pPr>
      <w:r>
        <w:rPr>
          <w:bCs/>
          <w:iCs/>
          <w:sz w:val="24"/>
        </w:rPr>
        <w:t>证券代码：</w:t>
      </w:r>
      <w:r>
        <w:rPr>
          <w:rFonts w:hint="eastAsia"/>
          <w:bCs/>
          <w:iCs/>
          <w:sz w:val="24"/>
        </w:rPr>
        <w:t>300031</w:t>
      </w:r>
      <w:r>
        <w:rPr>
          <w:bCs/>
          <w:iCs/>
          <w:sz w:val="24"/>
        </w:rPr>
        <w:t xml:space="preserve">                                    证券简称：</w:t>
      </w:r>
      <w:r>
        <w:rPr>
          <w:rFonts w:hint="eastAsia"/>
          <w:bCs/>
          <w:iCs/>
          <w:sz w:val="24"/>
        </w:rPr>
        <w:t>宝通科技</w:t>
      </w:r>
    </w:p>
    <w:p>
      <w:pPr>
        <w:spacing w:before="156" w:beforeLines="50" w:after="156" w:afterLines="50" w:line="360" w:lineRule="auto"/>
        <w:jc w:val="center"/>
        <w:outlineLvl w:val="0"/>
        <w:rPr>
          <w:b/>
          <w:bCs/>
          <w:iCs/>
          <w:sz w:val="32"/>
          <w:szCs w:val="32"/>
        </w:rPr>
      </w:pPr>
      <w:r>
        <w:rPr>
          <w:rFonts w:hint="eastAsia"/>
          <w:b/>
          <w:bCs/>
          <w:iCs/>
          <w:sz w:val="32"/>
          <w:szCs w:val="32"/>
        </w:rPr>
        <w:t>无锡宝通科技</w:t>
      </w:r>
      <w:r>
        <w:rPr>
          <w:b/>
          <w:bCs/>
          <w:iCs/>
          <w:sz w:val="32"/>
          <w:szCs w:val="32"/>
        </w:rPr>
        <w:t>股份有限公司投资者关系活动记录表</w:t>
      </w:r>
    </w:p>
    <w:p>
      <w:pPr>
        <w:spacing w:before="156" w:beforeLines="50" w:after="156" w:afterLines="50" w:line="360" w:lineRule="auto"/>
        <w:rPr>
          <w:bCs/>
          <w:iCs/>
          <w:sz w:val="24"/>
        </w:rPr>
      </w:pPr>
      <w:r>
        <w:rPr>
          <w:bCs/>
          <w:iCs/>
          <w:sz w:val="24"/>
        </w:rPr>
        <w:t xml:space="preserve">                                                     编号</w:t>
      </w:r>
      <w:r>
        <w:rPr>
          <w:rFonts w:hint="eastAsia"/>
          <w:bCs/>
          <w:iCs/>
          <w:sz w:val="24"/>
        </w:rPr>
        <w:t>：20210107</w:t>
      </w:r>
    </w:p>
    <w:tbl>
      <w:tblPr>
        <w:tblStyle w:val="6"/>
        <w:tblW w:w="0" w:type="auto"/>
        <w:tblInd w:w="-1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sz w:val="24"/>
              </w:rPr>
            </w:pPr>
            <w:r>
              <w:rPr>
                <w:bCs/>
                <w:iCs/>
                <w:sz w:val="24"/>
              </w:rPr>
              <w:t>投资者关系活动类别</w:t>
            </w:r>
          </w:p>
          <w:p>
            <w:pPr>
              <w:spacing w:line="360" w:lineRule="auto"/>
              <w:rPr>
                <w:bCs/>
                <w:iCs/>
                <w:sz w:val="24"/>
              </w:rPr>
            </w:pPr>
          </w:p>
        </w:tc>
        <w:tc>
          <w:tcPr>
            <w:tcW w:w="7740" w:type="dxa"/>
            <w:tcBorders>
              <w:top w:val="single" w:color="auto" w:sz="4" w:space="0"/>
              <w:left w:val="single" w:color="auto" w:sz="4" w:space="0"/>
              <w:bottom w:val="single" w:color="auto" w:sz="4" w:space="0"/>
              <w:right w:val="single" w:color="auto" w:sz="4" w:space="0"/>
            </w:tcBorders>
          </w:tcPr>
          <w:p>
            <w:pPr>
              <w:spacing w:line="360" w:lineRule="auto"/>
              <w:rPr>
                <w:bCs/>
                <w:iCs/>
                <w:sz w:val="24"/>
              </w:rPr>
            </w:pPr>
            <w:r>
              <w:rPr>
                <w:bCs/>
                <w:iCs/>
                <w:sz w:val="24"/>
              </w:rPr>
              <w:t>√</w:t>
            </w:r>
            <w:r>
              <w:rPr>
                <w:sz w:val="24"/>
              </w:rPr>
              <w:t xml:space="preserve">特定对象调研        </w:t>
            </w:r>
            <w:r>
              <w:rPr>
                <w:bCs/>
                <w:iCs/>
                <w:sz w:val="24"/>
              </w:rPr>
              <w:t>□</w:t>
            </w:r>
            <w:r>
              <w:rPr>
                <w:sz w:val="24"/>
              </w:rPr>
              <w:t>分析师会议</w:t>
            </w:r>
          </w:p>
          <w:p>
            <w:pPr>
              <w:spacing w:line="360" w:lineRule="auto"/>
              <w:rPr>
                <w:bCs/>
                <w:iCs/>
                <w:sz w:val="24"/>
              </w:rPr>
            </w:pPr>
            <w:r>
              <w:rPr>
                <w:bCs/>
                <w:iCs/>
                <w:sz w:val="24"/>
              </w:rPr>
              <w:t>□</w:t>
            </w:r>
            <w:r>
              <w:rPr>
                <w:sz w:val="24"/>
              </w:rPr>
              <w:t xml:space="preserve">媒体采访            </w:t>
            </w:r>
            <w:r>
              <w:rPr>
                <w:bCs/>
                <w:iCs/>
                <w:sz w:val="24"/>
              </w:rPr>
              <w:t>□</w:t>
            </w:r>
            <w:r>
              <w:rPr>
                <w:sz w:val="24"/>
              </w:rPr>
              <w:t>业绩说明会</w:t>
            </w:r>
          </w:p>
          <w:p>
            <w:pPr>
              <w:spacing w:line="360" w:lineRule="auto"/>
              <w:rPr>
                <w:bCs/>
                <w:iCs/>
                <w:sz w:val="24"/>
              </w:rPr>
            </w:pPr>
            <w:r>
              <w:rPr>
                <w:bCs/>
                <w:iCs/>
                <w:sz w:val="24"/>
              </w:rPr>
              <w:t>□</w:t>
            </w:r>
            <w:r>
              <w:rPr>
                <w:sz w:val="24"/>
              </w:rPr>
              <w:t xml:space="preserve">新闻发布会          </w:t>
            </w:r>
            <w:r>
              <w:rPr>
                <w:bCs/>
                <w:iCs/>
                <w:sz w:val="24"/>
              </w:rPr>
              <w:t>□</w:t>
            </w:r>
            <w:r>
              <w:rPr>
                <w:sz w:val="24"/>
              </w:rPr>
              <w:t>路演活动</w:t>
            </w:r>
          </w:p>
          <w:p>
            <w:pPr>
              <w:tabs>
                <w:tab w:val="left" w:pos="3045"/>
                <w:tab w:val="center" w:pos="3199"/>
              </w:tabs>
              <w:spacing w:line="360" w:lineRule="auto"/>
              <w:rPr>
                <w:bCs/>
                <w:iCs/>
                <w:sz w:val="24"/>
              </w:rPr>
            </w:pPr>
            <w:r>
              <w:rPr>
                <w:bCs/>
                <w:iCs/>
                <w:sz w:val="24"/>
              </w:rPr>
              <w:t>□</w:t>
            </w:r>
            <w:r>
              <w:rPr>
                <w:sz w:val="24"/>
              </w:rPr>
              <w:t>现场参观</w:t>
            </w:r>
            <w:r>
              <w:rPr>
                <w:bCs/>
                <w:iCs/>
                <w:sz w:val="24"/>
              </w:rPr>
              <w:tab/>
            </w:r>
          </w:p>
          <w:p>
            <w:pPr>
              <w:tabs>
                <w:tab w:val="left" w:pos="3045"/>
                <w:tab w:val="center" w:pos="3199"/>
              </w:tabs>
              <w:spacing w:line="360" w:lineRule="auto"/>
              <w:rPr>
                <w:bCs/>
                <w:iCs/>
                <w:sz w:val="24"/>
              </w:rPr>
            </w:pPr>
            <w:r>
              <w:rPr>
                <w:bCs/>
                <w:iCs/>
                <w:sz w:val="24"/>
              </w:rPr>
              <w:t>□</w:t>
            </w:r>
            <w:r>
              <w:rPr>
                <w:rFonts w:hAnsi="宋体"/>
                <w:sz w:val="24"/>
              </w:rPr>
              <w:t>投资者接待日活动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sz w:val="24"/>
              </w:rPr>
            </w:pPr>
            <w:r>
              <w:rPr>
                <w:bCs/>
                <w:iCs/>
                <w:sz w:val="24"/>
              </w:rPr>
              <w:t>参与单位名称及人员姓名</w:t>
            </w:r>
          </w:p>
        </w:tc>
        <w:tc>
          <w:tcPr>
            <w:tcW w:w="7740" w:type="dxa"/>
            <w:tcBorders>
              <w:top w:val="single" w:color="auto" w:sz="4" w:space="0"/>
              <w:left w:val="single" w:color="auto" w:sz="4" w:space="0"/>
              <w:bottom w:val="single" w:color="auto" w:sz="4" w:space="0"/>
              <w:right w:val="single" w:color="auto" w:sz="4" w:space="0"/>
            </w:tcBorders>
          </w:tcPr>
          <w:p>
            <w:pPr>
              <w:spacing w:line="360" w:lineRule="auto"/>
              <w:rPr>
                <w:bCs/>
                <w:iCs/>
                <w:sz w:val="24"/>
              </w:rPr>
            </w:pPr>
            <w:r>
              <w:rPr>
                <w:rFonts w:hint="eastAsia"/>
                <w:bCs/>
                <w:iCs/>
                <w:sz w:val="24"/>
              </w:rPr>
              <w:t>招商证券、锦泓资产、满坡栗资产、长城证券、纯厚基金、长城财富保险、诺安基金、大成基金、星泰投资、诺安基金、浦银安盛、阳光天泓资产、招商自营、银河基金、国金证券、陕西文化等17人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sz w:val="24"/>
              </w:rPr>
            </w:pPr>
            <w:r>
              <w:rPr>
                <w:bCs/>
                <w:iCs/>
                <w:sz w:val="24"/>
              </w:rPr>
              <w:t>时间</w:t>
            </w:r>
          </w:p>
        </w:tc>
        <w:tc>
          <w:tcPr>
            <w:tcW w:w="7740" w:type="dxa"/>
            <w:tcBorders>
              <w:top w:val="single" w:color="auto" w:sz="4" w:space="0"/>
              <w:left w:val="single" w:color="auto" w:sz="4" w:space="0"/>
              <w:bottom w:val="single" w:color="auto" w:sz="4" w:space="0"/>
              <w:right w:val="single" w:color="auto" w:sz="4" w:space="0"/>
            </w:tcBorders>
          </w:tcPr>
          <w:p>
            <w:pPr>
              <w:spacing w:line="360" w:lineRule="auto"/>
              <w:rPr>
                <w:bCs/>
                <w:iCs/>
                <w:sz w:val="24"/>
              </w:rPr>
            </w:pPr>
            <w:r>
              <w:rPr>
                <w:rFonts w:hint="eastAsia"/>
                <w:bCs/>
                <w:iCs/>
                <w:sz w:val="24"/>
              </w:rPr>
              <w:t>2021年01月07日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sz w:val="24"/>
              </w:rPr>
            </w:pPr>
            <w:r>
              <w:rPr>
                <w:bCs/>
                <w:iCs/>
                <w:sz w:val="24"/>
              </w:rPr>
              <w:t>地点</w:t>
            </w:r>
          </w:p>
        </w:tc>
        <w:tc>
          <w:tcPr>
            <w:tcW w:w="7740" w:type="dxa"/>
            <w:tcBorders>
              <w:top w:val="single" w:color="auto" w:sz="4" w:space="0"/>
              <w:left w:val="single" w:color="auto" w:sz="4" w:space="0"/>
              <w:bottom w:val="single" w:color="auto" w:sz="4" w:space="0"/>
              <w:right w:val="single" w:color="auto" w:sz="4" w:space="0"/>
            </w:tcBorders>
          </w:tcPr>
          <w:p>
            <w:pPr>
              <w:spacing w:line="360" w:lineRule="auto"/>
              <w:rPr>
                <w:bCs/>
                <w:iCs/>
                <w:sz w:val="24"/>
              </w:rPr>
            </w:pPr>
            <w:r>
              <w:rPr>
                <w:rFonts w:hint="eastAsia"/>
                <w:bCs/>
                <w:iCs/>
                <w:sz w:val="24"/>
              </w:rPr>
              <w:t>无锡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sz w:val="24"/>
              </w:rPr>
            </w:pPr>
            <w:r>
              <w:rPr>
                <w:bCs/>
                <w:iCs/>
                <w:sz w:val="24"/>
              </w:rPr>
              <w:t>上市公司接待人员姓名</w:t>
            </w:r>
          </w:p>
        </w:tc>
        <w:tc>
          <w:tcPr>
            <w:tcW w:w="7740" w:type="dxa"/>
            <w:tcBorders>
              <w:top w:val="single" w:color="auto" w:sz="4" w:space="0"/>
              <w:left w:val="single" w:color="auto" w:sz="4" w:space="0"/>
              <w:bottom w:val="single" w:color="auto" w:sz="4" w:space="0"/>
              <w:right w:val="single" w:color="auto" w:sz="4" w:space="0"/>
            </w:tcBorders>
          </w:tcPr>
          <w:p>
            <w:pPr>
              <w:spacing w:line="360" w:lineRule="auto"/>
              <w:rPr>
                <w:bCs/>
                <w:iCs/>
                <w:sz w:val="24"/>
              </w:rPr>
            </w:pPr>
            <w:r>
              <w:rPr>
                <w:rFonts w:hint="eastAsia"/>
                <w:bCs/>
                <w:iCs/>
                <w:sz w:val="24"/>
              </w:rPr>
              <w:t>副总经理 张利乾、IR总监常兆亮、证代 温波飞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bCs/>
                <w:iCs/>
                <w:sz w:val="24"/>
              </w:rPr>
            </w:pPr>
            <w:r>
              <w:rPr>
                <w:bCs/>
                <w:iCs/>
                <w:sz w:val="24"/>
              </w:rPr>
              <w:t>投资者关系活动主要内容介绍</w:t>
            </w:r>
          </w:p>
          <w:p>
            <w:pPr>
              <w:spacing w:line="480" w:lineRule="atLeast"/>
              <w:rPr>
                <w:bCs/>
                <w:iCs/>
                <w:sz w:val="24"/>
              </w:rPr>
            </w:pPr>
          </w:p>
        </w:tc>
        <w:tc>
          <w:tcPr>
            <w:tcW w:w="7740" w:type="dxa"/>
            <w:tcBorders>
              <w:top w:val="single" w:color="auto" w:sz="4" w:space="0"/>
              <w:left w:val="single" w:color="auto" w:sz="4" w:space="0"/>
              <w:bottom w:val="single" w:color="auto" w:sz="4" w:space="0"/>
              <w:right w:val="single" w:color="auto" w:sz="4" w:space="0"/>
            </w:tcBorders>
          </w:tcPr>
          <w:p>
            <w:pPr>
              <w:numPr>
                <w:ilvl w:val="0"/>
                <w:numId w:val="1"/>
              </w:numPr>
              <w:spacing w:before="156" w:beforeLines="50" w:after="156" w:afterLines="50" w:line="360" w:lineRule="auto"/>
              <w:rPr>
                <w:b/>
                <w:iCs/>
                <w:sz w:val="24"/>
              </w:rPr>
            </w:pPr>
            <w:r>
              <w:rPr>
                <w:rFonts w:hint="eastAsia"/>
                <w:b/>
                <w:iCs/>
                <w:sz w:val="24"/>
              </w:rPr>
              <w:t xml:space="preserve">公司经营情况介绍 </w:t>
            </w:r>
          </w:p>
          <w:p>
            <w:pPr>
              <w:spacing w:before="156" w:beforeLines="50" w:after="156" w:afterLines="50" w:line="360" w:lineRule="auto"/>
              <w:rPr>
                <w:bCs/>
                <w:iCs/>
                <w:sz w:val="24"/>
              </w:rPr>
            </w:pPr>
            <w:r>
              <w:rPr>
                <w:rFonts w:hint="eastAsia"/>
                <w:bCs/>
                <w:iCs/>
                <w:sz w:val="24"/>
              </w:rPr>
              <w:t>2020年1-12月，公司实现归母净利润为39,655.48万元—42,705.90万元</w:t>
            </w:r>
            <w:r>
              <w:rPr>
                <w:rFonts w:hint="eastAsia"/>
                <w:bCs/>
                <w:iCs/>
                <w:sz w:val="24"/>
              </w:rPr>
              <w:t>，较2019年同比上升30%-40%。公司2020年前三季度实现归母净利润为31,620.80万元，第四季度预计实现归母净利润为</w:t>
            </w:r>
            <w:r>
              <w:rPr>
                <w:rFonts w:hint="eastAsia"/>
                <w:bCs/>
                <w:iCs/>
                <w:sz w:val="24"/>
                <w:lang w:val="en-US" w:eastAsia="zh-CN"/>
              </w:rPr>
              <w:t>8,034.68万元</w:t>
            </w:r>
            <w:r>
              <w:rPr>
                <w:rFonts w:hint="eastAsia"/>
                <w:bCs/>
                <w:iCs/>
                <w:sz w:val="24"/>
              </w:rPr>
              <w:t>—</w:t>
            </w:r>
            <w:r>
              <w:rPr>
                <w:rFonts w:hint="eastAsia"/>
                <w:bCs/>
                <w:iCs/>
                <w:sz w:val="24"/>
                <w:lang w:val="en-US" w:eastAsia="zh-CN"/>
              </w:rPr>
              <w:t>11,085.1万元，同比增长11%</w:t>
            </w:r>
            <w:r>
              <w:rPr>
                <w:rFonts w:hint="eastAsia"/>
                <w:bCs/>
                <w:iCs/>
                <w:sz w:val="24"/>
              </w:rPr>
              <w:t>—</w:t>
            </w:r>
            <w:r>
              <w:rPr>
                <w:rFonts w:hint="eastAsia"/>
                <w:bCs/>
                <w:iCs/>
                <w:sz w:val="24"/>
                <w:lang w:val="en-US" w:eastAsia="zh-CN"/>
              </w:rPr>
              <w:t>53%</w:t>
            </w:r>
            <w:r>
              <w:rPr>
                <w:rFonts w:hint="eastAsia"/>
                <w:bCs/>
                <w:iCs/>
                <w:sz w:val="24"/>
              </w:rPr>
              <w:t>。公司四季度上线了两款S级产品，分别为日本地区发行的《梦境链接》和港澳台地区发行的《王国Kingdom:战争余烬》，上线后市场表现优异，为公司后续业绩增长提供动力。公司全年业绩增长主要得益于双主业稳定增长以及对外投资的良好回报</w:t>
            </w:r>
            <w:bookmarkStart w:id="0" w:name="_GoBack"/>
            <w:bookmarkEnd w:id="0"/>
            <w:r>
              <w:rPr>
                <w:rFonts w:hint="eastAsia"/>
                <w:sz w:val="24"/>
              </w:rPr>
              <w:t>。</w:t>
            </w:r>
          </w:p>
          <w:p>
            <w:pPr>
              <w:spacing w:before="156" w:beforeLines="50" w:after="156" w:afterLines="50" w:line="360" w:lineRule="auto"/>
              <w:rPr>
                <w:b/>
                <w:bCs/>
                <w:sz w:val="24"/>
              </w:rPr>
            </w:pPr>
            <w:r>
              <w:rPr>
                <w:rFonts w:hint="eastAsia"/>
                <w:b/>
                <w:bCs/>
                <w:sz w:val="24"/>
              </w:rPr>
              <w:t>1、公司移动互联网业务</w:t>
            </w:r>
          </w:p>
          <w:p>
            <w:pPr>
              <w:spacing w:before="156" w:beforeLines="50" w:after="156" w:afterLines="50" w:line="360" w:lineRule="auto"/>
              <w:rPr>
                <w:sz w:val="24"/>
              </w:rPr>
            </w:pPr>
            <w:r>
              <w:rPr>
                <w:rFonts w:hint="eastAsia"/>
                <w:sz w:val="24"/>
              </w:rPr>
              <w:t>该板块主要为移动网络游戏的海外区域化发行与运营、全球研运一体和自主游戏内容研发，分别由子公司易幻网络、海南高图及成都聚获开展实施。</w:t>
            </w:r>
          </w:p>
          <w:p>
            <w:pPr>
              <w:spacing w:before="156" w:beforeLines="50" w:after="156" w:afterLines="50" w:line="360" w:lineRule="auto"/>
              <w:rPr>
                <w:bCs/>
                <w:iCs/>
                <w:sz w:val="24"/>
              </w:rPr>
            </w:pPr>
            <w:r>
              <w:rPr>
                <w:rFonts w:hint="eastAsia"/>
                <w:sz w:val="24"/>
              </w:rPr>
              <w:t>（1）市场方面：2020年，欧美和日本市场是公司战略重心之一，公司已完成欧美、日本等一级市场布局，从现在来看，战略实施的效果是比较超预期的，</w:t>
            </w:r>
            <w:r>
              <w:rPr>
                <w:rFonts w:hint="eastAsia"/>
                <w:bCs/>
                <w:iCs/>
                <w:sz w:val="24"/>
              </w:rPr>
              <w:t>日本与欧美市场在该板块流水占比从5%增长到35%以上，呈现了相当强劲的发展势头，同比实现了100%增速。同时，中国市场也是值得大家比较期待的，公司从零到组建团队，目前团队有20-30人，2021年也储备了2-3款的产品在国内上线，也是值得大家期待。</w:t>
            </w:r>
          </w:p>
          <w:p>
            <w:pPr>
              <w:spacing w:before="156" w:beforeLines="50" w:after="156" w:afterLines="50" w:line="360" w:lineRule="auto"/>
              <w:rPr>
                <w:bCs/>
                <w:iCs/>
                <w:sz w:val="24"/>
              </w:rPr>
            </w:pPr>
            <w:r>
              <w:rPr>
                <w:rFonts w:hint="eastAsia"/>
                <w:bCs/>
                <w:iCs/>
                <w:sz w:val="24"/>
              </w:rPr>
              <w:t>（2）自研产品：成都聚获专注于二次元游戏产品的研发，其自研产品《终末阵线：伊诺贝塔》为公司首款自研产品，目前正在进行第二轮的测试，目前整个游戏人物、场景、声优等的质量与美感均得到了非常大提升，该款产品预计于2021上半年正式上线。海南高图自研产品《WTS》计划于2021年上半年进行规模化推广，目前该款产品也已于2020年11月18日上线，2021年海南高图已储备2-3款自研（定制）新品上线与测试。易幻网络也已储备了的自研（定制）在2</w:t>
            </w:r>
            <w:r>
              <w:rPr>
                <w:bCs/>
                <w:iCs/>
                <w:sz w:val="24"/>
              </w:rPr>
              <w:t>021年上线</w:t>
            </w:r>
            <w:r>
              <w:rPr>
                <w:rFonts w:hint="eastAsia"/>
                <w:bCs/>
                <w:iCs/>
                <w:sz w:val="24"/>
              </w:rPr>
              <w:t>，</w:t>
            </w:r>
            <w:r>
              <w:rPr>
                <w:bCs/>
                <w:iCs/>
                <w:sz w:val="24"/>
              </w:rPr>
              <w:t>自研项目的上线将为今年业绩带来新的增量</w:t>
            </w:r>
            <w:r>
              <w:rPr>
                <w:rFonts w:hint="eastAsia"/>
                <w:bCs/>
                <w:iCs/>
                <w:sz w:val="24"/>
              </w:rPr>
              <w:t>。</w:t>
            </w:r>
          </w:p>
          <w:p>
            <w:pPr>
              <w:spacing w:before="156" w:beforeLines="50" w:after="156" w:afterLines="50" w:line="360" w:lineRule="auto"/>
              <w:rPr>
                <w:bCs/>
                <w:iCs/>
                <w:sz w:val="24"/>
              </w:rPr>
            </w:pPr>
            <w:r>
              <w:rPr>
                <w:rFonts w:hint="eastAsia"/>
                <w:bCs/>
                <w:iCs/>
                <w:sz w:val="24"/>
              </w:rPr>
              <w:t>2021年，移动游戏业务板块是非常值得大家期待的，相信随着新游戏的上线、自研产品的登场以及原有产品的长线流水收入贡献，这些一定会成为公司业绩增长的重要力量。</w:t>
            </w:r>
          </w:p>
          <w:p>
            <w:pPr>
              <w:numPr>
                <w:ilvl w:val="0"/>
                <w:numId w:val="2"/>
              </w:numPr>
              <w:spacing w:before="156" w:beforeLines="50" w:after="156" w:afterLines="50" w:line="360" w:lineRule="auto"/>
              <w:rPr>
                <w:b/>
                <w:iCs/>
                <w:sz w:val="24"/>
              </w:rPr>
            </w:pPr>
            <w:r>
              <w:rPr>
                <w:rFonts w:hint="eastAsia"/>
                <w:b/>
                <w:iCs/>
                <w:sz w:val="24"/>
              </w:rPr>
              <w:t>现代工业载货物料智能输送与服务业务</w:t>
            </w:r>
          </w:p>
          <w:p>
            <w:pPr>
              <w:spacing w:before="156" w:beforeLines="50" w:after="156" w:afterLines="50" w:line="360" w:lineRule="auto"/>
              <w:rPr>
                <w:bCs/>
                <w:iCs/>
                <w:sz w:val="24"/>
              </w:rPr>
            </w:pPr>
            <w:r>
              <w:rPr>
                <w:bCs/>
                <w:iCs/>
                <w:sz w:val="24"/>
              </w:rPr>
              <w:t>公司在 “高端化、国际化”发展战略的指引下，该业务板块国际贸易收入实现了同比大幅增长，海外业务占比同比增长超过100%。公司数字化输送带系列产品销售量占比上升显著</w:t>
            </w:r>
            <w:r>
              <w:rPr>
                <w:rFonts w:hint="eastAsia"/>
                <w:bCs/>
                <w:iCs/>
                <w:sz w:val="24"/>
              </w:rPr>
              <w:t>，目前该业务板块连续三年的复合增长率</w:t>
            </w:r>
            <w:r>
              <w:rPr>
                <w:rFonts w:hint="eastAsia"/>
                <w:bCs/>
                <w:iCs/>
                <w:sz w:val="24"/>
                <w:highlight w:val="none"/>
              </w:rPr>
              <w:t>为30%以上，呈</w:t>
            </w:r>
            <w:r>
              <w:rPr>
                <w:rFonts w:hint="eastAsia"/>
                <w:bCs/>
                <w:iCs/>
                <w:sz w:val="24"/>
              </w:rPr>
              <w:t>现了快速增长的态势。同时，公司通过对外投资布局，与兖州煤业的合作，该项合作是公司基于长远战略发展所进行的规划投资，公司希望通过与兖州煤业股份有限公司进行合作，提高公司产能，扩大国内及澳洲高端煤矿市场，提升公司经营业绩，助力工业散货物料智能输送全栈式服务在煤矿领域的落地。公司参与投资兖矿东平陆港有限公司，该项目具备较好的投资回报，实现公司智能输送全栈式服务场景在内陆港口的规模化落地。</w:t>
            </w:r>
          </w:p>
          <w:p>
            <w:pPr>
              <w:numPr>
                <w:ilvl w:val="0"/>
                <w:numId w:val="1"/>
              </w:numPr>
              <w:spacing w:before="156" w:beforeLines="50" w:after="156" w:afterLines="50" w:line="360" w:lineRule="auto"/>
              <w:rPr>
                <w:b/>
                <w:iCs/>
                <w:sz w:val="24"/>
              </w:rPr>
            </w:pPr>
            <w:r>
              <w:rPr>
                <w:rFonts w:hint="eastAsia"/>
                <w:b/>
                <w:iCs/>
                <w:sz w:val="24"/>
              </w:rPr>
              <w:t xml:space="preserve">问答环节 </w:t>
            </w:r>
          </w:p>
          <w:p>
            <w:pPr>
              <w:spacing w:before="156" w:beforeLines="50" w:after="156" w:afterLines="50" w:line="360" w:lineRule="auto"/>
              <w:rPr>
                <w:b/>
                <w:iCs/>
                <w:sz w:val="24"/>
              </w:rPr>
            </w:pPr>
            <w:r>
              <w:rPr>
                <w:b/>
                <w:iCs/>
                <w:sz w:val="24"/>
              </w:rPr>
              <w:t>1</w:t>
            </w:r>
            <w:r>
              <w:rPr>
                <w:rFonts w:hint="eastAsia"/>
                <w:b/>
                <w:iCs/>
                <w:sz w:val="24"/>
              </w:rPr>
              <w:t>、</w:t>
            </w:r>
            <w:r>
              <w:rPr>
                <w:rFonts w:hint="eastAsia"/>
                <w:b/>
                <w:iCs/>
                <w:sz w:val="24"/>
                <w:lang w:eastAsia="zh-Hans"/>
              </w:rPr>
              <w:t>公司自研的游戏发行是自己发行还是偏向找一个合适的发行方</w:t>
            </w:r>
            <w:r>
              <w:rPr>
                <w:rFonts w:hint="eastAsia"/>
                <w:b/>
                <w:iCs/>
                <w:sz w:val="24"/>
              </w:rPr>
              <w:t>？</w:t>
            </w:r>
          </w:p>
          <w:p>
            <w:pPr>
              <w:spacing w:before="156" w:beforeLines="50" w:after="156" w:afterLines="50" w:line="360" w:lineRule="auto"/>
              <w:rPr>
                <w:bCs/>
                <w:iCs/>
                <w:sz w:val="24"/>
              </w:rPr>
            </w:pPr>
            <w:r>
              <w:rPr>
                <w:rFonts w:hint="eastAsia"/>
                <w:bCs/>
                <w:iCs/>
                <w:sz w:val="24"/>
              </w:rPr>
              <w:t>答：上海易幻网络团队是公司于2020年</w:t>
            </w:r>
            <w:r>
              <w:rPr>
                <w:rFonts w:hint="eastAsia"/>
                <w:bCs/>
                <w:iCs/>
                <w:sz w:val="24"/>
                <w:lang w:val="en-US" w:eastAsia="zh-CN"/>
              </w:rPr>
              <w:t>中</w:t>
            </w:r>
            <w:r>
              <w:rPr>
                <w:rFonts w:hint="eastAsia"/>
                <w:bCs/>
                <w:iCs/>
                <w:sz w:val="24"/>
              </w:rPr>
              <w:t>组建，成都聚获的产品《终末阵线：伊诺贝塔》是与B站合作，公司更关注的是团队的运营和发行能力，有了硬核的发行实力，产品是水到渠成的事情。</w:t>
            </w:r>
          </w:p>
          <w:p>
            <w:pPr>
              <w:spacing w:before="156" w:beforeLines="50" w:after="156" w:afterLines="50" w:line="360" w:lineRule="auto"/>
              <w:rPr>
                <w:b/>
                <w:iCs/>
                <w:sz w:val="24"/>
              </w:rPr>
            </w:pPr>
            <w:r>
              <w:rPr>
                <w:b/>
                <w:iCs/>
                <w:sz w:val="24"/>
              </w:rPr>
              <w:t>2</w:t>
            </w:r>
            <w:r>
              <w:rPr>
                <w:rFonts w:hint="eastAsia"/>
                <w:b/>
                <w:iCs/>
                <w:sz w:val="24"/>
              </w:rPr>
              <w:t>、</w:t>
            </w:r>
            <w:r>
              <w:rPr>
                <w:rFonts w:hint="eastAsia"/>
                <w:b/>
                <w:iCs/>
                <w:sz w:val="24"/>
                <w:lang w:eastAsia="zh-Hans"/>
              </w:rPr>
              <w:t>怎么看待未来产业链的利益分配变化</w:t>
            </w:r>
            <w:r>
              <w:rPr>
                <w:rFonts w:hint="eastAsia"/>
                <w:b/>
                <w:iCs/>
                <w:sz w:val="24"/>
              </w:rPr>
              <w:t>？</w:t>
            </w:r>
          </w:p>
          <w:p>
            <w:pPr>
              <w:spacing w:before="156" w:beforeLines="50" w:after="156" w:afterLines="50" w:line="360" w:lineRule="auto"/>
              <w:rPr>
                <w:bCs/>
                <w:iCs/>
                <w:sz w:val="24"/>
              </w:rPr>
            </w:pPr>
            <w:r>
              <w:rPr>
                <w:rFonts w:hint="eastAsia"/>
                <w:bCs/>
                <w:iCs/>
                <w:sz w:val="24"/>
              </w:rPr>
              <w:t>答：海外的情况还是会跟过去比较类似，毕竟海外它有比较高的一个门槛，所以短期内这种冲击不大。未来公司更加关注自身发行实力提升、自有研发内容的提升。</w:t>
            </w:r>
          </w:p>
          <w:p>
            <w:pPr>
              <w:spacing w:before="156" w:beforeLines="50" w:after="156" w:afterLines="50" w:line="360" w:lineRule="auto"/>
              <w:rPr>
                <w:b/>
                <w:iCs/>
                <w:sz w:val="24"/>
              </w:rPr>
            </w:pPr>
            <w:r>
              <w:rPr>
                <w:b/>
                <w:iCs/>
                <w:sz w:val="24"/>
              </w:rPr>
              <w:t>3</w:t>
            </w:r>
            <w:r>
              <w:rPr>
                <w:rFonts w:hint="eastAsia"/>
                <w:b/>
                <w:iCs/>
                <w:sz w:val="24"/>
              </w:rPr>
              <w:t>、</w:t>
            </w:r>
            <w:r>
              <w:rPr>
                <w:rFonts w:hint="eastAsia"/>
                <w:b/>
                <w:iCs/>
                <w:sz w:val="24"/>
                <w:lang w:eastAsia="zh-Hans"/>
              </w:rPr>
              <w:t>日本市场的游戏有哪些？自研和代理的比例？</w:t>
            </w:r>
          </w:p>
          <w:p>
            <w:pPr>
              <w:spacing w:before="156" w:beforeLines="50" w:after="156" w:afterLines="50" w:line="360" w:lineRule="auto"/>
              <w:rPr>
                <w:bCs/>
                <w:iCs/>
                <w:sz w:val="24"/>
              </w:rPr>
            </w:pPr>
            <w:r>
              <w:rPr>
                <w:rFonts w:hint="eastAsia"/>
                <w:bCs/>
                <w:iCs/>
                <w:sz w:val="24"/>
              </w:rPr>
              <w:t>答：从目前来看，日本市场一共上了5款产品，成绩比较好的大概有4款，在去年12月份发的《梦境链接》，目前来看是最好的，月流水应该是在千万美金水平；日本整个成长轨迹也是比较清晰，第一款产品《遗忘之镜》为自研（定制）的，是公司在日本市场的第一款产品；2020年年中发了一款《造物法则2》，这一款产品是代理的。《遗忘之境》和《造物法则2》的月流水在达到小几百万美金的水平。2</w:t>
            </w:r>
            <w:r>
              <w:rPr>
                <w:bCs/>
                <w:iCs/>
                <w:sz w:val="24"/>
              </w:rPr>
              <w:t>021年我们依然在日本市场保有更进取的计划</w:t>
            </w:r>
            <w:r>
              <w:rPr>
                <w:rFonts w:hint="eastAsia"/>
                <w:bCs/>
                <w:iCs/>
                <w:sz w:val="24"/>
              </w:rPr>
              <w:t>，</w:t>
            </w:r>
            <w:r>
              <w:rPr>
                <w:bCs/>
                <w:iCs/>
                <w:sz w:val="24"/>
              </w:rPr>
              <w:t>目前也已储备多款产品在今年继续扩大该市场的市场份额</w:t>
            </w:r>
            <w:r>
              <w:rPr>
                <w:rFonts w:hint="eastAsia"/>
                <w:bCs/>
                <w:iCs/>
                <w:sz w:val="24"/>
              </w:rPr>
              <w:t>。</w:t>
            </w:r>
          </w:p>
          <w:p>
            <w:pPr>
              <w:spacing w:before="156" w:beforeLines="50" w:after="156" w:afterLines="50" w:line="360" w:lineRule="auto"/>
              <w:rPr>
                <w:b/>
                <w:iCs/>
                <w:sz w:val="24"/>
                <w:lang w:eastAsia="zh-Hans"/>
              </w:rPr>
            </w:pPr>
            <w:r>
              <w:rPr>
                <w:b/>
                <w:iCs/>
                <w:sz w:val="24"/>
              </w:rPr>
              <w:t>4</w:t>
            </w:r>
            <w:r>
              <w:rPr>
                <w:rFonts w:hint="eastAsia"/>
                <w:b/>
                <w:iCs/>
                <w:sz w:val="24"/>
              </w:rPr>
              <w:t>、</w:t>
            </w:r>
            <w:r>
              <w:rPr>
                <w:rFonts w:hint="eastAsia"/>
                <w:b/>
                <w:iCs/>
                <w:sz w:val="24"/>
                <w:lang w:eastAsia="zh-Hans"/>
              </w:rPr>
              <w:t>日本市场的竞争如何？和其他公司比优势在什么地方？</w:t>
            </w:r>
          </w:p>
          <w:p>
            <w:pPr>
              <w:spacing w:before="156" w:beforeLines="50" w:after="156" w:afterLines="50" w:line="360" w:lineRule="auto"/>
              <w:rPr>
                <w:bCs/>
                <w:iCs/>
                <w:sz w:val="24"/>
              </w:rPr>
            </w:pPr>
            <w:r>
              <w:rPr>
                <w:rFonts w:hint="eastAsia"/>
                <w:bCs/>
                <w:iCs/>
                <w:sz w:val="24"/>
              </w:rPr>
              <w:t>答：总体上中国游戏近几年在日本的竞争力逐年提升，已经完全适应了日本市场的用户。我们可以看到一个数据，就是在2015-16年的时候，日本畅销榜的榜单能进入前100的中国游戏，大概是5~10款。从去年来看，进入到畅销前100的有些月份能高达30款。所以，中国游戏在日本市场取得了相当大的成功。</w:t>
            </w:r>
          </w:p>
          <w:p>
            <w:pPr>
              <w:spacing w:before="156" w:beforeLines="50" w:after="156" w:afterLines="50" w:line="360" w:lineRule="auto"/>
              <w:rPr>
                <w:bCs/>
                <w:iCs/>
                <w:sz w:val="24"/>
              </w:rPr>
            </w:pPr>
            <w:r>
              <w:rPr>
                <w:rFonts w:hint="eastAsia"/>
                <w:bCs/>
                <w:iCs/>
                <w:sz w:val="24"/>
              </w:rPr>
              <w:t>公司核心竞争优势：第一，易幻网络在海外的综合发行实力、市场口碑、用户反馈等方面，在市场是排在前列的；第二，公司积累丰富的数据，无论是产品面的数据还是用户端的数据，基于数据我们运用A</w:t>
            </w:r>
            <w:r>
              <w:rPr>
                <w:bCs/>
                <w:iCs/>
                <w:sz w:val="24"/>
              </w:rPr>
              <w:t>I和智能化手段去价值化我们的数据</w:t>
            </w:r>
            <w:r>
              <w:rPr>
                <w:rFonts w:hint="eastAsia"/>
                <w:bCs/>
                <w:iCs/>
                <w:sz w:val="24"/>
              </w:rPr>
              <w:t>，</w:t>
            </w:r>
            <w:r>
              <w:rPr>
                <w:bCs/>
                <w:iCs/>
                <w:sz w:val="24"/>
              </w:rPr>
              <w:t>包括对于用户行为的判断</w:t>
            </w:r>
            <w:r>
              <w:rPr>
                <w:rFonts w:hint="eastAsia"/>
                <w:bCs/>
                <w:iCs/>
                <w:sz w:val="24"/>
              </w:rPr>
              <w:t>、</w:t>
            </w:r>
            <w:r>
              <w:rPr>
                <w:bCs/>
                <w:iCs/>
                <w:sz w:val="24"/>
              </w:rPr>
              <w:t>运营手段的智能化转换</w:t>
            </w:r>
            <w:r>
              <w:rPr>
                <w:rFonts w:hint="eastAsia"/>
                <w:bCs/>
                <w:iCs/>
                <w:sz w:val="24"/>
              </w:rPr>
              <w:t>、游戏内容的迭代以及游戏活动设置等非常多方面。这个是我们非常大的核心竞争力；第三个基于大量产品测试与发行和海量用户的数据，公司可以在比较早期去针对海外地区市场调优产品，让产品的成功概率更高。</w:t>
            </w:r>
          </w:p>
          <w:p>
            <w:pPr>
              <w:spacing w:before="156" w:beforeLines="50" w:after="156" w:afterLines="50" w:line="360" w:lineRule="auto"/>
              <w:rPr>
                <w:b/>
                <w:iCs/>
                <w:sz w:val="24"/>
              </w:rPr>
            </w:pPr>
            <w:r>
              <w:rPr>
                <w:b/>
                <w:iCs/>
                <w:sz w:val="24"/>
              </w:rPr>
              <w:t>5</w:t>
            </w:r>
            <w:r>
              <w:rPr>
                <w:rFonts w:hint="eastAsia"/>
                <w:b/>
                <w:iCs/>
                <w:sz w:val="24"/>
              </w:rPr>
              <w:t>、</w:t>
            </w:r>
            <w:r>
              <w:rPr>
                <w:rFonts w:hint="eastAsia"/>
                <w:b/>
                <w:iCs/>
                <w:sz w:val="24"/>
                <w:lang w:eastAsia="zh-Hans"/>
              </w:rPr>
              <w:t>对于公司双主业的模式，资源分配会不会有冲突</w:t>
            </w:r>
          </w:p>
          <w:p>
            <w:pPr>
              <w:pStyle w:val="10"/>
              <w:spacing w:before="156" w:beforeLines="50" w:after="156" w:afterLines="50" w:line="360" w:lineRule="auto"/>
              <w:rPr>
                <w:rFonts w:ascii="Calibri" w:hAnsi="Calibri" w:eastAsia="宋体" w:cs="Times New Roman"/>
                <w:b w:val="0"/>
                <w:bCs w:val="0"/>
                <w:iCs/>
                <w:sz w:val="24"/>
                <w:szCs w:val="24"/>
              </w:rPr>
            </w:pPr>
            <w:r>
              <w:rPr>
                <w:rFonts w:hint="eastAsia" w:ascii="Calibri" w:hAnsi="Calibri" w:eastAsia="宋体" w:cs="Times New Roman"/>
                <w:b w:val="0"/>
                <w:bCs w:val="0"/>
                <w:iCs/>
                <w:sz w:val="24"/>
                <w:szCs w:val="24"/>
              </w:rPr>
              <w:t>答：公司双业务的业务发展格局态势良好，未来几年发展格局会得到延续。公司自201</w:t>
            </w:r>
            <w:r>
              <w:rPr>
                <w:rFonts w:ascii="Calibri" w:hAnsi="Calibri" w:eastAsia="宋体" w:cs="Times New Roman"/>
                <w:b w:val="0"/>
                <w:bCs w:val="0"/>
                <w:iCs/>
                <w:sz w:val="24"/>
                <w:szCs w:val="24"/>
              </w:rPr>
              <w:t>6</w:t>
            </w:r>
            <w:r>
              <w:rPr>
                <w:rFonts w:hint="eastAsia" w:ascii="Calibri" w:hAnsi="Calibri" w:eastAsia="宋体" w:cs="Times New Roman"/>
                <w:b w:val="0"/>
                <w:bCs w:val="0"/>
                <w:iCs/>
                <w:sz w:val="24"/>
                <w:szCs w:val="24"/>
              </w:rPr>
              <w:t>年联姻易幻网络进军移动互联网业务，是在充分论证与洞悉移动互联网发展轨迹以及互联网、物联网、人工智能与5</w:t>
            </w:r>
            <w:r>
              <w:rPr>
                <w:rFonts w:ascii="Calibri" w:hAnsi="Calibri" w:eastAsia="宋体" w:cs="Times New Roman"/>
                <w:b w:val="0"/>
                <w:bCs w:val="0"/>
                <w:iCs/>
                <w:sz w:val="24"/>
                <w:szCs w:val="24"/>
              </w:rPr>
              <w:t>G大趋势可能会加速产业变革与社会改革的前瞻性</w:t>
            </w:r>
            <w:r>
              <w:rPr>
                <w:rFonts w:hint="eastAsia" w:ascii="Calibri" w:hAnsi="Calibri" w:eastAsia="宋体" w:cs="Times New Roman"/>
                <w:b w:val="0"/>
                <w:bCs w:val="0"/>
                <w:iCs/>
                <w:sz w:val="24"/>
                <w:szCs w:val="24"/>
              </w:rPr>
              <w:t>结论</w:t>
            </w:r>
            <w:r>
              <w:rPr>
                <w:rFonts w:ascii="Calibri" w:hAnsi="Calibri" w:eastAsia="宋体" w:cs="Times New Roman"/>
                <w:b w:val="0"/>
                <w:bCs w:val="0"/>
                <w:iCs/>
                <w:sz w:val="24"/>
                <w:szCs w:val="24"/>
              </w:rPr>
              <w:t>上而做出的举措</w:t>
            </w:r>
            <w:r>
              <w:rPr>
                <w:rFonts w:hint="eastAsia" w:ascii="Calibri" w:hAnsi="Calibri" w:eastAsia="宋体" w:cs="Times New Roman"/>
                <w:b w:val="0"/>
                <w:bCs w:val="0"/>
                <w:iCs/>
                <w:sz w:val="24"/>
                <w:szCs w:val="24"/>
              </w:rPr>
              <w:t>。</w:t>
            </w:r>
            <w:r>
              <w:rPr>
                <w:rFonts w:ascii="Calibri" w:hAnsi="Calibri" w:eastAsia="宋体" w:cs="Times New Roman"/>
                <w:b w:val="0"/>
                <w:bCs w:val="0"/>
                <w:iCs/>
                <w:sz w:val="24"/>
                <w:szCs w:val="24"/>
              </w:rPr>
              <w:t>显而易见</w:t>
            </w:r>
            <w:r>
              <w:rPr>
                <w:rFonts w:hint="eastAsia" w:ascii="Calibri" w:hAnsi="Calibri" w:eastAsia="宋体" w:cs="Times New Roman"/>
                <w:b w:val="0"/>
                <w:bCs w:val="0"/>
                <w:iCs/>
                <w:sz w:val="24"/>
                <w:szCs w:val="24"/>
              </w:rPr>
              <w:t>，成功切入移动互联网业务为上市公司注入了互联网的基因（这点非常重要）。两块业务独立经营，虽然在具体产品上我们没有太大的协同。但是，公司已经在文化、管理、技术、技术资源、管理机制、激励机制以及人力资源均有互补与融合。我们相信产品可以不同，但是内在的人文、信念与机制却是普世一致的。</w:t>
            </w:r>
            <w:r>
              <w:rPr>
                <w:rFonts w:ascii="Calibri" w:hAnsi="Calibri" w:eastAsia="宋体" w:cs="Times New Roman"/>
                <w:b w:val="0"/>
                <w:bCs w:val="0"/>
                <w:iCs/>
                <w:sz w:val="24"/>
                <w:szCs w:val="24"/>
              </w:rPr>
              <w:t>目前公司有足够的资源去满足两块业务业务发展需求</w:t>
            </w:r>
            <w:r>
              <w:rPr>
                <w:rFonts w:hint="eastAsia" w:ascii="Calibri" w:hAnsi="Calibri" w:eastAsia="宋体" w:cs="Times New Roman"/>
                <w:b w:val="0"/>
                <w:bCs w:val="0"/>
                <w:iCs/>
                <w:sz w:val="24"/>
                <w:szCs w:val="24"/>
              </w:rPr>
              <w:t>，</w:t>
            </w:r>
            <w:r>
              <w:rPr>
                <w:rFonts w:ascii="Calibri" w:hAnsi="Calibri" w:eastAsia="宋体" w:cs="Times New Roman"/>
                <w:b w:val="0"/>
                <w:bCs w:val="0"/>
                <w:iCs/>
                <w:sz w:val="24"/>
                <w:szCs w:val="24"/>
              </w:rPr>
              <w:t>移动互联网业务扩张有序并且有非常良好的现金流支撑</w:t>
            </w:r>
            <w:r>
              <w:rPr>
                <w:rFonts w:hint="eastAsia" w:ascii="Calibri" w:hAnsi="Calibri" w:eastAsia="宋体" w:cs="Times New Roman"/>
                <w:b w:val="0"/>
                <w:bCs w:val="0"/>
                <w:iCs/>
                <w:sz w:val="24"/>
                <w:szCs w:val="24"/>
              </w:rPr>
              <w:t>，工业互联网业务会投入更多的资源在智能输送全栈式服务上，打造一个以技术与服务输出为主的技术型产业，而非单一的生产制造型产业，公司相信在该领域我们拥有非常大的机会与价值。</w:t>
            </w:r>
          </w:p>
          <w:p>
            <w:pPr>
              <w:pStyle w:val="10"/>
              <w:spacing w:before="156" w:beforeLines="50" w:after="156" w:afterLines="50" w:line="360" w:lineRule="auto"/>
              <w:rPr>
                <w:rFonts w:ascii="Calibri" w:hAnsi="Calibri" w:eastAsia="宋体" w:cs="Times New Roman"/>
                <w:bCs w:val="0"/>
                <w:iCs/>
                <w:sz w:val="24"/>
                <w:szCs w:val="24"/>
                <w:lang w:eastAsia="zh-Hans"/>
              </w:rPr>
            </w:pPr>
            <w:r>
              <w:rPr>
                <w:rFonts w:ascii="Calibri" w:hAnsi="Calibri" w:eastAsia="宋体" w:cs="Times New Roman"/>
                <w:bCs w:val="0"/>
                <w:iCs/>
                <w:sz w:val="24"/>
                <w:szCs w:val="24"/>
              </w:rPr>
              <w:t>6</w:t>
            </w:r>
            <w:r>
              <w:rPr>
                <w:rFonts w:hint="eastAsia" w:ascii="Calibri" w:hAnsi="Calibri" w:eastAsia="宋体" w:cs="Times New Roman"/>
                <w:bCs w:val="0"/>
                <w:iCs/>
                <w:sz w:val="24"/>
                <w:szCs w:val="24"/>
              </w:rPr>
              <w:t>、</w:t>
            </w:r>
            <w:r>
              <w:rPr>
                <w:rFonts w:hint="eastAsia" w:ascii="Calibri" w:hAnsi="Calibri" w:eastAsia="宋体" w:cs="Times New Roman"/>
                <w:bCs w:val="0"/>
                <w:iCs/>
                <w:sz w:val="24"/>
                <w:szCs w:val="24"/>
                <w:lang w:eastAsia="zh-Hans"/>
              </w:rPr>
              <w:t>投资收益持续性如何？</w:t>
            </w:r>
          </w:p>
          <w:p>
            <w:pPr>
              <w:spacing w:before="156" w:beforeLines="50" w:after="156" w:afterLines="50" w:line="360" w:lineRule="auto"/>
              <w:rPr>
                <w:bCs/>
                <w:iCs/>
                <w:sz w:val="24"/>
              </w:rPr>
            </w:pPr>
            <w:r>
              <w:rPr>
                <w:rFonts w:hint="eastAsia"/>
                <w:bCs/>
                <w:iCs/>
                <w:sz w:val="24"/>
              </w:rPr>
              <w:t>答：投资收益的连续性肯定是没问题的。投资收益主要产生于</w:t>
            </w:r>
            <w:r>
              <w:rPr>
                <w:rFonts w:hint="eastAsia"/>
                <w:bCs/>
                <w:iCs/>
                <w:sz w:val="24"/>
                <w:lang w:eastAsia="zh-Hans"/>
              </w:rPr>
              <w:t>公司</w:t>
            </w:r>
            <w:r>
              <w:rPr>
                <w:rFonts w:hint="eastAsia"/>
                <w:bCs/>
                <w:iCs/>
                <w:sz w:val="24"/>
              </w:rPr>
              <w:t>投资的产业基金，该基金从2015年开始陆续进行对外，现在已经进入基金的收获期。从目前已投项目的退出情况以及已经获得基金收益来看，具备可持续性。另外，公司自有投资平台投资了一些与业务相关联的项目，比如AR/VR、无人驾驶等领域，这块的投资更多的是基于现在的两块业务延伸与拓展</w:t>
            </w:r>
            <w:r>
              <w:rPr>
                <w:rFonts w:hint="eastAsia"/>
                <w:bCs/>
                <w:iCs/>
                <w:sz w:val="24"/>
                <w:lang w:eastAsia="zh-Hans"/>
              </w:rPr>
              <w:t>，</w:t>
            </w:r>
            <w:r>
              <w:rPr>
                <w:rFonts w:hint="eastAsia"/>
                <w:bCs/>
                <w:iCs/>
                <w:sz w:val="24"/>
              </w:rPr>
              <w:t>都是比较高端的一些技术类的布局。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3060"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bCs/>
                <w:iCs/>
                <w:sz w:val="24"/>
              </w:rPr>
            </w:pPr>
            <w:r>
              <w:rPr>
                <w:bCs/>
                <w:iCs/>
                <w:sz w:val="24"/>
              </w:rPr>
              <w:t>附件清单（如有）</w:t>
            </w:r>
          </w:p>
        </w:tc>
        <w:tc>
          <w:tcPr>
            <w:tcW w:w="7740" w:type="dxa"/>
            <w:tcBorders>
              <w:top w:val="single" w:color="auto" w:sz="4" w:space="0"/>
              <w:left w:val="single" w:color="auto" w:sz="4" w:space="0"/>
              <w:bottom w:val="single" w:color="auto" w:sz="4" w:space="0"/>
              <w:right w:val="single" w:color="auto" w:sz="4" w:space="0"/>
            </w:tcBorders>
            <w:vAlign w:val="center"/>
          </w:tcPr>
          <w:p>
            <w:pPr>
              <w:spacing w:line="480" w:lineRule="atLeast"/>
              <w:rPr>
                <w:bCs/>
                <w:iCs/>
                <w:sz w:val="24"/>
              </w:rPr>
            </w:pPr>
            <w:r>
              <w:rPr>
                <w:bCs/>
                <w:iCs/>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3060"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bCs/>
                <w:iCs/>
                <w:sz w:val="24"/>
              </w:rPr>
            </w:pPr>
            <w:r>
              <w:rPr>
                <w:bCs/>
                <w:iCs/>
                <w:sz w:val="24"/>
              </w:rPr>
              <w:t>日期</w:t>
            </w:r>
          </w:p>
        </w:tc>
        <w:tc>
          <w:tcPr>
            <w:tcW w:w="7740" w:type="dxa"/>
            <w:tcBorders>
              <w:top w:val="single" w:color="auto" w:sz="4" w:space="0"/>
              <w:left w:val="single" w:color="auto" w:sz="4" w:space="0"/>
              <w:bottom w:val="single" w:color="auto" w:sz="4" w:space="0"/>
              <w:right w:val="single" w:color="auto" w:sz="4" w:space="0"/>
            </w:tcBorders>
            <w:vAlign w:val="center"/>
          </w:tcPr>
          <w:p>
            <w:pPr>
              <w:spacing w:line="480" w:lineRule="atLeast"/>
              <w:rPr>
                <w:bCs/>
                <w:iCs/>
                <w:sz w:val="24"/>
              </w:rPr>
            </w:pPr>
            <w:r>
              <w:rPr>
                <w:bCs/>
                <w:iCs/>
                <w:sz w:val="24"/>
              </w:rPr>
              <w:t>20</w:t>
            </w:r>
            <w:r>
              <w:rPr>
                <w:rFonts w:hint="eastAsia"/>
                <w:bCs/>
                <w:iCs/>
                <w:sz w:val="24"/>
              </w:rPr>
              <w:t>21</w:t>
            </w:r>
            <w:r>
              <w:rPr>
                <w:bCs/>
                <w:iCs/>
                <w:sz w:val="24"/>
              </w:rPr>
              <w:t>年</w:t>
            </w:r>
            <w:r>
              <w:rPr>
                <w:rFonts w:hint="eastAsia"/>
                <w:bCs/>
                <w:iCs/>
                <w:sz w:val="24"/>
              </w:rPr>
              <w:t>1</w:t>
            </w:r>
            <w:r>
              <w:rPr>
                <w:bCs/>
                <w:iCs/>
                <w:sz w:val="24"/>
              </w:rPr>
              <w:t>月</w:t>
            </w:r>
            <w:r>
              <w:rPr>
                <w:rFonts w:hint="eastAsia"/>
                <w:bCs/>
                <w:iCs/>
                <w:sz w:val="24"/>
              </w:rPr>
              <w:t>7</w:t>
            </w:r>
            <w:r>
              <w:rPr>
                <w:bCs/>
                <w:iCs/>
                <w:sz w:val="24"/>
              </w:rPr>
              <w:t>日</w:t>
            </w:r>
          </w:p>
        </w:tc>
      </w:tr>
    </w:tbl>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545C7C"/>
    <w:multiLevelType w:val="singleLevel"/>
    <w:tmpl w:val="BD545C7C"/>
    <w:lvl w:ilvl="0" w:tentative="0">
      <w:start w:val="1"/>
      <w:numFmt w:val="chineseCounting"/>
      <w:suff w:val="nothing"/>
      <w:lvlText w:val="%1、"/>
      <w:lvlJc w:val="left"/>
      <w:rPr>
        <w:rFonts w:hint="eastAsia"/>
      </w:rPr>
    </w:lvl>
  </w:abstractNum>
  <w:abstractNum w:abstractNumId="1">
    <w:nsid w:val="0667826C"/>
    <w:multiLevelType w:val="singleLevel"/>
    <w:tmpl w:val="0667826C"/>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BE1EC0"/>
    <w:rsid w:val="00000211"/>
    <w:rsid w:val="001358B3"/>
    <w:rsid w:val="001C1860"/>
    <w:rsid w:val="002243D6"/>
    <w:rsid w:val="002E5622"/>
    <w:rsid w:val="00873935"/>
    <w:rsid w:val="008D7DB6"/>
    <w:rsid w:val="009F224A"/>
    <w:rsid w:val="00A11D02"/>
    <w:rsid w:val="00A9238D"/>
    <w:rsid w:val="00D8001B"/>
    <w:rsid w:val="00F83FEB"/>
    <w:rsid w:val="05BE1EC0"/>
    <w:rsid w:val="1D597163"/>
    <w:rsid w:val="2689203E"/>
    <w:rsid w:val="2A4B6987"/>
    <w:rsid w:val="3FC730B7"/>
    <w:rsid w:val="40AC6BB8"/>
    <w:rsid w:val="4A837575"/>
    <w:rsid w:val="5F37294F"/>
    <w:rsid w:val="5F49328B"/>
    <w:rsid w:val="608072C8"/>
    <w:rsid w:val="77356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paragraph" w:styleId="5">
    <w:name w:val="Title"/>
    <w:basedOn w:val="1"/>
    <w:next w:val="1"/>
    <w:qFormat/>
    <w:uiPriority w:val="10"/>
    <w:pPr>
      <w:spacing w:before="240" w:after="60" w:line="360" w:lineRule="exact"/>
      <w:ind w:firstLine="200" w:firstLineChars="200"/>
      <w:jc w:val="center"/>
      <w:outlineLvl w:val="0"/>
    </w:pPr>
    <w:rPr>
      <w:rFonts w:asciiTheme="majorHAnsi" w:hAnsiTheme="majorHAnsi" w:eastAsiaTheme="majorEastAsia" w:cstheme="majorBidi"/>
      <w:b/>
      <w:bCs/>
      <w:sz w:val="32"/>
      <w:szCs w:val="32"/>
    </w:rPr>
  </w:style>
  <w:style w:type="character" w:customStyle="1" w:styleId="8">
    <w:name w:val="页眉 Char"/>
    <w:basedOn w:val="7"/>
    <w:link w:val="3"/>
    <w:qFormat/>
    <w:uiPriority w:val="0"/>
    <w:rPr>
      <w:rFonts w:ascii="Calibri" w:hAnsi="Calibri"/>
      <w:kern w:val="2"/>
      <w:sz w:val="18"/>
      <w:szCs w:val="18"/>
    </w:rPr>
  </w:style>
  <w:style w:type="character" w:customStyle="1" w:styleId="9">
    <w:name w:val="页脚 Char"/>
    <w:basedOn w:val="7"/>
    <w:link w:val="2"/>
    <w:qFormat/>
    <w:uiPriority w:val="0"/>
    <w:rPr>
      <w:rFonts w:ascii="Calibri" w:hAnsi="Calibri"/>
      <w:kern w:val="2"/>
      <w:sz w:val="18"/>
      <w:szCs w:val="18"/>
    </w:rPr>
  </w:style>
  <w:style w:type="paragraph" w:customStyle="1" w:styleId="10">
    <w:name w:val="CMS纪要提问标题"/>
    <w:basedOn w:val="5"/>
    <w:qFormat/>
    <w:uiPriority w:val="0"/>
    <w:pPr>
      <w:spacing w:before="0" w:after="0" w:line="400" w:lineRule="exact"/>
      <w:ind w:firstLine="0" w:firstLineChars="0"/>
      <w:jc w:val="left"/>
      <w:outlineLvl w:val="2"/>
    </w:pPr>
    <w:rPr>
      <w:rFonts w:ascii="Times New Roman" w:hAnsi="Times New Roman" w:eastAsia="楷体"/>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466</Words>
  <Characters>2657</Characters>
  <Lines>22</Lines>
  <Paragraphs>6</Paragraphs>
  <TotalTime>7</TotalTime>
  <ScaleCrop>false</ScaleCrop>
  <LinksUpToDate>false</LinksUpToDate>
  <CharactersWithSpaces>3117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2021-01-07T02:48:00Z</dcterms:created>
  <dc:creator>lenient</dc:creator>
  <cp:lastModifiedBy>张家琪01</cp:lastModifiedBy>
  <dcterms:modified xsi:type="dcterms:W3CDTF">2021-01-07T04:02:50Z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