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附件二、投资者关系活动记录表</w:t>
      </w:r>
    </w:p>
    <w:p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证券代码：000016，200016      证券简称：深康佳A、深康佳B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康佳集团股份有限公司投资者关系活动记录表</w:t>
      </w:r>
    </w:p>
    <w:p>
      <w:pPr>
        <w:spacing w:line="400" w:lineRule="exac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编号：20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21</w:t>
      </w:r>
      <w:r>
        <w:rPr>
          <w:rFonts w:hint="eastAsia"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一对一沟通</w:t>
            </w:r>
          </w:p>
          <w:p>
            <w:pPr>
              <w:tabs>
                <w:tab w:val="center" w:pos="3199"/>
              </w:tabs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eastAsia="zh-CN"/>
              </w:rPr>
              <w:t>电话调研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eastAsia="zh-CN"/>
              </w:rPr>
              <w:t>台湾东腾创新投资股份有限公司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 xml:space="preserve">  王安亚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康佳研发大厦办公楼会议室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661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秦帅  投资者关系管理总监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一、问：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公司的发展方向及业务板块是什么？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：康佳集团成立于1980年5月21日，前身是“广东光明华侨电子工业公司”，是中国改革开放后诞生的第一家中外合资电子企业。康佳集团是一家以科技创新为驱动的平台型公司，业务范畴涵盖消费电子（彩电、白电、手机）、半导体科技、PCB、新材料、环保科技产业、产业园区业务、平台服务业务及投资金融业务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2018年，康佳集团正式形成了“一个核心定位、二条发展主线、三项发展策略、四大业务群组”的发展战略。康佳集团以成为一家“科技创新驱动的平台性公司”为核心定位，坚持“科技+产业+园区”的发展方向和“硬件+软件”、“终端+用户”、“科技+投控”的发展模式 ，着力实施改革（围绕业务形态，实施混合所有制改革）、转型（围绕新兴产业，打造新产业赛道）、升级（围绕智慧家庭，升级现有业务模式）三项发展策略，同时，康佳集团以消费电子业务（彩电、白电、手机）为基础，向战略性新兴产业升级、向产业地产业务拓展、向互联网及工贸科技服务业务延伸，形成了“科技园区业务群、产业产品业务群、平台服务业务群以及投资金融业务群” 四大业务群协同发展的局面。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二、问：公司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icro LED业务情况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？ 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答：近年，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集团始终专注技术攻关与产品迭代，持续提升显示领域核心竞争力。2019年9月，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康佳集团在重庆市璧山区成立了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重庆康佳光电技术研究院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有限公司，进行</w:t>
            </w:r>
            <w:r>
              <w:rPr>
                <w:rFonts w:hint="eastAsia" w:cs="宋体"/>
                <w:sz w:val="24"/>
                <w:szCs w:val="20"/>
                <w:lang w:val="en-US" w:eastAsia="zh-CN"/>
              </w:rPr>
              <w:t>Micro LED相关的产品研发</w:t>
            </w:r>
            <w:r>
              <w:rPr>
                <w:rFonts w:hint="eastAsia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生产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和销售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。凭借持续增长的研发投入和不断壮大的专业队伍，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康佳集团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在2020年底发布了Micro LED手表及“APHAEA Micro LED未来屏产品矩阵”等产品。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公司科技产业园区发展情况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？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答：根据“科技+产业+园区”战略，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康佳集团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紧跟国家产业结构调整和转型升级部署，凭借自身独有的市场资源、产业资源、运营资源，积极发展科技园区业务。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截至目前，重庆康佳半导体光电产业园、</w:t>
            </w:r>
            <w:r>
              <w:rPr>
                <w:rFonts w:hAnsi="宋体"/>
                <w:color w:val="000000"/>
                <w:sz w:val="24"/>
              </w:rPr>
              <w:t>康佳滁州智能家电及装备产业园</w:t>
            </w:r>
            <w:r>
              <w:rPr>
                <w:rFonts w:hint="eastAsia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Ansi="宋体"/>
                <w:color w:val="000000"/>
                <w:sz w:val="24"/>
              </w:rPr>
              <w:t>宜宾智能终端高科技产业园</w:t>
            </w:r>
            <w:r>
              <w:rPr>
                <w:rFonts w:hint="eastAsia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Ansi="宋体"/>
                <w:color w:val="000000"/>
                <w:sz w:val="24"/>
              </w:rPr>
              <w:t>东莞康佳智能产业园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等多个项目正在准备或已开始进行施工建设。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问：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公司白电业务发展情况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？ 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康佳集团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白电业务主要经营冰箱、洗衣机、空调、冷柜等产品，业务模式为B2B和B2C，主要面对国内市场。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2019年6月，康佳集团完成对新飞股权的收购。康佳集团收购新飞的股权主要是因为新飞拥有良好的品牌、口碑和一批忠实的用户，并且在冰箱等制冷产品方面具有较强的研发实力和大量专利技术。因此，康佳集团收购新飞有利于快速扩大在白电领域的产业规模，在品牌上实现“康佳+新飞”双品牌协同发展的格局，快速做大做强公司的白电业务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661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宋体" w:hAnsi="宋体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3321"/>
    <w:rsid w:val="00BD5216"/>
    <w:rsid w:val="013B7413"/>
    <w:rsid w:val="01555AF2"/>
    <w:rsid w:val="01597740"/>
    <w:rsid w:val="050A2CE1"/>
    <w:rsid w:val="0622380E"/>
    <w:rsid w:val="06943BFB"/>
    <w:rsid w:val="0A044654"/>
    <w:rsid w:val="0D9A25CD"/>
    <w:rsid w:val="0E6C3321"/>
    <w:rsid w:val="0ECE1FF8"/>
    <w:rsid w:val="0F184C7E"/>
    <w:rsid w:val="0FBF0032"/>
    <w:rsid w:val="11184900"/>
    <w:rsid w:val="19FA41EB"/>
    <w:rsid w:val="2A4440CF"/>
    <w:rsid w:val="2E890CF5"/>
    <w:rsid w:val="315522A9"/>
    <w:rsid w:val="31C92988"/>
    <w:rsid w:val="328518B5"/>
    <w:rsid w:val="35581ACE"/>
    <w:rsid w:val="38E84E42"/>
    <w:rsid w:val="3EFF7878"/>
    <w:rsid w:val="3F9E078D"/>
    <w:rsid w:val="455F6961"/>
    <w:rsid w:val="484B1E1D"/>
    <w:rsid w:val="4CFB34E9"/>
    <w:rsid w:val="4E633838"/>
    <w:rsid w:val="54B52282"/>
    <w:rsid w:val="5C2401E1"/>
    <w:rsid w:val="70900AC4"/>
    <w:rsid w:val="736C0BE1"/>
    <w:rsid w:val="76455C13"/>
    <w:rsid w:val="774C783F"/>
    <w:rsid w:val="7F143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7">
    <w:name w:val="credit"/>
    <w:basedOn w:val="4"/>
    <w:qFormat/>
    <w:uiPriority w:val="0"/>
    <w:rPr>
      <w:sz w:val="18"/>
      <w:szCs w:val="18"/>
    </w:rPr>
  </w:style>
  <w:style w:type="character" w:customStyle="1" w:styleId="8">
    <w:name w:val="after"/>
    <w:basedOn w:val="4"/>
    <w:qFormat/>
    <w:uiPriority w:val="0"/>
    <w:rPr>
      <w:bdr w:val="dashed" w:color="auto" w:sz="48" w:space="0"/>
    </w:rPr>
  </w:style>
  <w:style w:type="character" w:customStyle="1" w:styleId="9">
    <w:name w:val="before"/>
    <w:basedOn w:val="4"/>
    <w:qFormat/>
    <w:uiPriority w:val="0"/>
    <w:rPr>
      <w:bdr w:val="single" w:color="auto" w:sz="48" w:space="0"/>
    </w:rPr>
  </w:style>
  <w:style w:type="character" w:customStyle="1" w:styleId="10">
    <w:name w:val="before1"/>
    <w:basedOn w:val="4"/>
    <w:qFormat/>
    <w:uiPriority w:val="0"/>
  </w:style>
  <w:style w:type="character" w:customStyle="1" w:styleId="11">
    <w:name w:val="hover49"/>
    <w:basedOn w:val="4"/>
    <w:qFormat/>
    <w:uiPriority w:val="0"/>
    <w:rPr>
      <w:shd w:val="clear" w:fill="C90B0B"/>
    </w:rPr>
  </w:style>
  <w:style w:type="character" w:customStyle="1" w:styleId="12">
    <w:name w:val="hover50"/>
    <w:basedOn w:val="4"/>
    <w:qFormat/>
    <w:uiPriority w:val="0"/>
    <w:rPr>
      <w:color w:val="E60012"/>
      <w:u w:val="none"/>
    </w:rPr>
  </w:style>
  <w:style w:type="character" w:customStyle="1" w:styleId="13">
    <w:name w:val="hover51"/>
    <w:basedOn w:val="4"/>
    <w:qFormat/>
    <w:uiPriority w:val="0"/>
    <w:rPr>
      <w:color w:val="E60012"/>
    </w:rPr>
  </w:style>
  <w:style w:type="character" w:customStyle="1" w:styleId="14">
    <w:name w:val="hover52"/>
    <w:basedOn w:val="4"/>
    <w:qFormat/>
    <w:uiPriority w:val="0"/>
    <w:rPr>
      <w:color w:val="1A85D7"/>
    </w:rPr>
  </w:style>
  <w:style w:type="character" w:customStyle="1" w:styleId="15">
    <w:name w:val="hover53"/>
    <w:basedOn w:val="4"/>
    <w:qFormat/>
    <w:uiPriority w:val="0"/>
  </w:style>
  <w:style w:type="character" w:customStyle="1" w:styleId="16">
    <w:name w:val="first-child1"/>
    <w:basedOn w:val="4"/>
    <w:qFormat/>
    <w:uiPriority w:val="0"/>
  </w:style>
  <w:style w:type="character" w:customStyle="1" w:styleId="17">
    <w:name w:val="hover54"/>
    <w:basedOn w:val="4"/>
    <w:qFormat/>
    <w:uiPriority w:val="0"/>
  </w:style>
  <w:style w:type="character" w:customStyle="1" w:styleId="18">
    <w:name w:val="before3"/>
    <w:basedOn w:val="4"/>
    <w:qFormat/>
    <w:uiPriority w:val="0"/>
    <w:rPr>
      <w:bdr w:val="single" w:color="auto" w:sz="48" w:space="0"/>
    </w:rPr>
  </w:style>
  <w:style w:type="character" w:customStyle="1" w:styleId="19">
    <w:name w:val="before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2019-09-09T08:32:00Z</dcterms:created>
  <dc:creator>孟 炼</dc:creator>
  <cp:lastModifiedBy>PC-USER</cp:lastModifiedBy>
  <dcterms:modified xsi:type="dcterms:W3CDTF">2021-01-12T08:20:08Z</dcterms:modified>
  <dc:title>附件二、投资者关系活动记录表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