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firstLine="480" w:firstLineChars="200"/>
        <w:rPr>
          <w:rFonts w:asci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</w:rPr>
        <w:t>证券代码：300773</w:t>
      </w:r>
      <w:r>
        <w:rPr>
          <w:rFonts w:ascii="宋体" w:hAnsi="宋体"/>
          <w:bCs/>
          <w:iCs/>
          <w:sz w:val="24"/>
        </w:rPr>
        <w:t xml:space="preserve">                                  </w:t>
      </w:r>
      <w:r>
        <w:rPr>
          <w:rFonts w:hint="eastAsia" w:ascii="宋体" w:hAnsi="宋体"/>
          <w:bCs/>
          <w:iCs/>
          <w:sz w:val="24"/>
        </w:rPr>
        <w:t>证券简称：拉卡拉</w:t>
      </w:r>
    </w:p>
    <w:p>
      <w:pPr>
        <w:spacing w:before="312" w:beforeLines="100" w:after="312" w:afterLines="100" w:line="400" w:lineRule="exact"/>
        <w:ind w:firstLine="482" w:firstLineChars="200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hint="eastAsia" w:ascii="宋体" w:hAnsi="宋体"/>
          <w:b/>
          <w:bCs/>
          <w:iCs/>
          <w:sz w:val="24"/>
          <w:szCs w:val="24"/>
        </w:rPr>
        <w:t>拉卡拉支付股份有限公司投资者关系活动记录表</w:t>
      </w:r>
    </w:p>
    <w:p>
      <w:pPr>
        <w:spacing w:line="400" w:lineRule="exact"/>
        <w:ind w:firstLine="480" w:firstLineChars="200"/>
        <w:jc w:val="right"/>
        <w:rPr>
          <w:rFonts w:ascii="宋体"/>
          <w:bCs/>
          <w:iCs/>
          <w:sz w:val="24"/>
          <w:szCs w:val="24"/>
        </w:rPr>
      </w:pPr>
      <w:r>
        <w:rPr>
          <w:rFonts w:hint="eastAsia" w:ascii="宋体" w:hAnsi="宋体"/>
          <w:bCs/>
          <w:iCs/>
          <w:sz w:val="24"/>
          <w:szCs w:val="24"/>
        </w:rPr>
        <w:t>编号：202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>10107</w:t>
      </w:r>
      <w:r>
        <w:rPr>
          <w:rFonts w:hint="eastAsia" w:ascii="宋体" w:hAnsi="宋体"/>
          <w:bCs/>
          <w:iCs/>
          <w:sz w:val="24"/>
          <w:szCs w:val="24"/>
        </w:rPr>
        <w:t>001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jc w:val="center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6713" w:type="dxa"/>
          </w:tcPr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特定对象调研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ascii="Segoe UI Symbol" w:hAnsi="Segoe UI Symbol" w:cs="Segoe UI Symbol"/>
                <w:bCs/>
                <w:iCs/>
                <w:sz w:val="24"/>
                <w:szCs w:val="24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媒体采访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新闻发布会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现场参观</w:t>
            </w:r>
            <w:r>
              <w:rPr>
                <w:rFonts w:ascii="宋体"/>
                <w:bCs/>
                <w:iCs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其他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  <w:u w:val="single"/>
              </w:rPr>
              <w:t>请问文字说明其他活动内容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809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参与单位名称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及人员姓名</w:t>
            </w:r>
          </w:p>
        </w:tc>
        <w:tc>
          <w:tcPr>
            <w:tcW w:w="6713" w:type="dxa"/>
          </w:tcPr>
          <w:p>
            <w:pPr>
              <w:spacing w:line="480" w:lineRule="atLeast"/>
              <w:jc w:val="left"/>
              <w:rPr>
                <w:rFonts w:ascii="宋体" w:hAnsi="宋体" w:cs="宋体"/>
                <w:bCs/>
                <w:iCs/>
                <w:sz w:val="24"/>
                <w:szCs w:val="24"/>
              </w:rPr>
            </w:pPr>
          </w:p>
          <w:tbl>
            <w:tblPr>
              <w:tblStyle w:val="8"/>
              <w:tblpPr w:leftFromText="180" w:rightFromText="180" w:vertAnchor="text" w:horzAnchor="page" w:tblpX="1807" w:tblpY="-285"/>
              <w:tblOverlap w:val="never"/>
              <w:tblW w:w="957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05"/>
              <w:gridCol w:w="1492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机构名称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参与人员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高盛高华</w:t>
                  </w: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杨硕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Balyasny Asset Management</w:t>
                  </w: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Lu, Frank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Artisan Partners Asset Management Inc</w:t>
                  </w: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Vandamme, Brice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China Inv Corp - Government Agency - National/Sovereign</w:t>
                  </w: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HU, Hanwen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Manulife Inv Mgmt (Hong Kong) Ltd</w:t>
                  </w: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Li, Wenlin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Marshall Wace Asia Ltd</w:t>
                  </w: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Gao, Yitong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Millennium Partners LP</w:t>
                  </w: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Kim, Paul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New Silk Road Inv</w:t>
                  </w: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Lien, Ber</w:t>
                  </w:r>
                  <w:r>
                    <w:rPr>
                      <w:rStyle w:val="37"/>
                      <w:rFonts w:eastAsia="宋体"/>
                      <w:lang w:val="en-US" w:eastAsia="zh-CN" w:bidi="ar"/>
                    </w:rPr>
                    <w:t xml:space="preserve"> Luen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Nikko Asset Mgmt Asia Ltd</w:t>
                  </w: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Monson, Peter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Oasis Mgmt (Hong Kong) LLC</w:t>
                  </w: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Guan, Richard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Robeco</w:t>
                  </w: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Satterly, Bryan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Schroders Plc</w:t>
                  </w: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Lin, Sherry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Sylebra HK Co Ltd</w:t>
                  </w: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Fang, Yuan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Ward Ferry Mgmt Ltd</w:t>
                  </w: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Kaul, Anubhav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Ward Ferry Mgmt Ltd</w:t>
                  </w: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Sheridan, Robert</w:t>
                  </w:r>
                </w:p>
              </w:tc>
            </w:tr>
          </w:tbl>
          <w:p>
            <w:pPr>
              <w:spacing w:line="480" w:lineRule="atLeast"/>
              <w:jc w:val="left"/>
              <w:rPr>
                <w:rFonts w:ascii="宋体" w:hAnsi="宋体" w:cs="宋体"/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9" w:type="dxa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713" w:type="dxa"/>
          </w:tcPr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202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年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月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713" w:type="dxa"/>
          </w:tcPr>
          <w:p>
            <w:pPr>
              <w:spacing w:line="480" w:lineRule="atLeast"/>
              <w:rPr>
                <w:rFonts w:hint="default" w:asci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09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上市公司接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待人员姓名</w:t>
            </w:r>
          </w:p>
        </w:tc>
        <w:tc>
          <w:tcPr>
            <w:tcW w:w="6713" w:type="dxa"/>
          </w:tcPr>
          <w:p>
            <w:pPr>
              <w:spacing w:line="480" w:lineRule="atLeast"/>
              <w:jc w:val="lef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/>
                <w:bCs/>
                <w:iCs/>
                <w:sz w:val="24"/>
                <w:szCs w:val="24"/>
              </w:rPr>
              <w:t>公司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副总经理兼董秘  朱国海</w:t>
            </w:r>
          </w:p>
          <w:p>
            <w:pPr>
              <w:spacing w:line="480" w:lineRule="atLeast"/>
              <w:jc w:val="left"/>
              <w:rPr>
                <w:rFonts w:hint="eastAsia" w:asci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ascii="宋体"/>
                <w:bCs/>
                <w:iCs/>
                <w:sz w:val="24"/>
                <w:szCs w:val="24"/>
              </w:rPr>
              <w:t>证券事务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代表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田鹏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809" w:type="dxa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活动主要内</w:t>
            </w:r>
          </w:p>
          <w:p>
            <w:pPr>
              <w:spacing w:line="480" w:lineRule="atLeast"/>
              <w:ind w:firstLine="482" w:firstLineChars="200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容介绍</w:t>
            </w:r>
          </w:p>
        </w:tc>
        <w:tc>
          <w:tcPr>
            <w:tcW w:w="6713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一、公司经营情况</w:t>
            </w:r>
            <w:r>
              <w:rPr>
                <w:rFonts w:hint="eastAsia"/>
                <w:lang w:val="en-US" w:eastAsia="zh-CN"/>
              </w:rPr>
              <w:t>介绍</w:t>
            </w:r>
          </w:p>
          <w:p>
            <w:pPr>
              <w:ind w:firstLine="420" w:firstLineChars="200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公司创立于2005年，2011年成为获得央行颁发的支付全牌照首批企业，2019年4月公司登陆深交所创业板，并正式进入战略4.0阶段，以支付为切入，协同“支付、金融、电商、信息”四大科技业务板块，全维度为中小微商户提供线上与线下服务。2020年，公司在疫情之下，加大市场推广与产品创新力度，交易规模、营业收入、利润同比均呈现较快增长。具体来看：</w:t>
            </w:r>
          </w:p>
          <w:p>
            <w:pPr>
              <w:ind w:firstLine="420" w:firstLineChars="200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1、支付科技业务：</w:t>
            </w:r>
            <w:r>
              <w:rPr>
                <w:rFonts w:hint="eastAsia"/>
                <w:szCs w:val="22"/>
                <w:lang w:val="zh-CN" w:eastAsia="zh-CN"/>
              </w:rPr>
              <w:t>公司</w:t>
            </w:r>
            <w:r>
              <w:rPr>
                <w:rFonts w:hint="eastAsia"/>
                <w:szCs w:val="22"/>
                <w:lang w:val="en-US" w:eastAsia="zh-CN"/>
              </w:rPr>
              <w:t>主要</w:t>
            </w:r>
            <w:r>
              <w:rPr>
                <w:rFonts w:hint="eastAsia"/>
                <w:szCs w:val="22"/>
                <w:lang w:val="zh-CN" w:eastAsia="zh-CN"/>
              </w:rPr>
              <w:t>为商户提供覆盖各类支付方式与各种受理终端形态的综合支付服务。</w:t>
            </w:r>
            <w:r>
              <w:rPr>
                <w:rFonts w:hint="eastAsia"/>
                <w:szCs w:val="22"/>
                <w:lang w:val="en-US" w:eastAsia="zh-CN"/>
              </w:rPr>
              <w:t>公司抓住国内缓解、复商复市的窗口，通过产品创新和加大市场拓展力度，支付业务整体交易规模同比去年实现了较大增长，达到了历史新高。同时，在数字货币（DCEP）方面：跟央行数字货币研究所签署了战略合作协议，在央行指导下，积极推进数字货币的试点工作，在我们的试点商户和终端上均支持数字货币；手机POS产品自7月份与华为正式推广以来，入网商户数达到8.8万，平均每天签约商户在600家左右，手机POS的交易量逐月上升。</w:t>
            </w:r>
          </w:p>
          <w:p>
            <w:pPr>
              <w:ind w:firstLine="420" w:firstLineChars="200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2、电商科技业务：</w:t>
            </w:r>
          </w:p>
          <w:p>
            <w:pPr>
              <w:ind w:firstLine="420" w:firstLineChars="200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（1）公司针对商户</w:t>
            </w:r>
            <w:r>
              <w:rPr>
                <w:rFonts w:hint="eastAsia"/>
                <w:szCs w:val="22"/>
                <w:lang w:val="zh-CN" w:eastAsia="zh-CN"/>
              </w:rPr>
              <w:t>全供应链管理</w:t>
            </w:r>
            <w:r>
              <w:rPr>
                <w:rFonts w:hint="eastAsia"/>
                <w:szCs w:val="22"/>
                <w:lang w:val="en-US" w:eastAsia="zh-CN"/>
              </w:rPr>
              <w:t>的</w:t>
            </w:r>
            <w:r>
              <w:rPr>
                <w:rFonts w:hint="eastAsia"/>
                <w:szCs w:val="22"/>
                <w:lang w:val="zh-CN" w:eastAsia="zh-CN"/>
              </w:rPr>
              <w:t>需求，</w:t>
            </w:r>
            <w:r>
              <w:rPr>
                <w:rFonts w:hint="eastAsia"/>
                <w:szCs w:val="22"/>
                <w:lang w:val="en-US" w:eastAsia="zh-CN"/>
              </w:rPr>
              <w:t>提供“云小店”SAAS产品，聚焦为商户经营赋能，提供收银、进销存管理、会员管理等线上线下一体化服务，截止，目前云小店注册店铺2万家，投放收银机3400家，单月进件量平均在1600家，商家订单笔数、订单金额、支付交易规模逐月增长。</w:t>
            </w:r>
          </w:p>
          <w:p>
            <w:pPr>
              <w:ind w:firstLine="420" w:firstLineChars="200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(2)公司打造的积分通兑平台——积分购，</w:t>
            </w:r>
            <w:r>
              <w:rPr>
                <w:rFonts w:hint="eastAsia"/>
                <w:szCs w:val="22"/>
                <w:lang w:val="zh-CN" w:eastAsia="zh-CN"/>
              </w:rPr>
              <w:t>上游接入通信运营商、银行、航空等行业的头部积分源，下游打通品牌商超、连锁餐饮、在线商城、视频平台等线上、线下消费场景，提升上游积分用户的活跃度和积分价值，为下游带来客流，从中收取相应的服务费。</w:t>
            </w:r>
            <w:r>
              <w:rPr>
                <w:rFonts w:hint="eastAsia"/>
                <w:szCs w:val="22"/>
                <w:lang w:val="en-US" w:eastAsia="zh-CN"/>
              </w:rPr>
              <w:t>去年，积分运营业务因为疫情原因，业务受到一定影响，因此收入略有下滑。</w:t>
            </w:r>
          </w:p>
          <w:p>
            <w:pPr>
              <w:ind w:firstLine="420" w:firstLineChars="200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3、金融科技业务：</w:t>
            </w:r>
          </w:p>
          <w:p>
            <w:pPr>
              <w:ind w:firstLine="420" w:firstLineChars="200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金融科技业务大致分为三类：一是针对</w:t>
            </w:r>
            <w:bookmarkStart w:id="0" w:name="_GoBack"/>
            <w:bookmarkEnd w:id="0"/>
            <w:r>
              <w:rPr>
                <w:rFonts w:hint="eastAsia"/>
                <w:szCs w:val="22"/>
                <w:lang w:val="en-US" w:eastAsia="zh-CN"/>
              </w:rPr>
              <w:t>公司覆盖的商户经营过程存在的资金需求，与外部专业持牌金融机构合作，为商户推荐适合其需求的贷款、理财、申办信用卡等产品；二是通过2019年底收购的大树保险，为商户提供保险经纪服务，这块收入去年增长幅度较大；三是为</w:t>
            </w:r>
            <w:r>
              <w:rPr>
                <w:rFonts w:hint="eastAsia"/>
                <w:szCs w:val="22"/>
                <w:lang w:val="zh-CN" w:eastAsia="zh-CN"/>
              </w:rPr>
              <w:t>公司向中小银行提供云收单系统，使其具备受理银行卡收单、扫码支付以及风险监控等能力。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信息科技业务：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信息科技业务具体包含了（1）</w:t>
            </w:r>
            <w:r>
              <w:rPr>
                <w:rFonts w:hint="eastAsia"/>
                <w:szCs w:val="22"/>
                <w:lang w:val="zh-CN" w:eastAsia="zh-CN"/>
              </w:rPr>
              <w:t>会员订阅服务：用户通过付费升级为会员，会员可以享受实时到账、手续费减免、延迟赔偿</w:t>
            </w:r>
            <w:r>
              <w:rPr>
                <w:rFonts w:hint="eastAsia"/>
                <w:szCs w:val="22"/>
                <w:lang w:val="en-US" w:eastAsia="zh-CN"/>
              </w:rPr>
              <w:t>等一系列专项增值特权</w:t>
            </w:r>
            <w:r>
              <w:rPr>
                <w:rFonts w:hint="eastAsia"/>
                <w:szCs w:val="22"/>
                <w:lang w:val="zh-CN" w:eastAsia="zh-CN"/>
              </w:rPr>
              <w:t>。（</w:t>
            </w:r>
            <w:r>
              <w:rPr>
                <w:rFonts w:hint="eastAsia"/>
                <w:szCs w:val="22"/>
                <w:lang w:val="en-US" w:eastAsia="zh-CN"/>
              </w:rPr>
              <w:t>2</w:t>
            </w:r>
            <w:r>
              <w:rPr>
                <w:rFonts w:hint="eastAsia"/>
                <w:szCs w:val="22"/>
                <w:lang w:val="zh-CN" w:eastAsia="zh-CN"/>
              </w:rPr>
              <w:t>）</w:t>
            </w:r>
            <w:r>
              <w:rPr>
                <w:rFonts w:hint="eastAsia"/>
                <w:szCs w:val="22"/>
                <w:lang w:val="en-US" w:eastAsia="zh-CN"/>
              </w:rPr>
              <w:t>广告服务：基于公司千万级APP用户、公告号粉丝的流量资源，为广告主提供投放服务。（3）营销服务：</w:t>
            </w:r>
            <w:r>
              <w:rPr>
                <w:rFonts w:hint="eastAsia"/>
                <w:szCs w:val="22"/>
                <w:lang w:val="zh-CN" w:eastAsia="zh-CN"/>
              </w:rPr>
              <w:t>与中国银联、商业银行等机构合作，向其持卡人、账户用户等用户提供卡券核销、优惠促销等服务，提升持卡人活跃度，获得营销服务费用</w:t>
            </w:r>
            <w:r>
              <w:rPr>
                <w:rFonts w:hint="eastAsia"/>
                <w:szCs w:val="22"/>
                <w:lang w:val="en-US" w:eastAsia="zh-CN"/>
              </w:rPr>
              <w:t>等。</w:t>
            </w:r>
          </w:p>
          <w:p>
            <w:r>
              <w:rPr>
                <w:rFonts w:hint="eastAsia"/>
              </w:rPr>
              <w:t>二、问答环节</w:t>
            </w:r>
          </w:p>
          <w:p>
            <w:pPr>
              <w:ind w:firstLine="420" w:firstLineChars="200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Q:央行对三方支付行业的监管对公司会有什么样的影响？</w:t>
            </w:r>
          </w:p>
          <w:p>
            <w:pPr>
              <w:ind w:firstLine="420" w:firstLineChars="200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A：</w:t>
            </w:r>
            <w:r>
              <w:rPr>
                <w:rFonts w:hint="eastAsia"/>
                <w:szCs w:val="22"/>
              </w:rPr>
              <w:t>每个行业都</w:t>
            </w:r>
            <w:r>
              <w:rPr>
                <w:rFonts w:hint="eastAsia"/>
                <w:szCs w:val="22"/>
                <w:lang w:val="en-US" w:eastAsia="zh-CN"/>
              </w:rPr>
              <w:t>有</w:t>
            </w:r>
            <w:r>
              <w:rPr>
                <w:rFonts w:hint="eastAsia"/>
                <w:szCs w:val="22"/>
              </w:rPr>
              <w:t>监管</w:t>
            </w:r>
            <w:r>
              <w:rPr>
                <w:rFonts w:hint="eastAsia"/>
                <w:szCs w:val="22"/>
                <w:lang w:val="en-US" w:eastAsia="zh-CN"/>
              </w:rPr>
              <w:t>的要求</w:t>
            </w:r>
            <w:r>
              <w:rPr>
                <w:rFonts w:hint="eastAsia"/>
                <w:szCs w:val="22"/>
              </w:rPr>
              <w:t>，</w:t>
            </w:r>
            <w:r>
              <w:rPr>
                <w:rFonts w:hint="eastAsia"/>
                <w:szCs w:val="22"/>
                <w:lang w:val="en-US" w:eastAsia="zh-CN"/>
              </w:rPr>
              <w:t>监管有利于行业长期规范发展，同时也利好行业龙头企业。</w:t>
            </w:r>
          </w:p>
          <w:p>
            <w:pPr>
              <w:ind w:firstLine="420" w:firstLineChars="200"/>
              <w:rPr>
                <w:rFonts w:hint="eastAsia"/>
                <w:szCs w:val="22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Q:数字货币对公司会有什么样的影响？</w:t>
            </w:r>
          </w:p>
          <w:p>
            <w:pPr>
              <w:ind w:firstLine="420" w:firstLineChars="200"/>
              <w:rPr>
                <w:szCs w:val="22"/>
              </w:rPr>
            </w:pPr>
            <w:r>
              <w:rPr>
                <w:rFonts w:hint="eastAsia"/>
                <w:szCs w:val="22"/>
                <w:lang w:val="en-US" w:eastAsia="zh-CN"/>
              </w:rPr>
              <w:t>A：</w:t>
            </w:r>
            <w:r>
              <w:rPr>
                <w:rFonts w:hint="eastAsia"/>
                <w:szCs w:val="22"/>
              </w:rPr>
              <w:t>数字货币的推广，可以预见，对支付行业会带来比较大的变化，无论是支付方式，还是行业格局。作为法定货币，我们有理由相信，D</w:t>
            </w:r>
            <w:r>
              <w:rPr>
                <w:szCs w:val="22"/>
              </w:rPr>
              <w:t>CEP</w:t>
            </w:r>
            <w:r>
              <w:rPr>
                <w:rFonts w:hint="eastAsia"/>
                <w:szCs w:val="22"/>
              </w:rPr>
              <w:t>在充分保证货币运行体系安全性的前提下，会得以大力推广。</w:t>
            </w:r>
          </w:p>
          <w:p>
            <w:pPr>
              <w:ind w:firstLine="420" w:firstLineChars="200"/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</w:rPr>
              <w:t>公司与央行数字货币研究所</w:t>
            </w:r>
            <w:r>
              <w:rPr>
                <w:rFonts w:hint="eastAsia"/>
                <w:szCs w:val="22"/>
                <w:lang w:val="en-US" w:eastAsia="zh-CN"/>
              </w:rPr>
              <w:t>及央行指定的</w:t>
            </w:r>
            <w:r>
              <w:rPr>
                <w:rFonts w:hint="eastAsia"/>
                <w:szCs w:val="22"/>
              </w:rPr>
              <w:t>六大运营机构</w:t>
            </w:r>
            <w:r>
              <w:rPr>
                <w:rFonts w:hint="eastAsia"/>
                <w:szCs w:val="22"/>
                <w:lang w:val="en-US" w:eastAsia="zh-CN"/>
              </w:rPr>
              <w:t>均</w:t>
            </w:r>
            <w:r>
              <w:rPr>
                <w:rFonts w:hint="eastAsia"/>
                <w:szCs w:val="22"/>
              </w:rPr>
              <w:t>签署</w:t>
            </w:r>
            <w:r>
              <w:rPr>
                <w:rFonts w:hint="eastAsia"/>
                <w:szCs w:val="22"/>
                <w:lang w:val="en-US" w:eastAsia="zh-CN"/>
              </w:rPr>
              <w:t>了</w:t>
            </w:r>
            <w:r>
              <w:rPr>
                <w:rFonts w:hint="eastAsia"/>
                <w:szCs w:val="22"/>
              </w:rPr>
              <w:t>数字货币战略合作协议，</w:t>
            </w:r>
            <w:r>
              <w:rPr>
                <w:rFonts w:hint="eastAsia"/>
                <w:szCs w:val="22"/>
                <w:lang w:val="en-US" w:eastAsia="zh-CN"/>
              </w:rPr>
              <w:t>正</w:t>
            </w:r>
            <w:r>
              <w:rPr>
                <w:rFonts w:hint="eastAsia"/>
                <w:szCs w:val="22"/>
              </w:rPr>
              <w:t>积极推进系统对接和调试，制定数字货币受理解决方案，推进试点城市数字人民币场景落地</w:t>
            </w:r>
            <w:r>
              <w:rPr>
                <w:rFonts w:hint="eastAsia"/>
                <w:szCs w:val="22"/>
                <w:lang w:eastAsia="zh-CN"/>
              </w:rPr>
              <w:t>。</w:t>
            </w:r>
          </w:p>
          <w:p>
            <w:pPr>
              <w:ind w:firstLine="420" w:firstLineChars="200"/>
              <w:rPr>
                <w:rFonts w:hint="eastAsia"/>
                <w:szCs w:val="22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Cs w:val="22"/>
                <w:highlight w:val="none"/>
                <w:lang w:val="en-US" w:eastAsia="zh-CN"/>
              </w:rPr>
              <w:t>Q：在数字货币方面，公司未来需要做哪些投入？硬件终端的折旧年限是怎样的？</w:t>
            </w:r>
          </w:p>
          <w:p>
            <w:pPr>
              <w:ind w:firstLine="420" w:firstLineChars="200"/>
              <w:rPr>
                <w:rFonts w:hint="eastAsia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Cs w:val="22"/>
                <w:highlight w:val="none"/>
                <w:lang w:val="en-US" w:eastAsia="zh-CN"/>
              </w:rPr>
              <w:t>A：公司在后台业务系统、数据中台和前端受理机具均作了相应的升级，目前公司的终端产品已可以受理数字货币支付。随着未来数字人民币全面落地推广以及终端迭代更新，公司需要在终端层面进行大量的投入，公司也正在做相应的规划，以匹配自身在数币受理市场的龙头位置。</w:t>
            </w:r>
          </w:p>
          <w:p>
            <w:pPr>
              <w:ind w:firstLine="420" w:firstLineChars="200"/>
              <w:rPr>
                <w:rFonts w:hint="eastAsia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Cs w:val="22"/>
                <w:highlight w:val="none"/>
                <w:lang w:val="en-US" w:eastAsia="zh-CN"/>
              </w:rPr>
              <w:t>公司根据机具类型不同，折旧年限在2-5年不等。</w:t>
            </w:r>
          </w:p>
          <w:p>
            <w:pPr>
              <w:ind w:firstLine="420" w:firstLineChars="200"/>
              <w:rPr>
                <w:rFonts w:hint="eastAsia"/>
                <w:szCs w:val="22"/>
                <w:highlight w:val="yellow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Q:目前三方支付行业银行卡收单业务竞争格局是怎样的？</w:t>
            </w:r>
          </w:p>
          <w:p>
            <w:pPr>
              <w:ind w:firstLine="420" w:firstLineChars="200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A：银行卡收单的头部公司主要有银联商务、拉卡拉、通联等。</w:t>
            </w:r>
          </w:p>
          <w:p>
            <w:pPr>
              <w:ind w:firstLine="420" w:firstLineChars="200"/>
              <w:rPr>
                <w:rFonts w:hint="eastAsia"/>
                <w:szCs w:val="22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Q:公司的竞争优势有哪些？</w:t>
            </w:r>
          </w:p>
          <w:p>
            <w:pPr>
              <w:ind w:firstLine="420" w:firstLineChars="200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A:公司的竞争优势主要体现在核心管理和技术团队、战略布局、用户规模、行业地位、技术实力、产品创新、分支机构健全等。</w:t>
            </w:r>
          </w:p>
          <w:p>
            <w:pPr>
              <w:ind w:firstLine="420" w:firstLineChars="200"/>
              <w:rPr>
                <w:rFonts w:hint="eastAsia"/>
                <w:szCs w:val="22"/>
                <w:highlight w:val="no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Cs w:val="22"/>
                <w:highlight w:val="none"/>
                <w:lang w:val="en-US" w:eastAsia="zh-CN"/>
              </w:rPr>
              <w:t>Q：请问公司商户拓展的主要方式？</w:t>
            </w:r>
          </w:p>
          <w:p>
            <w:pPr>
              <w:ind w:firstLine="420" w:firstLineChars="200"/>
              <w:rPr>
                <w:rFonts w:hint="eastAsia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Cs w:val="22"/>
                <w:highlight w:val="none"/>
                <w:lang w:val="en-US" w:eastAsia="zh-CN"/>
              </w:rPr>
              <w:t>A：公司拓展商户的方式主要有：（1）自营模式，依托于覆盖</w:t>
            </w:r>
            <w:r>
              <w:rPr>
                <w:rFonts w:hint="eastAsia"/>
                <w:szCs w:val="22"/>
                <w:highlight w:val="none"/>
                <w:lang w:val="zh-CN" w:eastAsia="zh-CN"/>
              </w:rPr>
              <w:t>全国各省会城市以及</w:t>
            </w:r>
            <w:r>
              <w:rPr>
                <w:rFonts w:hint="eastAsia"/>
                <w:szCs w:val="22"/>
                <w:highlight w:val="none"/>
                <w:lang w:val="en-US" w:eastAsia="zh-CN"/>
              </w:rPr>
              <w:t>超过300多个</w:t>
            </w:r>
            <w:r>
              <w:rPr>
                <w:rFonts w:hint="eastAsia"/>
                <w:szCs w:val="22"/>
                <w:highlight w:val="none"/>
                <w:lang w:val="zh-CN" w:eastAsia="zh-CN"/>
              </w:rPr>
              <w:t>二级地市</w:t>
            </w:r>
            <w:r>
              <w:rPr>
                <w:rFonts w:hint="eastAsia"/>
                <w:szCs w:val="22"/>
                <w:highlight w:val="none"/>
                <w:lang w:val="en-US" w:eastAsia="zh-CN"/>
              </w:rPr>
              <w:t>的分支机构；（2）渠道合作模式：一是与专业商户服务机构，二是与硬件厂商合作的手机POS产品，手机用户的转化。</w:t>
            </w:r>
          </w:p>
          <w:p>
            <w:pPr>
              <w:ind w:firstLine="420" w:firstLineChars="200"/>
              <w:rPr>
                <w:rFonts w:hint="eastAsia"/>
                <w:szCs w:val="22"/>
                <w:highlight w:val="yellow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Q：公司商户结构如何？主要分布在哪些行业？</w:t>
            </w:r>
          </w:p>
          <w:p>
            <w:pPr>
              <w:ind w:firstLine="420" w:firstLineChars="200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A: 公司商户以二线及县乡级城市居多，一线城市大概占比10%，二线城市37%，三线城市及以下53%。年交易额50万以下的中小微商户贡献的交易量，超过80%。行业分布上，覆盖了商超、便利店、餐饮、贸易、物流、银行、保险等行业。</w:t>
            </w:r>
          </w:p>
          <w:p>
            <w:pPr>
              <w:ind w:firstLine="420" w:firstLineChars="200"/>
              <w:rPr>
                <w:rFonts w:hint="eastAsia"/>
                <w:szCs w:val="22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Q:公司是通过何种方式维护商户从而提高商户的忠诚度？</w:t>
            </w:r>
          </w:p>
          <w:p>
            <w:pPr>
              <w:ind w:firstLine="420" w:firstLineChars="200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A：通过品牌、信誉、产品、服务等。</w:t>
            </w:r>
          </w:p>
          <w:p>
            <w:pPr>
              <w:ind w:firstLine="420" w:firstLineChars="200"/>
              <w:rPr>
                <w:rFonts w:hint="default"/>
                <w:szCs w:val="22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Q:积分购业务的收费模式是怎样的？</w:t>
            </w:r>
          </w:p>
          <w:p>
            <w:pPr>
              <w:ind w:firstLine="420" w:firstLineChars="200"/>
              <w:rPr>
                <w:rFonts w:hint="default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A:上游通过积分运营商积分源输出以获得手续费，下游通过积分消费方式为商户引流并收取折扣返点，针对不同的商户类型和规模实行差别费率制。</w:t>
            </w:r>
          </w:p>
          <w:p>
            <w:pPr>
              <w:rPr>
                <w:rFonts w:hint="eastAsia"/>
                <w:szCs w:val="22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Q:对公司未来的展望。</w:t>
            </w:r>
          </w:p>
          <w:p>
            <w:pPr>
              <w:ind w:firstLine="420" w:firstLineChars="2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A:公司经过2019年战略调整使得 2020年呈现增长态势，支付行业的交易规模持续增长是确定的，收单业务未来会为公司不断产生现金流和利润。同时，公司作为行业龙头，未来将继续享受科技创新、监管政策等方面的红利，并重点推进三大方向业务：（1）积极布局数字货币（DC/EP），抢占数字人民币落地推广带来的行业机遇；（2）积极推进</w:t>
            </w:r>
            <w:r>
              <w:rPr>
                <w:rFonts w:hint="eastAsia"/>
              </w:rPr>
              <w:t>云建设，实现场景应用向云迁移，</w:t>
            </w:r>
            <w:r>
              <w:rPr>
                <w:rFonts w:hint="eastAsia"/>
                <w:lang w:val="en-US" w:eastAsia="zh-CN"/>
              </w:rPr>
              <w:t>不断丰富完善SAAS产品，满足商户全维度经营需求；（3）继续加大产品创新力度，与时俱进，始终保持行业领先性。</w:t>
            </w:r>
          </w:p>
          <w:p>
            <w:pPr>
              <w:ind w:firstLine="420" w:firstLineChars="200"/>
              <w:rPr>
                <w:rFonts w:hint="default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9" w:type="dxa"/>
            <w:vAlign w:val="center"/>
          </w:tcPr>
          <w:p>
            <w:pPr>
              <w:spacing w:line="480" w:lineRule="atLeast"/>
              <w:ind w:firstLine="482" w:firstLineChars="200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附件清单</w:t>
            </w:r>
          </w:p>
          <w:p>
            <w:pPr>
              <w:spacing w:line="480" w:lineRule="atLeast"/>
              <w:ind w:firstLine="482" w:firstLineChars="200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（如有）</w:t>
            </w:r>
          </w:p>
        </w:tc>
        <w:tc>
          <w:tcPr>
            <w:tcW w:w="6713" w:type="dxa"/>
          </w:tcPr>
          <w:p>
            <w:pPr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480" w:lineRule="atLeast"/>
              <w:jc w:val="center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713" w:type="dxa"/>
          </w:tcPr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202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年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月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AF2E"/>
    <w:multiLevelType w:val="singleLevel"/>
    <w:tmpl w:val="687DAF2E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7C"/>
    <w:rsid w:val="00003CCF"/>
    <w:rsid w:val="0000536D"/>
    <w:rsid w:val="000057ED"/>
    <w:rsid w:val="00005E7B"/>
    <w:rsid w:val="0000649F"/>
    <w:rsid w:val="000071D1"/>
    <w:rsid w:val="0000789B"/>
    <w:rsid w:val="00011C0A"/>
    <w:rsid w:val="00011F79"/>
    <w:rsid w:val="000123C5"/>
    <w:rsid w:val="00012615"/>
    <w:rsid w:val="00013110"/>
    <w:rsid w:val="000131F9"/>
    <w:rsid w:val="0001337B"/>
    <w:rsid w:val="000137F9"/>
    <w:rsid w:val="00013C28"/>
    <w:rsid w:val="00013D86"/>
    <w:rsid w:val="000148A3"/>
    <w:rsid w:val="000150A3"/>
    <w:rsid w:val="00022E19"/>
    <w:rsid w:val="00024B94"/>
    <w:rsid w:val="00026ECB"/>
    <w:rsid w:val="00031EB5"/>
    <w:rsid w:val="000376A1"/>
    <w:rsid w:val="00040887"/>
    <w:rsid w:val="00040CAB"/>
    <w:rsid w:val="000420E5"/>
    <w:rsid w:val="0004529F"/>
    <w:rsid w:val="0004791E"/>
    <w:rsid w:val="0005357E"/>
    <w:rsid w:val="00054E9C"/>
    <w:rsid w:val="00056E5E"/>
    <w:rsid w:val="00056F2E"/>
    <w:rsid w:val="0005741F"/>
    <w:rsid w:val="00060B79"/>
    <w:rsid w:val="00062972"/>
    <w:rsid w:val="000635B2"/>
    <w:rsid w:val="00067A6F"/>
    <w:rsid w:val="00070230"/>
    <w:rsid w:val="00071DB4"/>
    <w:rsid w:val="00074665"/>
    <w:rsid w:val="000775AF"/>
    <w:rsid w:val="0008060B"/>
    <w:rsid w:val="0008134A"/>
    <w:rsid w:val="00085B65"/>
    <w:rsid w:val="000914D5"/>
    <w:rsid w:val="000929DE"/>
    <w:rsid w:val="00095625"/>
    <w:rsid w:val="00096B1A"/>
    <w:rsid w:val="0009705D"/>
    <w:rsid w:val="000970FA"/>
    <w:rsid w:val="000A0A29"/>
    <w:rsid w:val="000A20B4"/>
    <w:rsid w:val="000A3390"/>
    <w:rsid w:val="000A5ED1"/>
    <w:rsid w:val="000B034F"/>
    <w:rsid w:val="000B330F"/>
    <w:rsid w:val="000B4ACA"/>
    <w:rsid w:val="000B4BD6"/>
    <w:rsid w:val="000B55CB"/>
    <w:rsid w:val="000B6BB1"/>
    <w:rsid w:val="000C2A66"/>
    <w:rsid w:val="000C2EC1"/>
    <w:rsid w:val="000C495D"/>
    <w:rsid w:val="000C4A7A"/>
    <w:rsid w:val="000C4CC4"/>
    <w:rsid w:val="000C7926"/>
    <w:rsid w:val="000C7EE9"/>
    <w:rsid w:val="000D01DE"/>
    <w:rsid w:val="000D0D0E"/>
    <w:rsid w:val="000D2265"/>
    <w:rsid w:val="000D474E"/>
    <w:rsid w:val="000D4D3F"/>
    <w:rsid w:val="000E007C"/>
    <w:rsid w:val="000E13B6"/>
    <w:rsid w:val="000E2111"/>
    <w:rsid w:val="000E5F24"/>
    <w:rsid w:val="000E7538"/>
    <w:rsid w:val="000F3809"/>
    <w:rsid w:val="000F389B"/>
    <w:rsid w:val="000F40A5"/>
    <w:rsid w:val="000F66C3"/>
    <w:rsid w:val="000F77AB"/>
    <w:rsid w:val="00100B13"/>
    <w:rsid w:val="00100FF5"/>
    <w:rsid w:val="00102C9E"/>
    <w:rsid w:val="001044E0"/>
    <w:rsid w:val="00106488"/>
    <w:rsid w:val="0010686F"/>
    <w:rsid w:val="00106BEA"/>
    <w:rsid w:val="00120682"/>
    <w:rsid w:val="00120E3A"/>
    <w:rsid w:val="00121457"/>
    <w:rsid w:val="001223B7"/>
    <w:rsid w:val="00123AD8"/>
    <w:rsid w:val="00124FA0"/>
    <w:rsid w:val="00125A48"/>
    <w:rsid w:val="00127F72"/>
    <w:rsid w:val="00130332"/>
    <w:rsid w:val="0013402C"/>
    <w:rsid w:val="001347A4"/>
    <w:rsid w:val="0013533B"/>
    <w:rsid w:val="00136AFF"/>
    <w:rsid w:val="00140542"/>
    <w:rsid w:val="0014099F"/>
    <w:rsid w:val="00143D8F"/>
    <w:rsid w:val="001447FE"/>
    <w:rsid w:val="0014630C"/>
    <w:rsid w:val="0015379D"/>
    <w:rsid w:val="001552CE"/>
    <w:rsid w:val="00163803"/>
    <w:rsid w:val="001656E8"/>
    <w:rsid w:val="00170196"/>
    <w:rsid w:val="001705F1"/>
    <w:rsid w:val="00171988"/>
    <w:rsid w:val="00173F93"/>
    <w:rsid w:val="001741F2"/>
    <w:rsid w:val="00174E44"/>
    <w:rsid w:val="00176F9B"/>
    <w:rsid w:val="001774C5"/>
    <w:rsid w:val="00180392"/>
    <w:rsid w:val="00180A4D"/>
    <w:rsid w:val="00184459"/>
    <w:rsid w:val="001847B8"/>
    <w:rsid w:val="001850C3"/>
    <w:rsid w:val="00187FBC"/>
    <w:rsid w:val="0019174E"/>
    <w:rsid w:val="001A4802"/>
    <w:rsid w:val="001A52DF"/>
    <w:rsid w:val="001A692F"/>
    <w:rsid w:val="001A70DE"/>
    <w:rsid w:val="001A7406"/>
    <w:rsid w:val="001A7EC4"/>
    <w:rsid w:val="001B37BF"/>
    <w:rsid w:val="001C0560"/>
    <w:rsid w:val="001C2D59"/>
    <w:rsid w:val="001C3101"/>
    <w:rsid w:val="001C5347"/>
    <w:rsid w:val="001C7F52"/>
    <w:rsid w:val="001D43B0"/>
    <w:rsid w:val="001D48CB"/>
    <w:rsid w:val="001D5571"/>
    <w:rsid w:val="001D60AE"/>
    <w:rsid w:val="001E13D1"/>
    <w:rsid w:val="001E1436"/>
    <w:rsid w:val="001E1528"/>
    <w:rsid w:val="001E23AE"/>
    <w:rsid w:val="001E24C2"/>
    <w:rsid w:val="001E6CBA"/>
    <w:rsid w:val="001E6D33"/>
    <w:rsid w:val="001F09CF"/>
    <w:rsid w:val="001F63C5"/>
    <w:rsid w:val="001F788C"/>
    <w:rsid w:val="00203EB5"/>
    <w:rsid w:val="00207BF6"/>
    <w:rsid w:val="00211AD3"/>
    <w:rsid w:val="002166DE"/>
    <w:rsid w:val="00216FA0"/>
    <w:rsid w:val="00226637"/>
    <w:rsid w:val="002268CD"/>
    <w:rsid w:val="0022736F"/>
    <w:rsid w:val="00231091"/>
    <w:rsid w:val="002322C3"/>
    <w:rsid w:val="00233398"/>
    <w:rsid w:val="002335D2"/>
    <w:rsid w:val="0024102E"/>
    <w:rsid w:val="00241BD1"/>
    <w:rsid w:val="00243484"/>
    <w:rsid w:val="002467C2"/>
    <w:rsid w:val="00250074"/>
    <w:rsid w:val="002609BF"/>
    <w:rsid w:val="00267EA5"/>
    <w:rsid w:val="00274B76"/>
    <w:rsid w:val="00274D27"/>
    <w:rsid w:val="0027574C"/>
    <w:rsid w:val="00276B88"/>
    <w:rsid w:val="00281352"/>
    <w:rsid w:val="00282DC6"/>
    <w:rsid w:val="00282FC7"/>
    <w:rsid w:val="0028469A"/>
    <w:rsid w:val="0028499B"/>
    <w:rsid w:val="00286A1A"/>
    <w:rsid w:val="0029091D"/>
    <w:rsid w:val="0029282E"/>
    <w:rsid w:val="00292D79"/>
    <w:rsid w:val="0029376B"/>
    <w:rsid w:val="002946EA"/>
    <w:rsid w:val="00295117"/>
    <w:rsid w:val="00297BF4"/>
    <w:rsid w:val="00297C64"/>
    <w:rsid w:val="002A124F"/>
    <w:rsid w:val="002A390E"/>
    <w:rsid w:val="002A4187"/>
    <w:rsid w:val="002A58AA"/>
    <w:rsid w:val="002B041B"/>
    <w:rsid w:val="002B21A5"/>
    <w:rsid w:val="002B319A"/>
    <w:rsid w:val="002B3F14"/>
    <w:rsid w:val="002B4810"/>
    <w:rsid w:val="002C0CAA"/>
    <w:rsid w:val="002C0F90"/>
    <w:rsid w:val="002C1DA5"/>
    <w:rsid w:val="002C32F2"/>
    <w:rsid w:val="002C5974"/>
    <w:rsid w:val="002D0638"/>
    <w:rsid w:val="002D15B3"/>
    <w:rsid w:val="002D1D0A"/>
    <w:rsid w:val="002D263F"/>
    <w:rsid w:val="002D3F15"/>
    <w:rsid w:val="002D4174"/>
    <w:rsid w:val="002D4CD3"/>
    <w:rsid w:val="002D6A5D"/>
    <w:rsid w:val="002E0D55"/>
    <w:rsid w:val="002E0ED4"/>
    <w:rsid w:val="002E2038"/>
    <w:rsid w:val="002F227C"/>
    <w:rsid w:val="002F651F"/>
    <w:rsid w:val="00303DC7"/>
    <w:rsid w:val="003147DC"/>
    <w:rsid w:val="00316C97"/>
    <w:rsid w:val="003242BD"/>
    <w:rsid w:val="00324607"/>
    <w:rsid w:val="00326B15"/>
    <w:rsid w:val="003319E4"/>
    <w:rsid w:val="00333E23"/>
    <w:rsid w:val="0034045E"/>
    <w:rsid w:val="00342DE6"/>
    <w:rsid w:val="00346590"/>
    <w:rsid w:val="00346A23"/>
    <w:rsid w:val="00346D6E"/>
    <w:rsid w:val="003470BB"/>
    <w:rsid w:val="003475CD"/>
    <w:rsid w:val="00351A60"/>
    <w:rsid w:val="00351F78"/>
    <w:rsid w:val="00352EBD"/>
    <w:rsid w:val="00353BED"/>
    <w:rsid w:val="00354868"/>
    <w:rsid w:val="00356798"/>
    <w:rsid w:val="00357562"/>
    <w:rsid w:val="00362AC5"/>
    <w:rsid w:val="003650C6"/>
    <w:rsid w:val="00367DE9"/>
    <w:rsid w:val="00374F3A"/>
    <w:rsid w:val="00380348"/>
    <w:rsid w:val="00381830"/>
    <w:rsid w:val="0038232F"/>
    <w:rsid w:val="00382E5C"/>
    <w:rsid w:val="00383755"/>
    <w:rsid w:val="00383E52"/>
    <w:rsid w:val="00384825"/>
    <w:rsid w:val="00390934"/>
    <w:rsid w:val="003927EB"/>
    <w:rsid w:val="003936CA"/>
    <w:rsid w:val="003A0806"/>
    <w:rsid w:val="003A0ECA"/>
    <w:rsid w:val="003A138D"/>
    <w:rsid w:val="003A14BC"/>
    <w:rsid w:val="003A1BF3"/>
    <w:rsid w:val="003A4404"/>
    <w:rsid w:val="003A49A5"/>
    <w:rsid w:val="003A775C"/>
    <w:rsid w:val="003B42CE"/>
    <w:rsid w:val="003B52B6"/>
    <w:rsid w:val="003B7556"/>
    <w:rsid w:val="003C253A"/>
    <w:rsid w:val="003D2182"/>
    <w:rsid w:val="003D6836"/>
    <w:rsid w:val="003E0AD0"/>
    <w:rsid w:val="003E30B3"/>
    <w:rsid w:val="003E4917"/>
    <w:rsid w:val="003E5793"/>
    <w:rsid w:val="003E5DC8"/>
    <w:rsid w:val="003E6F6E"/>
    <w:rsid w:val="003F110B"/>
    <w:rsid w:val="003F1B69"/>
    <w:rsid w:val="003F26AC"/>
    <w:rsid w:val="003F3DFC"/>
    <w:rsid w:val="003F41BF"/>
    <w:rsid w:val="003F4A5E"/>
    <w:rsid w:val="003F5791"/>
    <w:rsid w:val="003F69D4"/>
    <w:rsid w:val="0040575D"/>
    <w:rsid w:val="00406747"/>
    <w:rsid w:val="004069D5"/>
    <w:rsid w:val="0041089F"/>
    <w:rsid w:val="00411072"/>
    <w:rsid w:val="004112A4"/>
    <w:rsid w:val="0041670D"/>
    <w:rsid w:val="00420B64"/>
    <w:rsid w:val="004220B8"/>
    <w:rsid w:val="004259CB"/>
    <w:rsid w:val="004265C6"/>
    <w:rsid w:val="004265F7"/>
    <w:rsid w:val="00426DAC"/>
    <w:rsid w:val="00430495"/>
    <w:rsid w:val="004347FD"/>
    <w:rsid w:val="0043589A"/>
    <w:rsid w:val="00435F66"/>
    <w:rsid w:val="00436657"/>
    <w:rsid w:val="00437200"/>
    <w:rsid w:val="00444719"/>
    <w:rsid w:val="00446A83"/>
    <w:rsid w:val="00454E92"/>
    <w:rsid w:val="0045551A"/>
    <w:rsid w:val="00455EC8"/>
    <w:rsid w:val="00456042"/>
    <w:rsid w:val="00456D36"/>
    <w:rsid w:val="004607BC"/>
    <w:rsid w:val="004636E5"/>
    <w:rsid w:val="00466996"/>
    <w:rsid w:val="00474726"/>
    <w:rsid w:val="00480C2B"/>
    <w:rsid w:val="004814B7"/>
    <w:rsid w:val="004840B8"/>
    <w:rsid w:val="004861D0"/>
    <w:rsid w:val="00486919"/>
    <w:rsid w:val="0049067C"/>
    <w:rsid w:val="00491869"/>
    <w:rsid w:val="00491AA5"/>
    <w:rsid w:val="004949D2"/>
    <w:rsid w:val="00494EFE"/>
    <w:rsid w:val="004A163E"/>
    <w:rsid w:val="004A37C2"/>
    <w:rsid w:val="004A47EF"/>
    <w:rsid w:val="004A6948"/>
    <w:rsid w:val="004A6C8B"/>
    <w:rsid w:val="004A7EF6"/>
    <w:rsid w:val="004B0753"/>
    <w:rsid w:val="004B0DD6"/>
    <w:rsid w:val="004B160D"/>
    <w:rsid w:val="004B2EAE"/>
    <w:rsid w:val="004B3648"/>
    <w:rsid w:val="004B3C47"/>
    <w:rsid w:val="004B5D2B"/>
    <w:rsid w:val="004B78F4"/>
    <w:rsid w:val="004C3EC4"/>
    <w:rsid w:val="004C5F5F"/>
    <w:rsid w:val="004C648F"/>
    <w:rsid w:val="004C7265"/>
    <w:rsid w:val="004C7472"/>
    <w:rsid w:val="004D5BA1"/>
    <w:rsid w:val="004D70E3"/>
    <w:rsid w:val="004E08A9"/>
    <w:rsid w:val="004E0D6F"/>
    <w:rsid w:val="004E1D87"/>
    <w:rsid w:val="004E345F"/>
    <w:rsid w:val="004E484C"/>
    <w:rsid w:val="004E4A8E"/>
    <w:rsid w:val="004F1B2D"/>
    <w:rsid w:val="004F212B"/>
    <w:rsid w:val="004F487D"/>
    <w:rsid w:val="004F7C04"/>
    <w:rsid w:val="00503226"/>
    <w:rsid w:val="00506B99"/>
    <w:rsid w:val="00507F2C"/>
    <w:rsid w:val="00514718"/>
    <w:rsid w:val="00515D11"/>
    <w:rsid w:val="005162B2"/>
    <w:rsid w:val="00517F9F"/>
    <w:rsid w:val="00520514"/>
    <w:rsid w:val="00520CEE"/>
    <w:rsid w:val="005219FB"/>
    <w:rsid w:val="0053035A"/>
    <w:rsid w:val="00532FBB"/>
    <w:rsid w:val="00535F47"/>
    <w:rsid w:val="00536D52"/>
    <w:rsid w:val="00536FCE"/>
    <w:rsid w:val="00542926"/>
    <w:rsid w:val="005437EA"/>
    <w:rsid w:val="00550ACF"/>
    <w:rsid w:val="00552DA9"/>
    <w:rsid w:val="00556BE8"/>
    <w:rsid w:val="005605DC"/>
    <w:rsid w:val="00565839"/>
    <w:rsid w:val="0056644A"/>
    <w:rsid w:val="0056752A"/>
    <w:rsid w:val="00570B75"/>
    <w:rsid w:val="0057528B"/>
    <w:rsid w:val="005777EF"/>
    <w:rsid w:val="00580BA2"/>
    <w:rsid w:val="00586799"/>
    <w:rsid w:val="00590FE7"/>
    <w:rsid w:val="005932F7"/>
    <w:rsid w:val="005968A0"/>
    <w:rsid w:val="005978DA"/>
    <w:rsid w:val="005A0EC8"/>
    <w:rsid w:val="005A2B9D"/>
    <w:rsid w:val="005A4A4B"/>
    <w:rsid w:val="005A58E7"/>
    <w:rsid w:val="005A6570"/>
    <w:rsid w:val="005B0201"/>
    <w:rsid w:val="005B0348"/>
    <w:rsid w:val="005B092E"/>
    <w:rsid w:val="005B0B69"/>
    <w:rsid w:val="005B1683"/>
    <w:rsid w:val="005B698E"/>
    <w:rsid w:val="005B7849"/>
    <w:rsid w:val="005B7CB6"/>
    <w:rsid w:val="005B7FA6"/>
    <w:rsid w:val="005C4A33"/>
    <w:rsid w:val="005C4C58"/>
    <w:rsid w:val="005C5C86"/>
    <w:rsid w:val="005D3252"/>
    <w:rsid w:val="005D42A7"/>
    <w:rsid w:val="005D60FE"/>
    <w:rsid w:val="005D6E55"/>
    <w:rsid w:val="005D7C2F"/>
    <w:rsid w:val="005D7EB0"/>
    <w:rsid w:val="005E2065"/>
    <w:rsid w:val="005E318B"/>
    <w:rsid w:val="005F19EC"/>
    <w:rsid w:val="005F4D19"/>
    <w:rsid w:val="005F679D"/>
    <w:rsid w:val="005F6FE0"/>
    <w:rsid w:val="006005A5"/>
    <w:rsid w:val="00601BC5"/>
    <w:rsid w:val="0060633D"/>
    <w:rsid w:val="0060739E"/>
    <w:rsid w:val="00610970"/>
    <w:rsid w:val="006112CD"/>
    <w:rsid w:val="006135AC"/>
    <w:rsid w:val="006146F6"/>
    <w:rsid w:val="00614ACD"/>
    <w:rsid w:val="0061536D"/>
    <w:rsid w:val="0061557B"/>
    <w:rsid w:val="006155F0"/>
    <w:rsid w:val="00616EA7"/>
    <w:rsid w:val="0062354A"/>
    <w:rsid w:val="00625FD2"/>
    <w:rsid w:val="00626840"/>
    <w:rsid w:val="006319B1"/>
    <w:rsid w:val="006337A7"/>
    <w:rsid w:val="00635215"/>
    <w:rsid w:val="00635C91"/>
    <w:rsid w:val="0064072B"/>
    <w:rsid w:val="00643E05"/>
    <w:rsid w:val="00645EF5"/>
    <w:rsid w:val="00646EDF"/>
    <w:rsid w:val="00650B08"/>
    <w:rsid w:val="00650EEE"/>
    <w:rsid w:val="00651B15"/>
    <w:rsid w:val="0065239A"/>
    <w:rsid w:val="00654A7D"/>
    <w:rsid w:val="00655C76"/>
    <w:rsid w:val="0066067B"/>
    <w:rsid w:val="006611EE"/>
    <w:rsid w:val="00661586"/>
    <w:rsid w:val="00665EC0"/>
    <w:rsid w:val="00671027"/>
    <w:rsid w:val="006711F0"/>
    <w:rsid w:val="00673A7B"/>
    <w:rsid w:val="00673C94"/>
    <w:rsid w:val="0067501B"/>
    <w:rsid w:val="006758CF"/>
    <w:rsid w:val="00676291"/>
    <w:rsid w:val="006807DE"/>
    <w:rsid w:val="00682398"/>
    <w:rsid w:val="0068307B"/>
    <w:rsid w:val="006835DE"/>
    <w:rsid w:val="00684910"/>
    <w:rsid w:val="0068688F"/>
    <w:rsid w:val="00692CE4"/>
    <w:rsid w:val="00693FB1"/>
    <w:rsid w:val="00694E46"/>
    <w:rsid w:val="00694E7A"/>
    <w:rsid w:val="0069635D"/>
    <w:rsid w:val="00696726"/>
    <w:rsid w:val="006979F3"/>
    <w:rsid w:val="006A02E9"/>
    <w:rsid w:val="006A2496"/>
    <w:rsid w:val="006A4D6E"/>
    <w:rsid w:val="006A6CA0"/>
    <w:rsid w:val="006A761E"/>
    <w:rsid w:val="006B124C"/>
    <w:rsid w:val="006B1A32"/>
    <w:rsid w:val="006B2683"/>
    <w:rsid w:val="006B2F7F"/>
    <w:rsid w:val="006B6B82"/>
    <w:rsid w:val="006B71A5"/>
    <w:rsid w:val="006B7E9C"/>
    <w:rsid w:val="006C0826"/>
    <w:rsid w:val="006C1920"/>
    <w:rsid w:val="006C2E99"/>
    <w:rsid w:val="006C4E0E"/>
    <w:rsid w:val="006C7E02"/>
    <w:rsid w:val="006D1F8E"/>
    <w:rsid w:val="006D420E"/>
    <w:rsid w:val="006D64C5"/>
    <w:rsid w:val="006D7503"/>
    <w:rsid w:val="006D7B0D"/>
    <w:rsid w:val="006E06BE"/>
    <w:rsid w:val="006E0776"/>
    <w:rsid w:val="006E0B8B"/>
    <w:rsid w:val="006E4A7A"/>
    <w:rsid w:val="006E4BB3"/>
    <w:rsid w:val="006E737C"/>
    <w:rsid w:val="006E7773"/>
    <w:rsid w:val="006E7AE9"/>
    <w:rsid w:val="006F3E16"/>
    <w:rsid w:val="006F51C9"/>
    <w:rsid w:val="006F56D7"/>
    <w:rsid w:val="007015F4"/>
    <w:rsid w:val="00701AAF"/>
    <w:rsid w:val="007023FC"/>
    <w:rsid w:val="00704245"/>
    <w:rsid w:val="00704813"/>
    <w:rsid w:val="00706A17"/>
    <w:rsid w:val="00710308"/>
    <w:rsid w:val="007146EC"/>
    <w:rsid w:val="00716DA9"/>
    <w:rsid w:val="00725B5E"/>
    <w:rsid w:val="0073320F"/>
    <w:rsid w:val="00735E94"/>
    <w:rsid w:val="00741776"/>
    <w:rsid w:val="0074682F"/>
    <w:rsid w:val="007502A9"/>
    <w:rsid w:val="0075058C"/>
    <w:rsid w:val="00750679"/>
    <w:rsid w:val="00750E2B"/>
    <w:rsid w:val="0075233C"/>
    <w:rsid w:val="00753148"/>
    <w:rsid w:val="007546F7"/>
    <w:rsid w:val="007577F5"/>
    <w:rsid w:val="00760028"/>
    <w:rsid w:val="00762AE7"/>
    <w:rsid w:val="007634C4"/>
    <w:rsid w:val="00763CCB"/>
    <w:rsid w:val="00765689"/>
    <w:rsid w:val="007657DC"/>
    <w:rsid w:val="007712C5"/>
    <w:rsid w:val="00771C95"/>
    <w:rsid w:val="0077530B"/>
    <w:rsid w:val="007772E6"/>
    <w:rsid w:val="00781DC1"/>
    <w:rsid w:val="007835BE"/>
    <w:rsid w:val="00784D56"/>
    <w:rsid w:val="00786662"/>
    <w:rsid w:val="0078703F"/>
    <w:rsid w:val="00787CAD"/>
    <w:rsid w:val="00790442"/>
    <w:rsid w:val="0079198A"/>
    <w:rsid w:val="00791D1B"/>
    <w:rsid w:val="00793C14"/>
    <w:rsid w:val="007951D4"/>
    <w:rsid w:val="00796A3E"/>
    <w:rsid w:val="007A1524"/>
    <w:rsid w:val="007A337E"/>
    <w:rsid w:val="007A3E35"/>
    <w:rsid w:val="007A527F"/>
    <w:rsid w:val="007B18CA"/>
    <w:rsid w:val="007B1BA6"/>
    <w:rsid w:val="007B3C53"/>
    <w:rsid w:val="007B495C"/>
    <w:rsid w:val="007B5F3A"/>
    <w:rsid w:val="007B6676"/>
    <w:rsid w:val="007C7502"/>
    <w:rsid w:val="007D293F"/>
    <w:rsid w:val="007D4A1C"/>
    <w:rsid w:val="007D4B83"/>
    <w:rsid w:val="007D57FD"/>
    <w:rsid w:val="007E18CB"/>
    <w:rsid w:val="007E329D"/>
    <w:rsid w:val="007E35EE"/>
    <w:rsid w:val="007E6123"/>
    <w:rsid w:val="007E66F9"/>
    <w:rsid w:val="007F5C40"/>
    <w:rsid w:val="007F7AC6"/>
    <w:rsid w:val="008008E8"/>
    <w:rsid w:val="0080327C"/>
    <w:rsid w:val="00804071"/>
    <w:rsid w:val="00811AA8"/>
    <w:rsid w:val="0081226A"/>
    <w:rsid w:val="0081380F"/>
    <w:rsid w:val="00815BED"/>
    <w:rsid w:val="00816557"/>
    <w:rsid w:val="008221AD"/>
    <w:rsid w:val="0082237C"/>
    <w:rsid w:val="00823D4B"/>
    <w:rsid w:val="00824CA9"/>
    <w:rsid w:val="0082540A"/>
    <w:rsid w:val="00825809"/>
    <w:rsid w:val="0083128C"/>
    <w:rsid w:val="00835515"/>
    <w:rsid w:val="008355DF"/>
    <w:rsid w:val="00835B8D"/>
    <w:rsid w:val="008377D9"/>
    <w:rsid w:val="008579BD"/>
    <w:rsid w:val="008634FD"/>
    <w:rsid w:val="00864E6E"/>
    <w:rsid w:val="0086518B"/>
    <w:rsid w:val="00872ADB"/>
    <w:rsid w:val="00873252"/>
    <w:rsid w:val="00875520"/>
    <w:rsid w:val="00877BB1"/>
    <w:rsid w:val="008815DB"/>
    <w:rsid w:val="00882D94"/>
    <w:rsid w:val="00883888"/>
    <w:rsid w:val="00883AF8"/>
    <w:rsid w:val="00885514"/>
    <w:rsid w:val="00890065"/>
    <w:rsid w:val="00891931"/>
    <w:rsid w:val="008929D3"/>
    <w:rsid w:val="00896800"/>
    <w:rsid w:val="008A4DDB"/>
    <w:rsid w:val="008A7AB5"/>
    <w:rsid w:val="008B055F"/>
    <w:rsid w:val="008B14FD"/>
    <w:rsid w:val="008B1CC6"/>
    <w:rsid w:val="008B224F"/>
    <w:rsid w:val="008B67D1"/>
    <w:rsid w:val="008C3056"/>
    <w:rsid w:val="008C6535"/>
    <w:rsid w:val="008C6BCD"/>
    <w:rsid w:val="008C7294"/>
    <w:rsid w:val="008D176E"/>
    <w:rsid w:val="008D1A90"/>
    <w:rsid w:val="008D25C3"/>
    <w:rsid w:val="008D33AD"/>
    <w:rsid w:val="008D3499"/>
    <w:rsid w:val="008D382F"/>
    <w:rsid w:val="008D5FF9"/>
    <w:rsid w:val="008D736F"/>
    <w:rsid w:val="008E0F26"/>
    <w:rsid w:val="008E660B"/>
    <w:rsid w:val="008E7FA5"/>
    <w:rsid w:val="008F0C5F"/>
    <w:rsid w:val="008F29A1"/>
    <w:rsid w:val="008F7791"/>
    <w:rsid w:val="008F7874"/>
    <w:rsid w:val="0090077E"/>
    <w:rsid w:val="00902837"/>
    <w:rsid w:val="00902EF5"/>
    <w:rsid w:val="0090690A"/>
    <w:rsid w:val="00910460"/>
    <w:rsid w:val="00914382"/>
    <w:rsid w:val="00914894"/>
    <w:rsid w:val="00914D77"/>
    <w:rsid w:val="009167C0"/>
    <w:rsid w:val="00920A44"/>
    <w:rsid w:val="00922C4B"/>
    <w:rsid w:val="00931BB7"/>
    <w:rsid w:val="009321D1"/>
    <w:rsid w:val="00935646"/>
    <w:rsid w:val="00936D9A"/>
    <w:rsid w:val="00941A85"/>
    <w:rsid w:val="00947D72"/>
    <w:rsid w:val="009516C1"/>
    <w:rsid w:val="00956EA8"/>
    <w:rsid w:val="00957724"/>
    <w:rsid w:val="00962F31"/>
    <w:rsid w:val="00972C26"/>
    <w:rsid w:val="009738EA"/>
    <w:rsid w:val="0097604A"/>
    <w:rsid w:val="00980D2E"/>
    <w:rsid w:val="009839C9"/>
    <w:rsid w:val="00983FD0"/>
    <w:rsid w:val="00987818"/>
    <w:rsid w:val="00990A6D"/>
    <w:rsid w:val="009923EB"/>
    <w:rsid w:val="00992A7C"/>
    <w:rsid w:val="00993C17"/>
    <w:rsid w:val="0099437E"/>
    <w:rsid w:val="00995133"/>
    <w:rsid w:val="009A06F8"/>
    <w:rsid w:val="009A0F7F"/>
    <w:rsid w:val="009A513D"/>
    <w:rsid w:val="009B0D32"/>
    <w:rsid w:val="009B4239"/>
    <w:rsid w:val="009B699A"/>
    <w:rsid w:val="009C0473"/>
    <w:rsid w:val="009C2A08"/>
    <w:rsid w:val="009C3211"/>
    <w:rsid w:val="009D0910"/>
    <w:rsid w:val="009D0B4B"/>
    <w:rsid w:val="009D1555"/>
    <w:rsid w:val="009D21EC"/>
    <w:rsid w:val="009D2B61"/>
    <w:rsid w:val="009D3BDB"/>
    <w:rsid w:val="009D6EE2"/>
    <w:rsid w:val="009E1C9D"/>
    <w:rsid w:val="009E29E5"/>
    <w:rsid w:val="009E2AE2"/>
    <w:rsid w:val="009E432B"/>
    <w:rsid w:val="009E448E"/>
    <w:rsid w:val="009E5CF1"/>
    <w:rsid w:val="009F0E0B"/>
    <w:rsid w:val="009F0E9C"/>
    <w:rsid w:val="009F3CCA"/>
    <w:rsid w:val="009F4700"/>
    <w:rsid w:val="009F4EDF"/>
    <w:rsid w:val="009F5869"/>
    <w:rsid w:val="009F6400"/>
    <w:rsid w:val="00A00B08"/>
    <w:rsid w:val="00A0664F"/>
    <w:rsid w:val="00A067D0"/>
    <w:rsid w:val="00A06E0B"/>
    <w:rsid w:val="00A164E5"/>
    <w:rsid w:val="00A1679B"/>
    <w:rsid w:val="00A2072A"/>
    <w:rsid w:val="00A21B03"/>
    <w:rsid w:val="00A229E4"/>
    <w:rsid w:val="00A2500C"/>
    <w:rsid w:val="00A25216"/>
    <w:rsid w:val="00A267B8"/>
    <w:rsid w:val="00A27325"/>
    <w:rsid w:val="00A33305"/>
    <w:rsid w:val="00A36448"/>
    <w:rsid w:val="00A364F6"/>
    <w:rsid w:val="00A3664F"/>
    <w:rsid w:val="00A3741B"/>
    <w:rsid w:val="00A420D3"/>
    <w:rsid w:val="00A43676"/>
    <w:rsid w:val="00A4369B"/>
    <w:rsid w:val="00A44405"/>
    <w:rsid w:val="00A470E8"/>
    <w:rsid w:val="00A52FF2"/>
    <w:rsid w:val="00A555EB"/>
    <w:rsid w:val="00A57718"/>
    <w:rsid w:val="00A61A44"/>
    <w:rsid w:val="00A740C5"/>
    <w:rsid w:val="00A8004C"/>
    <w:rsid w:val="00A82B14"/>
    <w:rsid w:val="00A9310B"/>
    <w:rsid w:val="00A9457D"/>
    <w:rsid w:val="00A945FB"/>
    <w:rsid w:val="00A95D81"/>
    <w:rsid w:val="00AA2098"/>
    <w:rsid w:val="00AA239D"/>
    <w:rsid w:val="00AA31F8"/>
    <w:rsid w:val="00AA4270"/>
    <w:rsid w:val="00AA4B20"/>
    <w:rsid w:val="00AA4D23"/>
    <w:rsid w:val="00AA70A2"/>
    <w:rsid w:val="00AA7695"/>
    <w:rsid w:val="00AB07D5"/>
    <w:rsid w:val="00AB1134"/>
    <w:rsid w:val="00AB117E"/>
    <w:rsid w:val="00AB25AD"/>
    <w:rsid w:val="00AB4669"/>
    <w:rsid w:val="00AB49B6"/>
    <w:rsid w:val="00AB4E3B"/>
    <w:rsid w:val="00AB6911"/>
    <w:rsid w:val="00AC1720"/>
    <w:rsid w:val="00AC1AA8"/>
    <w:rsid w:val="00AC265C"/>
    <w:rsid w:val="00AC2A84"/>
    <w:rsid w:val="00AC34D5"/>
    <w:rsid w:val="00AC3A28"/>
    <w:rsid w:val="00AC4771"/>
    <w:rsid w:val="00AC7572"/>
    <w:rsid w:val="00AC7BE8"/>
    <w:rsid w:val="00AD188E"/>
    <w:rsid w:val="00AD2C45"/>
    <w:rsid w:val="00AD733C"/>
    <w:rsid w:val="00AE0C53"/>
    <w:rsid w:val="00AE1C7B"/>
    <w:rsid w:val="00AE7191"/>
    <w:rsid w:val="00AF3F2B"/>
    <w:rsid w:val="00AF4893"/>
    <w:rsid w:val="00AF4CB3"/>
    <w:rsid w:val="00AF53E6"/>
    <w:rsid w:val="00AF6042"/>
    <w:rsid w:val="00AF692E"/>
    <w:rsid w:val="00AF6F1D"/>
    <w:rsid w:val="00AF78DC"/>
    <w:rsid w:val="00B0185C"/>
    <w:rsid w:val="00B05A15"/>
    <w:rsid w:val="00B05F1D"/>
    <w:rsid w:val="00B07A53"/>
    <w:rsid w:val="00B111FF"/>
    <w:rsid w:val="00B1171A"/>
    <w:rsid w:val="00B1626F"/>
    <w:rsid w:val="00B163B7"/>
    <w:rsid w:val="00B16627"/>
    <w:rsid w:val="00B167A1"/>
    <w:rsid w:val="00B205EA"/>
    <w:rsid w:val="00B22B48"/>
    <w:rsid w:val="00B2312E"/>
    <w:rsid w:val="00B23BF3"/>
    <w:rsid w:val="00B24719"/>
    <w:rsid w:val="00B26B0B"/>
    <w:rsid w:val="00B36371"/>
    <w:rsid w:val="00B3796E"/>
    <w:rsid w:val="00B435A6"/>
    <w:rsid w:val="00B47778"/>
    <w:rsid w:val="00B50F58"/>
    <w:rsid w:val="00B51544"/>
    <w:rsid w:val="00B53FA2"/>
    <w:rsid w:val="00B54A3F"/>
    <w:rsid w:val="00B5526C"/>
    <w:rsid w:val="00B55C29"/>
    <w:rsid w:val="00B56898"/>
    <w:rsid w:val="00B62832"/>
    <w:rsid w:val="00B677BD"/>
    <w:rsid w:val="00B71AA1"/>
    <w:rsid w:val="00B71E98"/>
    <w:rsid w:val="00B77542"/>
    <w:rsid w:val="00B809CC"/>
    <w:rsid w:val="00B8110F"/>
    <w:rsid w:val="00B8314A"/>
    <w:rsid w:val="00B83D50"/>
    <w:rsid w:val="00B87426"/>
    <w:rsid w:val="00B8782B"/>
    <w:rsid w:val="00B87A5A"/>
    <w:rsid w:val="00B9085C"/>
    <w:rsid w:val="00BA25BE"/>
    <w:rsid w:val="00BA506A"/>
    <w:rsid w:val="00BA77BE"/>
    <w:rsid w:val="00BB0CFF"/>
    <w:rsid w:val="00BB5D17"/>
    <w:rsid w:val="00BB72BA"/>
    <w:rsid w:val="00BC02F7"/>
    <w:rsid w:val="00BC0CF0"/>
    <w:rsid w:val="00BC1CFD"/>
    <w:rsid w:val="00BC2986"/>
    <w:rsid w:val="00BC4F8D"/>
    <w:rsid w:val="00BC76F1"/>
    <w:rsid w:val="00BD00D2"/>
    <w:rsid w:val="00BE0325"/>
    <w:rsid w:val="00BE1D85"/>
    <w:rsid w:val="00BE2C8B"/>
    <w:rsid w:val="00BE2F47"/>
    <w:rsid w:val="00BF20B5"/>
    <w:rsid w:val="00BF320C"/>
    <w:rsid w:val="00BF3759"/>
    <w:rsid w:val="00C00454"/>
    <w:rsid w:val="00C00B68"/>
    <w:rsid w:val="00C01736"/>
    <w:rsid w:val="00C0368D"/>
    <w:rsid w:val="00C05BB0"/>
    <w:rsid w:val="00C06977"/>
    <w:rsid w:val="00C17AA3"/>
    <w:rsid w:val="00C17F14"/>
    <w:rsid w:val="00C23ACA"/>
    <w:rsid w:val="00C317E2"/>
    <w:rsid w:val="00C36E24"/>
    <w:rsid w:val="00C46C35"/>
    <w:rsid w:val="00C55B05"/>
    <w:rsid w:val="00C576B4"/>
    <w:rsid w:val="00C5794C"/>
    <w:rsid w:val="00C61B08"/>
    <w:rsid w:val="00C62CD6"/>
    <w:rsid w:val="00C6386C"/>
    <w:rsid w:val="00C664E1"/>
    <w:rsid w:val="00C71B66"/>
    <w:rsid w:val="00C74653"/>
    <w:rsid w:val="00C779F0"/>
    <w:rsid w:val="00C8193E"/>
    <w:rsid w:val="00C82DCB"/>
    <w:rsid w:val="00C845A8"/>
    <w:rsid w:val="00C85507"/>
    <w:rsid w:val="00C916DC"/>
    <w:rsid w:val="00C91879"/>
    <w:rsid w:val="00C91FF1"/>
    <w:rsid w:val="00C94D69"/>
    <w:rsid w:val="00C96167"/>
    <w:rsid w:val="00C97962"/>
    <w:rsid w:val="00CA3F75"/>
    <w:rsid w:val="00CA6AD3"/>
    <w:rsid w:val="00CA75AE"/>
    <w:rsid w:val="00CB1412"/>
    <w:rsid w:val="00CB1ADD"/>
    <w:rsid w:val="00CB33EF"/>
    <w:rsid w:val="00CB4003"/>
    <w:rsid w:val="00CB4F26"/>
    <w:rsid w:val="00CB6F96"/>
    <w:rsid w:val="00CB7F0D"/>
    <w:rsid w:val="00CC3C8A"/>
    <w:rsid w:val="00CC71F5"/>
    <w:rsid w:val="00CC755E"/>
    <w:rsid w:val="00CD0281"/>
    <w:rsid w:val="00CD149B"/>
    <w:rsid w:val="00CD3CF6"/>
    <w:rsid w:val="00CD71EC"/>
    <w:rsid w:val="00CD7EFF"/>
    <w:rsid w:val="00CE08B3"/>
    <w:rsid w:val="00CE1CD4"/>
    <w:rsid w:val="00CE20C6"/>
    <w:rsid w:val="00CE538B"/>
    <w:rsid w:val="00CE66EB"/>
    <w:rsid w:val="00CE6860"/>
    <w:rsid w:val="00CF3AA9"/>
    <w:rsid w:val="00CF75EE"/>
    <w:rsid w:val="00D01F69"/>
    <w:rsid w:val="00D04608"/>
    <w:rsid w:val="00D04D97"/>
    <w:rsid w:val="00D07BA2"/>
    <w:rsid w:val="00D1454D"/>
    <w:rsid w:val="00D15B02"/>
    <w:rsid w:val="00D23EE9"/>
    <w:rsid w:val="00D2659B"/>
    <w:rsid w:val="00D26BA0"/>
    <w:rsid w:val="00D318E1"/>
    <w:rsid w:val="00D323F0"/>
    <w:rsid w:val="00D32A3A"/>
    <w:rsid w:val="00D32EF2"/>
    <w:rsid w:val="00D34C9F"/>
    <w:rsid w:val="00D358D9"/>
    <w:rsid w:val="00D44CED"/>
    <w:rsid w:val="00D459B0"/>
    <w:rsid w:val="00D47803"/>
    <w:rsid w:val="00D52E94"/>
    <w:rsid w:val="00D56AD9"/>
    <w:rsid w:val="00D601F0"/>
    <w:rsid w:val="00D64A64"/>
    <w:rsid w:val="00D71D0A"/>
    <w:rsid w:val="00D739FC"/>
    <w:rsid w:val="00D7421A"/>
    <w:rsid w:val="00D74A05"/>
    <w:rsid w:val="00D75670"/>
    <w:rsid w:val="00D7677A"/>
    <w:rsid w:val="00D76C70"/>
    <w:rsid w:val="00D801F5"/>
    <w:rsid w:val="00D8068A"/>
    <w:rsid w:val="00D83B98"/>
    <w:rsid w:val="00D85497"/>
    <w:rsid w:val="00D87EB5"/>
    <w:rsid w:val="00D9092D"/>
    <w:rsid w:val="00D914E2"/>
    <w:rsid w:val="00D92BF3"/>
    <w:rsid w:val="00D94172"/>
    <w:rsid w:val="00D95141"/>
    <w:rsid w:val="00D9574C"/>
    <w:rsid w:val="00D95E66"/>
    <w:rsid w:val="00D96368"/>
    <w:rsid w:val="00DA2AF8"/>
    <w:rsid w:val="00DA33D6"/>
    <w:rsid w:val="00DA3A66"/>
    <w:rsid w:val="00DA419D"/>
    <w:rsid w:val="00DB19AE"/>
    <w:rsid w:val="00DB3A7B"/>
    <w:rsid w:val="00DB5E97"/>
    <w:rsid w:val="00DC3938"/>
    <w:rsid w:val="00DC3BA9"/>
    <w:rsid w:val="00DC3F15"/>
    <w:rsid w:val="00DC4AC8"/>
    <w:rsid w:val="00DD3F11"/>
    <w:rsid w:val="00DD448A"/>
    <w:rsid w:val="00DD6C61"/>
    <w:rsid w:val="00DD798C"/>
    <w:rsid w:val="00DE15D7"/>
    <w:rsid w:val="00DE2732"/>
    <w:rsid w:val="00DE4F4A"/>
    <w:rsid w:val="00DE5EA2"/>
    <w:rsid w:val="00DF10CC"/>
    <w:rsid w:val="00E001EA"/>
    <w:rsid w:val="00E01AD7"/>
    <w:rsid w:val="00E025A8"/>
    <w:rsid w:val="00E042D3"/>
    <w:rsid w:val="00E068FD"/>
    <w:rsid w:val="00E073DF"/>
    <w:rsid w:val="00E0783E"/>
    <w:rsid w:val="00E13F1B"/>
    <w:rsid w:val="00E14627"/>
    <w:rsid w:val="00E1588B"/>
    <w:rsid w:val="00E17587"/>
    <w:rsid w:val="00E21BF1"/>
    <w:rsid w:val="00E2348D"/>
    <w:rsid w:val="00E24C23"/>
    <w:rsid w:val="00E24C35"/>
    <w:rsid w:val="00E27DE3"/>
    <w:rsid w:val="00E305A9"/>
    <w:rsid w:val="00E33774"/>
    <w:rsid w:val="00E34696"/>
    <w:rsid w:val="00E43338"/>
    <w:rsid w:val="00E44D41"/>
    <w:rsid w:val="00E45170"/>
    <w:rsid w:val="00E4671A"/>
    <w:rsid w:val="00E51B2F"/>
    <w:rsid w:val="00E53E32"/>
    <w:rsid w:val="00E54E90"/>
    <w:rsid w:val="00E55A77"/>
    <w:rsid w:val="00E576FE"/>
    <w:rsid w:val="00E60566"/>
    <w:rsid w:val="00E63252"/>
    <w:rsid w:val="00E6448D"/>
    <w:rsid w:val="00E70EAC"/>
    <w:rsid w:val="00E7576D"/>
    <w:rsid w:val="00E763CD"/>
    <w:rsid w:val="00E768FB"/>
    <w:rsid w:val="00E80BAE"/>
    <w:rsid w:val="00E8378A"/>
    <w:rsid w:val="00E864E3"/>
    <w:rsid w:val="00E91CCA"/>
    <w:rsid w:val="00E939D0"/>
    <w:rsid w:val="00E94990"/>
    <w:rsid w:val="00E94ADB"/>
    <w:rsid w:val="00EA08D0"/>
    <w:rsid w:val="00EA0F97"/>
    <w:rsid w:val="00EA12D5"/>
    <w:rsid w:val="00EA1BD5"/>
    <w:rsid w:val="00EA3676"/>
    <w:rsid w:val="00EA413D"/>
    <w:rsid w:val="00EA567D"/>
    <w:rsid w:val="00EB1C78"/>
    <w:rsid w:val="00EB46EC"/>
    <w:rsid w:val="00EB502A"/>
    <w:rsid w:val="00EB758C"/>
    <w:rsid w:val="00EC1FC9"/>
    <w:rsid w:val="00EC2F4D"/>
    <w:rsid w:val="00EC5B56"/>
    <w:rsid w:val="00ED0A95"/>
    <w:rsid w:val="00ED486E"/>
    <w:rsid w:val="00ED56AF"/>
    <w:rsid w:val="00EE490E"/>
    <w:rsid w:val="00EE63BE"/>
    <w:rsid w:val="00EE6CC7"/>
    <w:rsid w:val="00EE6FBF"/>
    <w:rsid w:val="00EE7B15"/>
    <w:rsid w:val="00EF03A5"/>
    <w:rsid w:val="00EF2F86"/>
    <w:rsid w:val="00EF397C"/>
    <w:rsid w:val="00EF3E26"/>
    <w:rsid w:val="00EF50B3"/>
    <w:rsid w:val="00F04FD0"/>
    <w:rsid w:val="00F06895"/>
    <w:rsid w:val="00F06C27"/>
    <w:rsid w:val="00F12EF2"/>
    <w:rsid w:val="00F1359E"/>
    <w:rsid w:val="00F14D60"/>
    <w:rsid w:val="00F17747"/>
    <w:rsid w:val="00F177AA"/>
    <w:rsid w:val="00F17D04"/>
    <w:rsid w:val="00F210A3"/>
    <w:rsid w:val="00F2258D"/>
    <w:rsid w:val="00F25D25"/>
    <w:rsid w:val="00F3146D"/>
    <w:rsid w:val="00F34AA9"/>
    <w:rsid w:val="00F40B61"/>
    <w:rsid w:val="00F45DF7"/>
    <w:rsid w:val="00F5799A"/>
    <w:rsid w:val="00F63277"/>
    <w:rsid w:val="00F63AD8"/>
    <w:rsid w:val="00F643C2"/>
    <w:rsid w:val="00F6676C"/>
    <w:rsid w:val="00F73F6F"/>
    <w:rsid w:val="00F75335"/>
    <w:rsid w:val="00F81873"/>
    <w:rsid w:val="00F81EF8"/>
    <w:rsid w:val="00F85267"/>
    <w:rsid w:val="00F855CB"/>
    <w:rsid w:val="00F858DA"/>
    <w:rsid w:val="00F91875"/>
    <w:rsid w:val="00F9554F"/>
    <w:rsid w:val="00FA06FE"/>
    <w:rsid w:val="00FA1C14"/>
    <w:rsid w:val="00FA2875"/>
    <w:rsid w:val="00FB161D"/>
    <w:rsid w:val="00FB2340"/>
    <w:rsid w:val="00FB64D3"/>
    <w:rsid w:val="00FC2172"/>
    <w:rsid w:val="00FC3079"/>
    <w:rsid w:val="00FC7413"/>
    <w:rsid w:val="00FD05DF"/>
    <w:rsid w:val="00FD2D99"/>
    <w:rsid w:val="00FD63FB"/>
    <w:rsid w:val="00FD6453"/>
    <w:rsid w:val="00FE07F7"/>
    <w:rsid w:val="00FE14F7"/>
    <w:rsid w:val="00FE3562"/>
    <w:rsid w:val="00FE4DE4"/>
    <w:rsid w:val="00FE54F2"/>
    <w:rsid w:val="00FE7D0E"/>
    <w:rsid w:val="00FF27A7"/>
    <w:rsid w:val="00FF27D2"/>
    <w:rsid w:val="00FF46AC"/>
    <w:rsid w:val="00FF7F9F"/>
    <w:rsid w:val="019F461C"/>
    <w:rsid w:val="01AF4DFA"/>
    <w:rsid w:val="022D0D62"/>
    <w:rsid w:val="02DC16DC"/>
    <w:rsid w:val="030D0218"/>
    <w:rsid w:val="049215B4"/>
    <w:rsid w:val="06027874"/>
    <w:rsid w:val="07195300"/>
    <w:rsid w:val="07330A70"/>
    <w:rsid w:val="07E55ACC"/>
    <w:rsid w:val="08057E3D"/>
    <w:rsid w:val="0895416A"/>
    <w:rsid w:val="089F2A9C"/>
    <w:rsid w:val="08BE0D2E"/>
    <w:rsid w:val="0A96177E"/>
    <w:rsid w:val="0B006D8A"/>
    <w:rsid w:val="0BB22810"/>
    <w:rsid w:val="0CB81877"/>
    <w:rsid w:val="0DEF2218"/>
    <w:rsid w:val="10580363"/>
    <w:rsid w:val="1094322A"/>
    <w:rsid w:val="1177789E"/>
    <w:rsid w:val="120A0F3C"/>
    <w:rsid w:val="12327929"/>
    <w:rsid w:val="127E7B7A"/>
    <w:rsid w:val="12A85383"/>
    <w:rsid w:val="12D34C22"/>
    <w:rsid w:val="13342FBC"/>
    <w:rsid w:val="134E6C67"/>
    <w:rsid w:val="137523DC"/>
    <w:rsid w:val="155E2F7E"/>
    <w:rsid w:val="16942C2B"/>
    <w:rsid w:val="171A3CDE"/>
    <w:rsid w:val="172A3AB5"/>
    <w:rsid w:val="17DC1CCE"/>
    <w:rsid w:val="18D52E51"/>
    <w:rsid w:val="19857438"/>
    <w:rsid w:val="1A0102C3"/>
    <w:rsid w:val="1AB529D9"/>
    <w:rsid w:val="1B782C51"/>
    <w:rsid w:val="1BD211F1"/>
    <w:rsid w:val="1C20645E"/>
    <w:rsid w:val="1CC9076F"/>
    <w:rsid w:val="1D026A59"/>
    <w:rsid w:val="1F6D2243"/>
    <w:rsid w:val="1F9E20F1"/>
    <w:rsid w:val="1FEB1AB7"/>
    <w:rsid w:val="1FFF52FD"/>
    <w:rsid w:val="216564B9"/>
    <w:rsid w:val="21A91E87"/>
    <w:rsid w:val="21CD5F04"/>
    <w:rsid w:val="224E7A36"/>
    <w:rsid w:val="22A41471"/>
    <w:rsid w:val="23141549"/>
    <w:rsid w:val="232A4AED"/>
    <w:rsid w:val="23B44DD4"/>
    <w:rsid w:val="25EC2C30"/>
    <w:rsid w:val="27A2775E"/>
    <w:rsid w:val="27A351CD"/>
    <w:rsid w:val="27FE5A94"/>
    <w:rsid w:val="28A23D5D"/>
    <w:rsid w:val="290F73DF"/>
    <w:rsid w:val="2AB93300"/>
    <w:rsid w:val="2AC3429E"/>
    <w:rsid w:val="2ADB7715"/>
    <w:rsid w:val="2B296CE2"/>
    <w:rsid w:val="2B2B1E36"/>
    <w:rsid w:val="2BFB06A0"/>
    <w:rsid w:val="2CE52957"/>
    <w:rsid w:val="2E867ADD"/>
    <w:rsid w:val="2E9A4F86"/>
    <w:rsid w:val="2F58112D"/>
    <w:rsid w:val="30484E27"/>
    <w:rsid w:val="3073258C"/>
    <w:rsid w:val="31B67643"/>
    <w:rsid w:val="31CD00BA"/>
    <w:rsid w:val="32A33F95"/>
    <w:rsid w:val="33541CC7"/>
    <w:rsid w:val="33C9271E"/>
    <w:rsid w:val="35407EA4"/>
    <w:rsid w:val="355E240E"/>
    <w:rsid w:val="358502B3"/>
    <w:rsid w:val="3629358B"/>
    <w:rsid w:val="37701478"/>
    <w:rsid w:val="37A117AC"/>
    <w:rsid w:val="37CE60BB"/>
    <w:rsid w:val="37FC30DD"/>
    <w:rsid w:val="38B97517"/>
    <w:rsid w:val="397101A5"/>
    <w:rsid w:val="398D7F53"/>
    <w:rsid w:val="39AC68D5"/>
    <w:rsid w:val="39BD2329"/>
    <w:rsid w:val="39C63C50"/>
    <w:rsid w:val="39D44C42"/>
    <w:rsid w:val="3A9E6D76"/>
    <w:rsid w:val="3AAF00C4"/>
    <w:rsid w:val="3AEF1265"/>
    <w:rsid w:val="3B213BBB"/>
    <w:rsid w:val="3C77446E"/>
    <w:rsid w:val="3DB506EC"/>
    <w:rsid w:val="3DFE6BB0"/>
    <w:rsid w:val="3E333D4C"/>
    <w:rsid w:val="3F1B0AF2"/>
    <w:rsid w:val="3FFF2B56"/>
    <w:rsid w:val="40DA2596"/>
    <w:rsid w:val="429E1503"/>
    <w:rsid w:val="42B42326"/>
    <w:rsid w:val="4345127F"/>
    <w:rsid w:val="43481379"/>
    <w:rsid w:val="43E903FB"/>
    <w:rsid w:val="44573808"/>
    <w:rsid w:val="45A9690C"/>
    <w:rsid w:val="47094805"/>
    <w:rsid w:val="48303094"/>
    <w:rsid w:val="48D23566"/>
    <w:rsid w:val="4915171E"/>
    <w:rsid w:val="49644F0B"/>
    <w:rsid w:val="4A0B781F"/>
    <w:rsid w:val="4AAC134D"/>
    <w:rsid w:val="4BA71B20"/>
    <w:rsid w:val="4C272843"/>
    <w:rsid w:val="4C4948E0"/>
    <w:rsid w:val="4DCA06D8"/>
    <w:rsid w:val="4DDE4A7D"/>
    <w:rsid w:val="4E102F92"/>
    <w:rsid w:val="4E1627A6"/>
    <w:rsid w:val="4F467D9B"/>
    <w:rsid w:val="50124C49"/>
    <w:rsid w:val="50BD5E3B"/>
    <w:rsid w:val="515014E2"/>
    <w:rsid w:val="517D08D2"/>
    <w:rsid w:val="518A3D31"/>
    <w:rsid w:val="527939AD"/>
    <w:rsid w:val="53616804"/>
    <w:rsid w:val="5440246A"/>
    <w:rsid w:val="548E75BD"/>
    <w:rsid w:val="54FF48D9"/>
    <w:rsid w:val="556A2EC9"/>
    <w:rsid w:val="559D4069"/>
    <w:rsid w:val="56984139"/>
    <w:rsid w:val="572F431A"/>
    <w:rsid w:val="5751198E"/>
    <w:rsid w:val="5753718E"/>
    <w:rsid w:val="57656C94"/>
    <w:rsid w:val="57EB29E7"/>
    <w:rsid w:val="58772F71"/>
    <w:rsid w:val="58867B22"/>
    <w:rsid w:val="5B8B53E3"/>
    <w:rsid w:val="5BD05788"/>
    <w:rsid w:val="5D5E5F51"/>
    <w:rsid w:val="5E997AF0"/>
    <w:rsid w:val="5F1928D5"/>
    <w:rsid w:val="5F1F16BC"/>
    <w:rsid w:val="5FE033FA"/>
    <w:rsid w:val="5FF34D5E"/>
    <w:rsid w:val="60CF6F30"/>
    <w:rsid w:val="617436E2"/>
    <w:rsid w:val="62666782"/>
    <w:rsid w:val="63CA1D16"/>
    <w:rsid w:val="647F69E5"/>
    <w:rsid w:val="64B31F24"/>
    <w:rsid w:val="67241C5B"/>
    <w:rsid w:val="680A6BA8"/>
    <w:rsid w:val="685D3DC2"/>
    <w:rsid w:val="68723E96"/>
    <w:rsid w:val="688F2233"/>
    <w:rsid w:val="6BBD5EC0"/>
    <w:rsid w:val="6C363A63"/>
    <w:rsid w:val="6D8F0ED5"/>
    <w:rsid w:val="6EC939F6"/>
    <w:rsid w:val="6F1F6167"/>
    <w:rsid w:val="6F2A5AF1"/>
    <w:rsid w:val="6F8B49D7"/>
    <w:rsid w:val="710132DB"/>
    <w:rsid w:val="720A321F"/>
    <w:rsid w:val="7255441D"/>
    <w:rsid w:val="72A735AD"/>
    <w:rsid w:val="742C5790"/>
    <w:rsid w:val="743B7BEB"/>
    <w:rsid w:val="744C1208"/>
    <w:rsid w:val="7567545F"/>
    <w:rsid w:val="75E9335C"/>
    <w:rsid w:val="76FD6A38"/>
    <w:rsid w:val="774575D1"/>
    <w:rsid w:val="77E07839"/>
    <w:rsid w:val="7861550A"/>
    <w:rsid w:val="7A0674B0"/>
    <w:rsid w:val="7A3A0587"/>
    <w:rsid w:val="7C5538A5"/>
    <w:rsid w:val="7D2838D1"/>
    <w:rsid w:val="7D86047A"/>
    <w:rsid w:val="7F701CF1"/>
    <w:rsid w:val="7FC73EC4"/>
    <w:rsid w:val="7FF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4"/>
    <w:qFormat/>
    <w:uiPriority w:val="0"/>
    <w:pPr>
      <w:jc w:val="left"/>
    </w:p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3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23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  <w:rPr>
      <w:color w:val="FF0000"/>
    </w:rPr>
  </w:style>
  <w:style w:type="character" w:styleId="13">
    <w:name w:val="Hyperlink"/>
    <w:basedOn w:val="9"/>
    <w:qFormat/>
    <w:uiPriority w:val="0"/>
    <w:rPr>
      <w:color w:val="333333"/>
      <w:u w:val="none"/>
    </w:rPr>
  </w:style>
  <w:style w:type="character" w:styleId="14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styleId="16">
    <w:name w:val="HTML Keyboard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7">
    <w:name w:val="HTML Sampl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20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21">
    <w:name w:val="not([class*=suffix])1"/>
    <w:basedOn w:val="9"/>
    <w:qFormat/>
    <w:uiPriority w:val="0"/>
    <w:rPr>
      <w:sz w:val="13"/>
      <w:szCs w:val="13"/>
    </w:rPr>
  </w:style>
  <w:style w:type="character" w:customStyle="1" w:styleId="22">
    <w:name w:val="no-reply-icon"/>
    <w:basedOn w:val="9"/>
    <w:qFormat/>
    <w:uiPriority w:val="0"/>
    <w:rPr>
      <w:color w:val="BBC0CC"/>
      <w:bdr w:val="single" w:color="F8F8F8" w:sz="4" w:space="0"/>
      <w:shd w:val="clear" w:color="auto" w:fill="F8F8F8"/>
    </w:rPr>
  </w:style>
  <w:style w:type="character" w:customStyle="1" w:styleId="23">
    <w:name w:val="批注主题 字符"/>
    <w:link w:val="7"/>
    <w:qFormat/>
    <w:uiPriority w:val="0"/>
    <w:rPr>
      <w:b/>
      <w:bCs/>
      <w:kern w:val="2"/>
      <w:sz w:val="21"/>
    </w:rPr>
  </w:style>
  <w:style w:type="character" w:customStyle="1" w:styleId="24">
    <w:name w:val="flag-title2"/>
    <w:basedOn w:val="9"/>
    <w:qFormat/>
    <w:uiPriority w:val="0"/>
    <w:rPr>
      <w:color w:val="8790A4"/>
      <w:sz w:val="12"/>
      <w:szCs w:val="12"/>
      <w:bdr w:val="dashed" w:color="E5E5E5" w:sz="4" w:space="0"/>
    </w:rPr>
  </w:style>
  <w:style w:type="character" w:customStyle="1" w:styleId="25">
    <w:name w:val="right"/>
    <w:basedOn w:val="9"/>
    <w:qFormat/>
    <w:uiPriority w:val="0"/>
    <w:rPr>
      <w:shd w:val="clear" w:color="auto" w:fill="E5E5E5"/>
    </w:rPr>
  </w:style>
  <w:style w:type="character" w:customStyle="1" w:styleId="26">
    <w:name w:val="new-question-icon"/>
    <w:basedOn w:val="9"/>
    <w:qFormat/>
    <w:uiPriority w:val="0"/>
    <w:rPr>
      <w:color w:val="F99403"/>
      <w:bdr w:val="single" w:color="FFF8E2" w:sz="4" w:space="0"/>
      <w:shd w:val="clear" w:color="auto" w:fill="FFF8E2"/>
    </w:rPr>
  </w:style>
  <w:style w:type="character" w:customStyle="1" w:styleId="27">
    <w:name w:val="hover4"/>
    <w:basedOn w:val="9"/>
    <w:qFormat/>
    <w:uiPriority w:val="0"/>
    <w:rPr>
      <w:color w:val="0077E6"/>
    </w:rPr>
  </w:style>
  <w:style w:type="character" w:customStyle="1" w:styleId="28">
    <w:name w:val="not([class*=suffix])"/>
    <w:basedOn w:val="9"/>
    <w:qFormat/>
    <w:uiPriority w:val="0"/>
  </w:style>
  <w:style w:type="character" w:customStyle="1" w:styleId="2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30">
    <w:name w:val="nth-child(1)"/>
    <w:basedOn w:val="9"/>
    <w:qFormat/>
    <w:uiPriority w:val="0"/>
  </w:style>
  <w:style w:type="character" w:customStyle="1" w:styleId="31">
    <w:name w:val="nth-child(3)"/>
    <w:basedOn w:val="9"/>
    <w:qFormat/>
    <w:uiPriority w:val="0"/>
  </w:style>
  <w:style w:type="character" w:customStyle="1" w:styleId="32">
    <w:name w:val="hot-question-icon"/>
    <w:basedOn w:val="9"/>
    <w:qFormat/>
    <w:uiPriority w:val="0"/>
    <w:rPr>
      <w:color w:val="FF0000"/>
    </w:rPr>
  </w:style>
  <w:style w:type="character" w:customStyle="1" w:styleId="33">
    <w:name w:val="nth-child(2)"/>
    <w:basedOn w:val="9"/>
    <w:qFormat/>
    <w:uiPriority w:val="0"/>
  </w:style>
  <w:style w:type="character" w:customStyle="1" w:styleId="34">
    <w:name w:val="批注文字 字符"/>
    <w:link w:val="2"/>
    <w:qFormat/>
    <w:uiPriority w:val="0"/>
    <w:rPr>
      <w:kern w:val="2"/>
      <w:sz w:val="21"/>
    </w:rPr>
  </w:style>
  <w:style w:type="character" w:customStyle="1" w:styleId="35">
    <w:name w:val="页脚 字符"/>
    <w:link w:val="4"/>
    <w:qFormat/>
    <w:uiPriority w:val="0"/>
    <w:rPr>
      <w:kern w:val="2"/>
      <w:sz w:val="18"/>
      <w:szCs w:val="18"/>
    </w:rPr>
  </w:style>
  <w:style w:type="paragraph" w:customStyle="1" w:styleId="36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7">
    <w:name w:val="font01"/>
    <w:basedOn w:val="9"/>
    <w:qFormat/>
    <w:uiPriority w:val="0"/>
    <w:rPr>
      <w:rFonts w:ascii="Arial" w:hAnsi="Arial" w:cs="Arial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449</Words>
  <Characters>2560</Characters>
  <Lines>21</Lines>
  <Paragraphs>6</Paragraphs>
  <TotalTime>5</TotalTime>
  <ScaleCrop>false</ScaleCrop>
  <LinksUpToDate>false</LinksUpToDate>
  <CharactersWithSpaces>3003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2020-12-13T15:48:00Z</dcterms:created>
  <dc:creator>jnc</dc:creator>
  <cp:lastModifiedBy>怀江</cp:lastModifiedBy>
  <dcterms:modified xsi:type="dcterms:W3CDTF">2021-01-12T10:43:13Z</dcterms:modified>
  <dc:title>证券代码：002408                              证券简称：齐翔腾达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