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E1785" w14:textId="77777777" w:rsidR="004024B7" w:rsidRPr="004024B7" w:rsidRDefault="004024B7" w:rsidP="004024B7">
      <w:pPr>
        <w:snapToGrid/>
        <w:spacing w:beforeLines="50" w:before="156" w:afterLines="50" w:after="156" w:line="400" w:lineRule="exact"/>
        <w:ind w:firstLineChars="0" w:firstLine="0"/>
        <w:rPr>
          <w:rFonts w:ascii="Arial" w:eastAsia="宋体" w:hAnsi="Arial" w:cs="Arial"/>
          <w:bCs/>
          <w:iCs/>
          <w:color w:val="000000"/>
        </w:rPr>
      </w:pPr>
      <w:r w:rsidRPr="004024B7">
        <w:rPr>
          <w:rFonts w:ascii="Arial" w:eastAsia="宋体" w:hAnsi="Arial" w:cs="Arial"/>
          <w:bCs/>
          <w:iCs/>
          <w:color w:val="000000"/>
        </w:rPr>
        <w:t>证券代码：</w:t>
      </w:r>
      <w:r w:rsidRPr="004024B7">
        <w:rPr>
          <w:rFonts w:ascii="Arial" w:eastAsia="宋体" w:hAnsi="Arial" w:cs="Arial"/>
          <w:bCs/>
          <w:iCs/>
          <w:color w:val="000000"/>
        </w:rPr>
        <w:t xml:space="preserve">300682           </w:t>
      </w:r>
      <w:r w:rsidRPr="004024B7">
        <w:rPr>
          <w:rFonts w:ascii="Arial" w:eastAsia="宋体" w:hAnsi="Arial" w:cs="Arial" w:hint="eastAsia"/>
          <w:bCs/>
          <w:iCs/>
          <w:color w:val="000000"/>
        </w:rPr>
        <w:t xml:space="preserve">                    </w:t>
      </w:r>
      <w:r w:rsidRPr="004024B7">
        <w:rPr>
          <w:rFonts w:ascii="Arial" w:eastAsia="宋体" w:hAnsi="Arial" w:cs="Arial"/>
          <w:bCs/>
          <w:iCs/>
          <w:color w:val="000000"/>
        </w:rPr>
        <w:t xml:space="preserve">   </w:t>
      </w:r>
      <w:r w:rsidRPr="004024B7">
        <w:rPr>
          <w:rFonts w:ascii="Arial" w:eastAsia="宋体" w:hAnsi="Arial" w:cs="Arial"/>
          <w:bCs/>
          <w:iCs/>
          <w:color w:val="000000"/>
        </w:rPr>
        <w:t>证券简称：朗新科技</w:t>
      </w:r>
    </w:p>
    <w:p w14:paraId="69390E79" w14:textId="77777777" w:rsidR="004024B7" w:rsidRPr="004024B7" w:rsidRDefault="004024B7" w:rsidP="004024B7">
      <w:pPr>
        <w:snapToGrid/>
        <w:spacing w:beforeLines="50" w:before="156" w:afterLines="50" w:after="156" w:line="400" w:lineRule="exact"/>
        <w:ind w:firstLineChars="0" w:firstLine="0"/>
        <w:rPr>
          <w:rFonts w:ascii="Arial" w:eastAsia="宋体" w:hAnsi="Arial" w:cs="Arial"/>
          <w:bCs/>
          <w:iCs/>
          <w:color w:val="000000"/>
        </w:rPr>
      </w:pPr>
    </w:p>
    <w:p w14:paraId="4CED2AE6" w14:textId="378B6880" w:rsidR="004024B7" w:rsidRPr="004024B7" w:rsidRDefault="004024B7" w:rsidP="004024B7">
      <w:pPr>
        <w:snapToGrid/>
        <w:spacing w:beforeLines="50" w:before="156" w:afterLines="50" w:after="156" w:line="400" w:lineRule="exact"/>
        <w:ind w:firstLineChars="0" w:firstLine="0"/>
        <w:jc w:val="center"/>
        <w:rPr>
          <w:rFonts w:ascii="Arial" w:eastAsia="宋体" w:hAnsi="Arial" w:cs="Arial"/>
          <w:b/>
          <w:bCs/>
          <w:iCs/>
          <w:color w:val="000000"/>
          <w:sz w:val="32"/>
          <w:szCs w:val="32"/>
        </w:rPr>
      </w:pPr>
      <w:r w:rsidRPr="004024B7">
        <w:rPr>
          <w:rFonts w:ascii="Arial" w:eastAsia="宋体" w:hAnsi="Arial" w:cs="Arial"/>
          <w:b/>
          <w:bCs/>
          <w:iCs/>
          <w:color w:val="000000"/>
          <w:sz w:val="32"/>
          <w:szCs w:val="32"/>
        </w:rPr>
        <w:t>朗新科技</w:t>
      </w:r>
      <w:r w:rsidR="00E85119">
        <w:rPr>
          <w:rFonts w:ascii="Arial" w:eastAsia="宋体" w:hAnsi="Arial" w:cs="Arial" w:hint="eastAsia"/>
          <w:b/>
          <w:bCs/>
          <w:iCs/>
          <w:color w:val="000000"/>
          <w:sz w:val="32"/>
          <w:szCs w:val="32"/>
        </w:rPr>
        <w:t>集团</w:t>
      </w:r>
      <w:r w:rsidRPr="004024B7">
        <w:rPr>
          <w:rFonts w:ascii="Arial" w:eastAsia="宋体" w:hAnsi="Arial" w:cs="Arial"/>
          <w:b/>
          <w:bCs/>
          <w:iCs/>
          <w:color w:val="000000"/>
          <w:sz w:val="32"/>
          <w:szCs w:val="32"/>
        </w:rPr>
        <w:t>股份有限公司</w:t>
      </w:r>
    </w:p>
    <w:p w14:paraId="41938575" w14:textId="77777777" w:rsidR="004024B7" w:rsidRPr="004024B7" w:rsidRDefault="004024B7" w:rsidP="004024B7">
      <w:pPr>
        <w:snapToGrid/>
        <w:spacing w:beforeLines="50" w:before="156" w:afterLines="50" w:after="156" w:line="400" w:lineRule="exact"/>
        <w:ind w:firstLineChars="0" w:firstLine="0"/>
        <w:jc w:val="center"/>
        <w:rPr>
          <w:rFonts w:ascii="Arial" w:eastAsia="宋体" w:hAnsi="Arial" w:cs="Arial"/>
          <w:b/>
          <w:bCs/>
          <w:iCs/>
          <w:color w:val="000000"/>
          <w:sz w:val="32"/>
          <w:szCs w:val="32"/>
        </w:rPr>
      </w:pPr>
      <w:r w:rsidRPr="004024B7">
        <w:rPr>
          <w:rFonts w:ascii="Arial" w:eastAsia="宋体" w:hAnsi="Arial" w:cs="Arial"/>
          <w:b/>
          <w:bCs/>
          <w:iCs/>
          <w:color w:val="000000"/>
          <w:sz w:val="32"/>
          <w:szCs w:val="32"/>
        </w:rPr>
        <w:t>投资者关系活动记录表</w:t>
      </w:r>
    </w:p>
    <w:p w14:paraId="5373B36B" w14:textId="367524C9" w:rsidR="004024B7" w:rsidRDefault="004024B7" w:rsidP="004024B7">
      <w:pPr>
        <w:snapToGrid/>
        <w:spacing w:before="0" w:after="0" w:line="400" w:lineRule="exact"/>
        <w:ind w:firstLineChars="0" w:firstLine="0"/>
        <w:jc w:val="center"/>
        <w:rPr>
          <w:rFonts w:ascii="Arial" w:eastAsia="宋体" w:hAnsi="Arial" w:cs="Arial" w:hint="eastAsia"/>
          <w:bCs/>
          <w:iCs/>
          <w:color w:val="000000"/>
        </w:rPr>
      </w:pPr>
      <w:r w:rsidRPr="004024B7">
        <w:rPr>
          <w:rFonts w:ascii="Arial" w:eastAsia="宋体" w:hAnsi="Arial" w:cs="Arial"/>
          <w:bCs/>
          <w:iCs/>
          <w:color w:val="000000"/>
        </w:rPr>
        <w:t>编号：</w:t>
      </w:r>
      <w:r w:rsidRPr="004024B7">
        <w:rPr>
          <w:rFonts w:ascii="Arial" w:eastAsia="宋体" w:hAnsi="Arial" w:cs="Arial" w:hint="eastAsia"/>
          <w:bCs/>
          <w:iCs/>
          <w:color w:val="000000"/>
        </w:rPr>
        <w:t>202</w:t>
      </w:r>
      <w:r w:rsidR="00E85119">
        <w:rPr>
          <w:rFonts w:ascii="Arial" w:eastAsia="宋体" w:hAnsi="Arial" w:cs="Arial"/>
          <w:bCs/>
          <w:iCs/>
          <w:color w:val="000000"/>
        </w:rPr>
        <w:t>1</w:t>
      </w:r>
      <w:r w:rsidRPr="004024B7">
        <w:rPr>
          <w:rFonts w:ascii="Arial" w:eastAsia="宋体" w:hAnsi="Arial" w:cs="Arial" w:hint="eastAsia"/>
          <w:bCs/>
          <w:iCs/>
          <w:color w:val="000000"/>
        </w:rPr>
        <w:t>-</w:t>
      </w:r>
      <w:r w:rsidR="00E85119">
        <w:rPr>
          <w:rFonts w:ascii="Arial" w:eastAsia="宋体" w:hAnsi="Arial" w:cs="Arial"/>
          <w:bCs/>
          <w:iCs/>
          <w:color w:val="000000"/>
        </w:rPr>
        <w:t>01</w:t>
      </w:r>
    </w:p>
    <w:p w14:paraId="1D0BE71E" w14:textId="77777777" w:rsidR="00FF3BD9" w:rsidRPr="004024B7" w:rsidRDefault="00FF3BD9" w:rsidP="004024B7">
      <w:pPr>
        <w:snapToGrid/>
        <w:spacing w:before="0" w:after="0" w:line="400" w:lineRule="exact"/>
        <w:ind w:firstLineChars="0" w:firstLine="0"/>
        <w:jc w:val="center"/>
        <w:rPr>
          <w:rFonts w:ascii="Arial" w:eastAsia="宋体" w:hAnsi="Arial" w:cs="Arial"/>
          <w:bCs/>
          <w:iCs/>
          <w:color w:val="000000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45"/>
      </w:tblGrid>
      <w:tr w:rsidR="004024B7" w:rsidRPr="004024B7" w14:paraId="5060CC85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884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BEDC" w14:textId="73A7ED73" w:rsidR="004024B7" w:rsidRPr="004024B7" w:rsidRDefault="004024B7" w:rsidP="004024B7">
            <w:pPr>
              <w:tabs>
                <w:tab w:val="center" w:pos="3199"/>
              </w:tabs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  <w:u w:val="single"/>
              </w:rPr>
            </w:pPr>
            <w:r w:rsidRPr="004024B7">
              <w:rPr>
                <w:rFonts w:ascii="Arial" w:eastAsia="宋体" w:hAnsi="Arial" w:cs="Arial" w:hint="eastAsia"/>
                <w:bCs/>
                <w:iCs/>
                <w:color w:val="000000"/>
              </w:rPr>
              <w:t>特定对象调研</w:t>
            </w:r>
            <w:r w:rsidRPr="004024B7">
              <w:rPr>
                <w:rFonts w:ascii="Arial" w:eastAsia="宋体" w:hAnsi="Arial" w:cs="Arial" w:hint="eastAsia"/>
                <w:bCs/>
                <w:iCs/>
                <w:color w:val="000000"/>
              </w:rPr>
              <w:t xml:space="preserve"> </w:t>
            </w:r>
            <w:r w:rsidR="00961FEA">
              <w:rPr>
                <w:rFonts w:ascii="Arial" w:eastAsia="宋体" w:hAnsi="Arial" w:cs="Arial" w:hint="eastAsia"/>
                <w:bCs/>
                <w:iCs/>
                <w:color w:val="000000"/>
              </w:rPr>
              <w:t>电话会议</w:t>
            </w:r>
          </w:p>
        </w:tc>
      </w:tr>
      <w:tr w:rsidR="004024B7" w:rsidRPr="004024B7" w14:paraId="75D5B88B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F8E9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BFF" w14:textId="30ED65A6" w:rsidR="00453090" w:rsidRPr="00453090" w:rsidRDefault="009D5F83" w:rsidP="00425F03">
            <w:pPr>
              <w:snapToGrid/>
              <w:spacing w:before="0" w:after="0" w:line="480" w:lineRule="atLeast"/>
              <w:ind w:firstLineChars="0" w:firstLine="0"/>
              <w:rPr>
                <w:rFonts w:ascii="Arial" w:eastAsia="宋体" w:hAnsi="Arial" w:cs="Arial"/>
                <w:bCs/>
                <w:iCs/>
                <w:color w:val="000000"/>
              </w:rPr>
            </w:pPr>
            <w:r>
              <w:rPr>
                <w:rFonts w:ascii="Arial" w:eastAsia="宋体" w:hAnsi="Arial" w:cs="Arial" w:hint="eastAsia"/>
                <w:bCs/>
                <w:iCs/>
                <w:color w:val="000000"/>
              </w:rPr>
              <w:t>华西证券、</w:t>
            </w:r>
            <w:r w:rsidR="00961FEA">
              <w:rPr>
                <w:rFonts w:ascii="Arial" w:eastAsia="宋体" w:hAnsi="Arial" w:cs="Arial" w:hint="eastAsia"/>
                <w:bCs/>
                <w:iCs/>
                <w:color w:val="000000"/>
              </w:rPr>
              <w:t>中信证券、开源证券、东方基金</w:t>
            </w:r>
            <w:r>
              <w:rPr>
                <w:rFonts w:ascii="Arial" w:eastAsia="宋体" w:hAnsi="Arial" w:cs="Arial" w:hint="eastAsia"/>
                <w:bCs/>
                <w:iCs/>
                <w:color w:val="000000"/>
              </w:rPr>
              <w:t>等</w:t>
            </w:r>
            <w:r>
              <w:rPr>
                <w:rFonts w:ascii="Arial" w:eastAsia="宋体" w:hAnsi="Arial" w:cs="Arial" w:hint="eastAsia"/>
                <w:bCs/>
                <w:iCs/>
                <w:color w:val="000000"/>
              </w:rPr>
              <w:t>5</w:t>
            </w:r>
            <w:r>
              <w:rPr>
                <w:rFonts w:ascii="Arial" w:eastAsia="宋体" w:hAnsi="Arial" w:cs="Arial"/>
                <w:bCs/>
                <w:iCs/>
                <w:color w:val="000000"/>
              </w:rPr>
              <w:t>1</w:t>
            </w:r>
            <w:r>
              <w:rPr>
                <w:rFonts w:ascii="Arial" w:eastAsia="宋体" w:hAnsi="Arial" w:cs="Arial" w:hint="eastAsia"/>
                <w:bCs/>
                <w:iCs/>
                <w:color w:val="000000"/>
              </w:rPr>
              <w:t>家机构</w:t>
            </w:r>
            <w:r w:rsidR="002E7AD6">
              <w:rPr>
                <w:rFonts w:ascii="Arial" w:eastAsia="宋体" w:hAnsi="Arial" w:cs="Arial" w:hint="eastAsia"/>
                <w:bCs/>
                <w:iCs/>
                <w:color w:val="000000"/>
              </w:rPr>
              <w:t>。</w:t>
            </w:r>
          </w:p>
        </w:tc>
      </w:tr>
      <w:tr w:rsidR="004024B7" w:rsidRPr="004024B7" w14:paraId="75C7BAEF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491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时间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320" w14:textId="58C237E7" w:rsidR="004024B7" w:rsidRPr="004024B7" w:rsidRDefault="004024B7" w:rsidP="00FF3BD9">
            <w:pPr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20</w:t>
            </w:r>
            <w:r w:rsidRPr="004024B7">
              <w:rPr>
                <w:rFonts w:ascii="Arial" w:eastAsia="宋体" w:hAnsi="Arial" w:cs="Arial" w:hint="eastAsia"/>
                <w:bCs/>
                <w:iCs/>
                <w:color w:val="000000"/>
              </w:rPr>
              <w:t>2</w:t>
            </w:r>
            <w:r w:rsidR="00961FEA">
              <w:rPr>
                <w:rFonts w:ascii="Arial" w:eastAsia="宋体" w:hAnsi="Arial" w:cs="Arial"/>
                <w:bCs/>
                <w:iCs/>
                <w:color w:val="000000"/>
              </w:rPr>
              <w:t>1</w:t>
            </w: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年</w:t>
            </w:r>
            <w:r w:rsidR="00961FEA">
              <w:rPr>
                <w:rFonts w:ascii="Arial" w:eastAsia="宋体" w:hAnsi="Arial" w:cs="Arial"/>
                <w:bCs/>
                <w:iCs/>
                <w:color w:val="000000"/>
              </w:rPr>
              <w:t>01</w:t>
            </w: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月</w:t>
            </w:r>
            <w:r w:rsidR="00961FEA">
              <w:rPr>
                <w:rFonts w:ascii="Arial" w:eastAsia="宋体" w:hAnsi="Arial" w:cs="Arial"/>
                <w:bCs/>
                <w:iCs/>
                <w:color w:val="000000"/>
              </w:rPr>
              <w:t>12</w:t>
            </w: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日</w:t>
            </w:r>
          </w:p>
        </w:tc>
      </w:tr>
      <w:tr w:rsidR="004024B7" w:rsidRPr="004024B7" w14:paraId="49DE9BC4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5864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地点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A7A7" w14:textId="0778990B" w:rsidR="004024B7" w:rsidRPr="004024B7" w:rsidRDefault="00961FEA" w:rsidP="00FF3BD9">
            <w:pPr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</w:rPr>
            </w:pPr>
            <w:r>
              <w:rPr>
                <w:rFonts w:ascii="Arial" w:eastAsia="宋体" w:hAnsi="Arial" w:cs="Arial" w:hint="eastAsia"/>
                <w:bCs/>
                <w:iCs/>
                <w:color w:val="000000"/>
              </w:rPr>
              <w:t>电话会议</w:t>
            </w:r>
          </w:p>
        </w:tc>
      </w:tr>
      <w:tr w:rsidR="004024B7" w:rsidRPr="004024B7" w14:paraId="0459814B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8FD5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238" w14:textId="3F921F96" w:rsidR="004024B7" w:rsidRPr="004024B7" w:rsidRDefault="004024B7" w:rsidP="00961FEA">
            <w:pPr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董事会秘书</w:t>
            </w:r>
            <w:r w:rsidRPr="004024B7">
              <w:rPr>
                <w:rFonts w:ascii="Arial" w:eastAsia="宋体" w:hAnsi="Arial" w:cs="Arial" w:hint="eastAsia"/>
                <w:bCs/>
                <w:iCs/>
                <w:color w:val="000000"/>
              </w:rPr>
              <w:t>、</w:t>
            </w:r>
            <w:r w:rsidR="00640ECD">
              <w:rPr>
                <w:rFonts w:ascii="Arial" w:eastAsia="宋体" w:hAnsi="Arial" w:cs="Arial" w:hint="eastAsia"/>
                <w:bCs/>
                <w:iCs/>
                <w:color w:val="000000"/>
              </w:rPr>
              <w:t>投资者关系总监、证券事务代表</w:t>
            </w:r>
          </w:p>
        </w:tc>
      </w:tr>
      <w:tr w:rsidR="004024B7" w:rsidRPr="004024B7" w14:paraId="0CB9EB05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0A4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FFE" w14:textId="44CAF3D4" w:rsidR="004024B7" w:rsidRPr="004024B7" w:rsidRDefault="004024B7" w:rsidP="00FF3BD9">
            <w:pPr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详见会议纪要</w:t>
            </w:r>
          </w:p>
        </w:tc>
      </w:tr>
      <w:tr w:rsidR="004024B7" w:rsidRPr="004024B7" w14:paraId="459BBF7D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C6D4" w14:textId="77777777" w:rsidR="004024B7" w:rsidRPr="004024B7" w:rsidRDefault="004024B7" w:rsidP="004024B7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附件清单（如有）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CB5" w14:textId="77777777" w:rsidR="004024B7" w:rsidRPr="004024B7" w:rsidRDefault="004024B7" w:rsidP="00FF3BD9">
            <w:pPr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无</w:t>
            </w:r>
            <w:bookmarkStart w:id="0" w:name="_GoBack"/>
            <w:bookmarkEnd w:id="0"/>
          </w:p>
        </w:tc>
      </w:tr>
      <w:tr w:rsidR="004024B7" w:rsidRPr="004024B7" w14:paraId="53E1340D" w14:textId="77777777" w:rsidTr="00FF3BD9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000C" w14:textId="77777777" w:rsidR="004024B7" w:rsidRPr="004024B7" w:rsidRDefault="004024B7" w:rsidP="00FF3BD9">
            <w:pPr>
              <w:snapToGrid/>
              <w:spacing w:before="0" w:after="0" w:line="480" w:lineRule="atLeast"/>
              <w:ind w:firstLineChars="0" w:firstLine="0"/>
              <w:jc w:val="center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日期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8A79" w14:textId="6F8A20AE" w:rsidR="004024B7" w:rsidRPr="004024B7" w:rsidRDefault="004024B7" w:rsidP="00FF3BD9">
            <w:pPr>
              <w:snapToGrid/>
              <w:spacing w:before="0" w:after="0" w:line="480" w:lineRule="atLeast"/>
              <w:ind w:firstLineChars="0" w:firstLine="0"/>
              <w:jc w:val="both"/>
              <w:rPr>
                <w:rFonts w:ascii="Arial" w:eastAsia="宋体" w:hAnsi="Arial" w:cs="Arial"/>
                <w:bCs/>
                <w:iCs/>
                <w:color w:val="000000"/>
              </w:rPr>
            </w:pP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20</w:t>
            </w:r>
            <w:r w:rsidRPr="004024B7">
              <w:rPr>
                <w:rFonts w:ascii="Arial" w:eastAsia="宋体" w:hAnsi="Arial" w:cs="Arial" w:hint="eastAsia"/>
                <w:bCs/>
                <w:iCs/>
                <w:color w:val="000000"/>
              </w:rPr>
              <w:t>2</w:t>
            </w:r>
            <w:r w:rsidR="00961FEA">
              <w:rPr>
                <w:rFonts w:ascii="Arial" w:eastAsia="宋体" w:hAnsi="Arial" w:cs="Arial"/>
                <w:bCs/>
                <w:iCs/>
                <w:color w:val="000000"/>
              </w:rPr>
              <w:t>1</w:t>
            </w: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年</w:t>
            </w:r>
            <w:r w:rsidR="00961FEA">
              <w:rPr>
                <w:rFonts w:ascii="Arial" w:eastAsia="宋体" w:hAnsi="Arial" w:cs="Arial"/>
                <w:bCs/>
                <w:iCs/>
                <w:color w:val="000000"/>
              </w:rPr>
              <w:t>01</w:t>
            </w:r>
            <w:r w:rsidRPr="004024B7">
              <w:rPr>
                <w:rFonts w:ascii="Arial" w:eastAsia="宋体" w:hAnsi="Arial" w:cs="Arial"/>
                <w:bCs/>
                <w:iCs/>
                <w:color w:val="000000"/>
              </w:rPr>
              <w:t>月</w:t>
            </w:r>
            <w:r w:rsidR="00961FEA">
              <w:rPr>
                <w:rFonts w:ascii="Arial" w:eastAsia="宋体" w:hAnsi="Arial" w:cs="Arial"/>
                <w:bCs/>
                <w:iCs/>
                <w:color w:val="000000"/>
              </w:rPr>
              <w:t>12</w:t>
            </w:r>
            <w:r w:rsidRPr="004024B7">
              <w:rPr>
                <w:rFonts w:ascii="Arial" w:eastAsia="宋体" w:hAnsi="Arial" w:cs="Arial" w:hint="eastAsia"/>
                <w:bCs/>
                <w:iCs/>
                <w:color w:val="000000"/>
              </w:rPr>
              <w:t>日</w:t>
            </w:r>
          </w:p>
        </w:tc>
      </w:tr>
    </w:tbl>
    <w:p w14:paraId="47FF8F8D" w14:textId="77777777" w:rsidR="00431EB8" w:rsidRDefault="00431EB8" w:rsidP="004024B7">
      <w:pPr>
        <w:spacing w:beforeLines="50" w:before="156" w:afterLines="50" w:after="156"/>
        <w:ind w:firstLineChars="0" w:firstLine="0"/>
        <w:rPr>
          <w:rFonts w:ascii="Arial" w:eastAsia="宋体" w:hAnsi="Arial" w:cs="Arial"/>
          <w:b/>
          <w:sz w:val="32"/>
        </w:rPr>
      </w:pPr>
    </w:p>
    <w:p w14:paraId="6479A94A" w14:textId="77777777" w:rsidR="004024B7" w:rsidRDefault="004024B7" w:rsidP="004024B7">
      <w:pPr>
        <w:ind w:firstLine="640"/>
        <w:rPr>
          <w:rFonts w:ascii="Arial" w:eastAsia="宋体" w:hAnsi="Arial" w:cs="Arial"/>
          <w:sz w:val="32"/>
        </w:rPr>
      </w:pPr>
    </w:p>
    <w:p w14:paraId="054D2BCC" w14:textId="3232DDF4" w:rsidR="004024B7" w:rsidRPr="004024B7" w:rsidRDefault="004024B7" w:rsidP="004024B7">
      <w:pPr>
        <w:ind w:firstLine="640"/>
        <w:rPr>
          <w:rFonts w:ascii="Arial" w:eastAsia="宋体" w:hAnsi="Arial" w:cs="Arial"/>
          <w:sz w:val="32"/>
        </w:rPr>
        <w:sectPr w:rsidR="004024B7" w:rsidRPr="004024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D291A0" w14:textId="12B8CC97" w:rsidR="00431EB8" w:rsidRPr="004024B7" w:rsidRDefault="004024B7" w:rsidP="004024B7">
      <w:pPr>
        <w:snapToGrid/>
        <w:spacing w:beforeLines="50" w:before="156" w:afterLines="50" w:after="156"/>
        <w:ind w:firstLine="643"/>
        <w:jc w:val="center"/>
        <w:rPr>
          <w:rFonts w:ascii="Arial" w:eastAsia="宋体" w:hAnsi="Arial" w:cs="Arial"/>
          <w:b/>
          <w:sz w:val="32"/>
        </w:rPr>
      </w:pPr>
      <w:r w:rsidRPr="004024B7">
        <w:rPr>
          <w:rFonts w:ascii="Arial" w:eastAsia="宋体" w:hAnsi="Arial" w:cs="Arial" w:hint="eastAsia"/>
          <w:b/>
          <w:sz w:val="32"/>
        </w:rPr>
        <w:lastRenderedPageBreak/>
        <w:t>会议纪要</w:t>
      </w:r>
    </w:p>
    <w:p w14:paraId="2BDC29C5" w14:textId="42904D8F" w:rsidR="004A41E9" w:rsidRDefault="006B47DF" w:rsidP="004024B7">
      <w:pPr>
        <w:ind w:firstLineChars="0" w:firstLine="0"/>
      </w:pPr>
      <w:r>
        <w:rPr>
          <w:rFonts w:hint="eastAsia"/>
        </w:rPr>
        <w:t>日期：2</w:t>
      </w:r>
      <w:r>
        <w:t>02</w:t>
      </w:r>
      <w:r w:rsidR="00961FEA">
        <w:t>1</w:t>
      </w:r>
      <w:r>
        <w:rPr>
          <w:rFonts w:hint="eastAsia"/>
        </w:rPr>
        <w:t>年</w:t>
      </w:r>
      <w:r w:rsidR="00961FEA">
        <w:t>01</w:t>
      </w:r>
      <w:r>
        <w:rPr>
          <w:rFonts w:hint="eastAsia"/>
        </w:rPr>
        <w:t>月</w:t>
      </w:r>
      <w:r w:rsidR="00961FEA">
        <w:t>12</w:t>
      </w:r>
      <w:r>
        <w:rPr>
          <w:rFonts w:hint="eastAsia"/>
        </w:rPr>
        <w:t>日</w:t>
      </w:r>
      <w:r w:rsidR="00D20C4F">
        <w:rPr>
          <w:rFonts w:hint="eastAsia"/>
        </w:rPr>
        <w:t xml:space="preserve"> </w:t>
      </w:r>
    </w:p>
    <w:p w14:paraId="383B37AB" w14:textId="24962CBB" w:rsidR="004A41E9" w:rsidRDefault="006B47DF" w:rsidP="004024B7">
      <w:pPr>
        <w:ind w:firstLineChars="0" w:firstLine="0"/>
      </w:pPr>
      <w:r>
        <w:rPr>
          <w:rFonts w:hint="eastAsia"/>
        </w:rPr>
        <w:t>方式：</w:t>
      </w:r>
      <w:r w:rsidR="00F06321">
        <w:rPr>
          <w:rFonts w:hint="eastAsia"/>
        </w:rPr>
        <w:t>特定对象调研</w:t>
      </w:r>
      <w:r w:rsidR="00961FEA">
        <w:rPr>
          <w:rFonts w:hint="eastAsia"/>
        </w:rPr>
        <w:t>&amp;电话会议</w:t>
      </w:r>
    </w:p>
    <w:p w14:paraId="52D37170" w14:textId="2DB5600F" w:rsidR="004A41E9" w:rsidRDefault="0064774C" w:rsidP="0064774C">
      <w:pPr>
        <w:pStyle w:val="1"/>
        <w:ind w:firstLineChars="0" w:firstLine="0"/>
      </w:pPr>
      <w:r>
        <w:rPr>
          <w:rFonts w:hint="eastAsia"/>
        </w:rPr>
        <w:t>一、</w:t>
      </w:r>
      <w:r w:rsidR="00D20C4F">
        <w:rPr>
          <w:rFonts w:hint="eastAsia"/>
        </w:rPr>
        <w:t>公司</w:t>
      </w:r>
      <w:r w:rsidR="00CB3FBA">
        <w:rPr>
          <w:rFonts w:hint="eastAsia"/>
        </w:rPr>
        <w:t>简介</w:t>
      </w:r>
    </w:p>
    <w:p w14:paraId="34351B62" w14:textId="1E72272B" w:rsidR="00D20C4F" w:rsidRPr="001D18D0" w:rsidRDefault="00D20C4F" w:rsidP="00D20C4F">
      <w:r w:rsidRPr="001D18D0">
        <w:rPr>
          <w:rFonts w:hint="eastAsia"/>
        </w:rPr>
        <w:t>朗新科技集团股份有限公司（以下简称</w:t>
      </w:r>
      <w:proofErr w:type="gramStart"/>
      <w:r w:rsidRPr="001D18D0">
        <w:rPr>
          <w:rFonts w:hint="eastAsia"/>
        </w:rPr>
        <w:t>“</w:t>
      </w:r>
      <w:proofErr w:type="gramEnd"/>
      <w:r w:rsidRPr="001D18D0">
        <w:rPr>
          <w:rFonts w:hint="eastAsia"/>
        </w:rPr>
        <w:t>朗新科技“、”公司</w:t>
      </w:r>
      <w:proofErr w:type="gramStart"/>
      <w:r w:rsidRPr="001D18D0">
        <w:rPr>
          <w:rFonts w:hint="eastAsia"/>
        </w:rPr>
        <w:t>”</w:t>
      </w:r>
      <w:proofErr w:type="gramEnd"/>
      <w:r w:rsidRPr="001D18D0">
        <w:rPr>
          <w:rFonts w:hint="eastAsia"/>
        </w:rPr>
        <w:t>或“集团”）副总经理、董事会秘书王慎勇先生首先向与会者介绍了公司</w:t>
      </w:r>
      <w:r w:rsidR="00640ECD">
        <w:rPr>
          <w:rFonts w:hint="eastAsia"/>
        </w:rPr>
        <w:t>业务</w:t>
      </w:r>
      <w:r w:rsidRPr="001D18D0">
        <w:rPr>
          <w:rFonts w:hint="eastAsia"/>
        </w:rPr>
        <w:t>的</w:t>
      </w:r>
      <w:r w:rsidR="00640ECD">
        <w:rPr>
          <w:rFonts w:hint="eastAsia"/>
        </w:rPr>
        <w:t>进展</w:t>
      </w:r>
      <w:r w:rsidRPr="001D18D0">
        <w:rPr>
          <w:rFonts w:hint="eastAsia"/>
        </w:rPr>
        <w:t>情况。</w:t>
      </w:r>
    </w:p>
    <w:p w14:paraId="0B06724D" w14:textId="134FD9D4" w:rsidR="009D5F83" w:rsidRDefault="00B559FE" w:rsidP="009D5F83">
      <w:r w:rsidRPr="00B559FE">
        <w:rPr>
          <w:rFonts w:hint="eastAsia"/>
        </w:rPr>
        <w:t>朗新科技聚焦产业互联网，以</w:t>
      </w:r>
      <w:r w:rsidRPr="00B559FE">
        <w:t>B2B2C的业务模式，服务能源、广电、公共服务、城市服务等领域，通过系统建设、数字化业务运营、用户服务，助力产业创新和升级，提升用户体验，创造并分享新的价值。</w:t>
      </w:r>
    </w:p>
    <w:p w14:paraId="35646CBC" w14:textId="0FAAFB31" w:rsidR="004B62EA" w:rsidRDefault="00640ECD" w:rsidP="004B62EA">
      <w:r>
        <w:rPr>
          <w:rFonts w:hint="eastAsia"/>
        </w:rPr>
        <w:t>过去一年，公司</w:t>
      </w:r>
      <w:r w:rsidR="004B62EA">
        <w:rPr>
          <w:rFonts w:hint="eastAsia"/>
        </w:rPr>
        <w:t>的</w:t>
      </w:r>
      <w:r>
        <w:rPr>
          <w:rFonts w:hint="eastAsia"/>
        </w:rPr>
        <w:t>2</w:t>
      </w:r>
      <w:r>
        <w:t>B</w:t>
      </w:r>
      <w:r>
        <w:rPr>
          <w:rFonts w:hint="eastAsia"/>
        </w:rPr>
        <w:t>业务</w:t>
      </w:r>
      <w:r w:rsidR="004B62EA">
        <w:rPr>
          <w:rFonts w:hint="eastAsia"/>
        </w:rPr>
        <w:t>进一步成长</w:t>
      </w:r>
      <w:r>
        <w:rPr>
          <w:rFonts w:hint="eastAsia"/>
        </w:rPr>
        <w:t>，在电力行业营销核心业务中台、电力大数据应用、</w:t>
      </w:r>
      <w:r w:rsidR="004B62EA">
        <w:rPr>
          <w:rFonts w:hint="eastAsia"/>
        </w:rPr>
        <w:t>综合能源服务和充电业务运营等方面均取得积极进展，公司在能源行业的技术服务和业务运营能力进一步提升，市场地位和综合实力进一步增强。在2</w:t>
      </w:r>
      <w:r w:rsidR="004B62EA">
        <w:t>C</w:t>
      </w:r>
      <w:r w:rsidR="004B62EA">
        <w:rPr>
          <w:rFonts w:hint="eastAsia"/>
        </w:rPr>
        <w:t>的数字生活服务领域，生活缴费业务用户数、活跃度和交易规模持续稳定增长，公共服务机构连接数不断增加，车主服务领域的充电运营业务流量持续快速增长，智慧停车业务已覆盖十几家头部物业集团客户；在互联网电视领域，公司服务的互联网电视家庭用户数持续增长，增值视频</w:t>
      </w:r>
      <w:r w:rsidR="00A52880">
        <w:rPr>
          <w:rFonts w:hint="eastAsia"/>
        </w:rPr>
        <w:t>分成和平台</w:t>
      </w:r>
      <w:r w:rsidR="00EC5391">
        <w:rPr>
          <w:rFonts w:hint="eastAsia"/>
        </w:rPr>
        <w:t>技术</w:t>
      </w:r>
      <w:r w:rsidR="00A52880">
        <w:rPr>
          <w:rFonts w:hint="eastAsia"/>
        </w:rPr>
        <w:t>服务业务规模快速增长。总体上，能源、广电、公共服务等B</w:t>
      </w:r>
      <w:proofErr w:type="gramStart"/>
      <w:r w:rsidR="00A52880">
        <w:rPr>
          <w:rFonts w:hint="eastAsia"/>
        </w:rPr>
        <w:t>端行业</w:t>
      </w:r>
      <w:proofErr w:type="gramEnd"/>
      <w:r w:rsidR="00A52880">
        <w:rPr>
          <w:rFonts w:hint="eastAsia"/>
        </w:rPr>
        <w:t>的数字化和C</w:t>
      </w:r>
      <w:proofErr w:type="gramStart"/>
      <w:r w:rsidR="00A52880">
        <w:rPr>
          <w:rFonts w:hint="eastAsia"/>
        </w:rPr>
        <w:t>端用户</w:t>
      </w:r>
      <w:proofErr w:type="gramEnd"/>
      <w:r w:rsidR="00A52880">
        <w:rPr>
          <w:rFonts w:hint="eastAsia"/>
        </w:rPr>
        <w:t>对数字生活服务不断改善的需求，将为公司未来业务的持续、快速发展创造广阔的空间。</w:t>
      </w:r>
    </w:p>
    <w:p w14:paraId="7F7FF059" w14:textId="263F957E" w:rsidR="004A41E9" w:rsidRPr="00CB3FBA" w:rsidRDefault="00961FEA" w:rsidP="00524D5A">
      <w:pPr>
        <w:pStyle w:val="1"/>
        <w:ind w:firstLineChars="0" w:firstLine="0"/>
      </w:pPr>
      <w:r>
        <w:rPr>
          <w:rFonts w:hint="eastAsia"/>
        </w:rPr>
        <w:t>二</w:t>
      </w:r>
      <w:r w:rsidR="0064774C">
        <w:rPr>
          <w:rFonts w:hint="eastAsia"/>
        </w:rPr>
        <w:t>、</w:t>
      </w:r>
      <w:r w:rsidR="006B47DF" w:rsidRPr="00CB3FBA">
        <w:rPr>
          <w:rFonts w:hint="eastAsia"/>
        </w:rPr>
        <w:t>问答环节</w:t>
      </w:r>
    </w:p>
    <w:p w14:paraId="2AFA57C7" w14:textId="3BB57DCF" w:rsidR="00E6645B" w:rsidRDefault="00E6645B" w:rsidP="00E6645B">
      <w:pPr>
        <w:pStyle w:val="2"/>
      </w:pPr>
      <w:r>
        <w:t>1、能源业务未来发展预期？</w:t>
      </w:r>
    </w:p>
    <w:p w14:paraId="61063AC4" w14:textId="77777777" w:rsidR="00E6645B" w:rsidRPr="00C047F1" w:rsidRDefault="00E6645B" w:rsidP="00E6645B">
      <w:pPr>
        <w:pStyle w:val="2"/>
        <w:rPr>
          <w:b w:val="0"/>
          <w:bCs w:val="0"/>
        </w:rPr>
      </w:pPr>
      <w:r w:rsidRPr="00C047F1">
        <w:rPr>
          <w:rFonts w:hint="eastAsia"/>
          <w:b w:val="0"/>
          <w:bCs w:val="0"/>
        </w:rPr>
        <w:t>答：</w:t>
      </w:r>
    </w:p>
    <w:p w14:paraId="1D9BA7EC" w14:textId="3CE50ED1" w:rsidR="00E6645B" w:rsidRPr="00C047F1" w:rsidRDefault="00E6645B" w:rsidP="0043288B">
      <w:pPr>
        <w:pStyle w:val="2"/>
        <w:ind w:firstLine="420"/>
        <w:rPr>
          <w:b w:val="0"/>
          <w:bCs w:val="0"/>
        </w:rPr>
      </w:pPr>
      <w:proofErr w:type="gramStart"/>
      <w:r w:rsidRPr="00C047F1">
        <w:rPr>
          <w:b w:val="0"/>
          <w:bCs w:val="0"/>
        </w:rPr>
        <w:t>随着电改的</w:t>
      </w:r>
      <w:proofErr w:type="gramEnd"/>
      <w:r w:rsidRPr="00C047F1">
        <w:rPr>
          <w:b w:val="0"/>
          <w:bCs w:val="0"/>
        </w:rPr>
        <w:t>持续推进、</w:t>
      </w:r>
      <w:r>
        <w:rPr>
          <w:rFonts w:hint="eastAsia"/>
          <w:b w:val="0"/>
          <w:bCs w:val="0"/>
        </w:rPr>
        <w:t>数字</w:t>
      </w:r>
      <w:r w:rsidRPr="00C047F1">
        <w:rPr>
          <w:b w:val="0"/>
          <w:bCs w:val="0"/>
        </w:rPr>
        <w:t>新基建的加速以及电网行业对于自身经营效益</w:t>
      </w:r>
      <w:r w:rsidR="00CB1B4C">
        <w:rPr>
          <w:rFonts w:hint="eastAsia"/>
          <w:b w:val="0"/>
          <w:bCs w:val="0"/>
        </w:rPr>
        <w:t>增长</w:t>
      </w:r>
      <w:r w:rsidRPr="00C047F1">
        <w:rPr>
          <w:b w:val="0"/>
          <w:bCs w:val="0"/>
        </w:rPr>
        <w:t>的</w:t>
      </w:r>
      <w:r w:rsidR="00CB1B4C">
        <w:rPr>
          <w:rFonts w:hint="eastAsia"/>
          <w:b w:val="0"/>
          <w:bCs w:val="0"/>
        </w:rPr>
        <w:t>重视</w:t>
      </w:r>
      <w:r w:rsidRPr="00C047F1">
        <w:rPr>
          <w:b w:val="0"/>
          <w:bCs w:val="0"/>
        </w:rPr>
        <w:t>，电力行业发展趋势转变为能源互联网和电力物联网，电网将在用户</w:t>
      </w:r>
      <w:proofErr w:type="gramStart"/>
      <w:r w:rsidRPr="00C047F1">
        <w:rPr>
          <w:b w:val="0"/>
          <w:bCs w:val="0"/>
        </w:rPr>
        <w:t>侧开展</w:t>
      </w:r>
      <w:proofErr w:type="gramEnd"/>
      <w:r w:rsidRPr="00C047F1">
        <w:rPr>
          <w:b w:val="0"/>
          <w:bCs w:val="0"/>
        </w:rPr>
        <w:t>更多</w:t>
      </w:r>
      <w:r>
        <w:rPr>
          <w:rFonts w:hint="eastAsia"/>
          <w:b w:val="0"/>
          <w:bCs w:val="0"/>
        </w:rPr>
        <w:t>数字化建设和运营的</w:t>
      </w:r>
      <w:r w:rsidRPr="00C047F1">
        <w:rPr>
          <w:b w:val="0"/>
          <w:bCs w:val="0"/>
        </w:rPr>
        <w:t>工作，加大投入。</w:t>
      </w:r>
      <w:r w:rsidR="0043288B" w:rsidRPr="0043288B">
        <w:rPr>
          <w:rFonts w:hint="eastAsia"/>
          <w:b w:val="0"/>
          <w:bCs w:val="0"/>
        </w:rPr>
        <w:t>朗</w:t>
      </w:r>
      <w:proofErr w:type="gramStart"/>
      <w:r w:rsidR="0043288B" w:rsidRPr="0043288B">
        <w:rPr>
          <w:rFonts w:hint="eastAsia"/>
          <w:b w:val="0"/>
          <w:bCs w:val="0"/>
        </w:rPr>
        <w:t>新长期</w:t>
      </w:r>
      <w:proofErr w:type="gramEnd"/>
      <w:r w:rsidR="0043288B" w:rsidRPr="0043288B">
        <w:rPr>
          <w:rFonts w:hint="eastAsia"/>
          <w:b w:val="0"/>
          <w:bCs w:val="0"/>
        </w:rPr>
        <w:t>从事的营销业务领域是电网企业面向电力用户开展用电服务、进行市场拓展和实现效益增长的核心业务</w:t>
      </w:r>
      <w:r w:rsidR="0043288B" w:rsidRPr="0043288B">
        <w:rPr>
          <w:rFonts w:hint="eastAsia"/>
          <w:b w:val="0"/>
          <w:bCs w:val="0"/>
        </w:rPr>
        <w:lastRenderedPageBreak/>
        <w:t>领域</w:t>
      </w:r>
      <w:r w:rsidR="004D669C"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</w:rPr>
        <w:t>因此，公司未来</w:t>
      </w:r>
      <w:r w:rsidRPr="00C047F1">
        <w:rPr>
          <w:b w:val="0"/>
          <w:bCs w:val="0"/>
        </w:rPr>
        <w:t>在</w:t>
      </w:r>
      <w:r>
        <w:rPr>
          <w:rFonts w:hint="eastAsia"/>
          <w:b w:val="0"/>
          <w:bCs w:val="0"/>
        </w:rPr>
        <w:t>电网</w:t>
      </w:r>
      <w:r w:rsidRPr="00C047F1">
        <w:rPr>
          <w:b w:val="0"/>
          <w:bCs w:val="0"/>
        </w:rPr>
        <w:t>营销</w:t>
      </w:r>
      <w:r>
        <w:rPr>
          <w:rFonts w:hint="eastAsia"/>
          <w:b w:val="0"/>
          <w:bCs w:val="0"/>
        </w:rPr>
        <w:t>业务</w:t>
      </w:r>
      <w:r w:rsidRPr="00C047F1">
        <w:rPr>
          <w:b w:val="0"/>
          <w:bCs w:val="0"/>
        </w:rPr>
        <w:t>、充电桩运营、综合能源服务等领域</w:t>
      </w:r>
      <w:r w:rsidR="002122D7">
        <w:rPr>
          <w:rFonts w:hint="eastAsia"/>
          <w:b w:val="0"/>
          <w:bCs w:val="0"/>
        </w:rPr>
        <w:t>有</w:t>
      </w:r>
      <w:r>
        <w:rPr>
          <w:rFonts w:hint="eastAsia"/>
          <w:b w:val="0"/>
          <w:bCs w:val="0"/>
        </w:rPr>
        <w:t>很</w:t>
      </w:r>
      <w:r w:rsidRPr="00C047F1">
        <w:rPr>
          <w:b w:val="0"/>
          <w:bCs w:val="0"/>
        </w:rPr>
        <w:t>大的市场</w:t>
      </w:r>
      <w:r w:rsidR="002122D7">
        <w:rPr>
          <w:rFonts w:hint="eastAsia"/>
          <w:b w:val="0"/>
          <w:bCs w:val="0"/>
        </w:rPr>
        <w:t>发展</w:t>
      </w:r>
      <w:r w:rsidRPr="00C047F1">
        <w:rPr>
          <w:b w:val="0"/>
          <w:bCs w:val="0"/>
        </w:rPr>
        <w:t>空间。</w:t>
      </w:r>
    </w:p>
    <w:p w14:paraId="05844EC5" w14:textId="79646697" w:rsidR="00110FAC" w:rsidRDefault="00E6645B" w:rsidP="00E6645B">
      <w:pPr>
        <w:pStyle w:val="2"/>
      </w:pPr>
      <w:r>
        <w:t>2</w:t>
      </w:r>
      <w:r w:rsidR="00110FAC">
        <w:rPr>
          <w:rFonts w:hint="eastAsia"/>
        </w:rPr>
        <w:t>、</w:t>
      </w:r>
      <w:r w:rsidR="006F67A8">
        <w:rPr>
          <w:rFonts w:hint="eastAsia"/>
        </w:rPr>
        <w:t>现阶段</w:t>
      </w:r>
      <w:r w:rsidR="00CF1777">
        <w:rPr>
          <w:rFonts w:hint="eastAsia"/>
        </w:rPr>
        <w:t>与蚂蚁集团合作的</w:t>
      </w:r>
      <w:r w:rsidR="006F67A8">
        <w:rPr>
          <w:rFonts w:hint="eastAsia"/>
        </w:rPr>
        <w:t>业务进展情况？</w:t>
      </w:r>
    </w:p>
    <w:p w14:paraId="6ED184F0" w14:textId="5A5671F7" w:rsidR="00CF1777" w:rsidRDefault="00110FAC" w:rsidP="006F67A8">
      <w:pPr>
        <w:ind w:firstLineChars="0" w:firstLine="0"/>
      </w:pPr>
      <w:r>
        <w:rPr>
          <w:rFonts w:hint="eastAsia"/>
        </w:rPr>
        <w:t>答：</w:t>
      </w:r>
    </w:p>
    <w:p w14:paraId="7BB0CB0C" w14:textId="7335DE2D" w:rsidR="008C263E" w:rsidRDefault="00CF18BA" w:rsidP="006F67A8">
      <w:pPr>
        <w:ind w:firstLineChars="0" w:firstLine="0"/>
      </w:pPr>
      <w:r>
        <w:tab/>
      </w:r>
      <w:r w:rsidR="008C263E">
        <w:rPr>
          <w:rFonts w:hint="eastAsia"/>
        </w:rPr>
        <w:t>目前，</w:t>
      </w:r>
      <w:r w:rsidR="00CB1B4C">
        <w:rPr>
          <w:rFonts w:hint="eastAsia"/>
        </w:rPr>
        <w:t>公司</w:t>
      </w:r>
      <w:r w:rsidR="008C263E">
        <w:rPr>
          <w:rFonts w:hint="eastAsia"/>
        </w:rPr>
        <w:t>与支付宝在数字生活服务领域的场景化支付</w:t>
      </w:r>
      <w:r w:rsidR="00CB1B4C">
        <w:rPr>
          <w:rFonts w:hint="eastAsia"/>
        </w:rPr>
        <w:t>、用户流量运营</w:t>
      </w:r>
      <w:r w:rsidR="00E6645B">
        <w:rPr>
          <w:rFonts w:hint="eastAsia"/>
        </w:rPr>
        <w:t>等领域</w:t>
      </w:r>
      <w:r w:rsidR="00CB1B4C">
        <w:rPr>
          <w:rFonts w:hint="eastAsia"/>
        </w:rPr>
        <w:t>的业务合作持续稳定发展。</w:t>
      </w:r>
      <w:r w:rsidR="008356D5" w:rsidRPr="008356D5">
        <w:t>C端流量入口是用户自然选择的结果，一旦形成，就会比较稳定。</w:t>
      </w:r>
    </w:p>
    <w:p w14:paraId="5C93F69C" w14:textId="3A764B6E" w:rsidR="006F67A8" w:rsidRDefault="00302135" w:rsidP="00E74BFD">
      <w:pPr>
        <w:ind w:firstLineChars="0" w:firstLine="420"/>
      </w:pPr>
      <w:r>
        <w:rPr>
          <w:rFonts w:hint="eastAsia"/>
        </w:rPr>
        <w:t>公共事业</w:t>
      </w:r>
      <w:r w:rsidR="00CF18BA">
        <w:rPr>
          <w:rFonts w:hint="eastAsia"/>
        </w:rPr>
        <w:t>生活缴费</w:t>
      </w:r>
      <w:r>
        <w:rPr>
          <w:rFonts w:hint="eastAsia"/>
        </w:rPr>
        <w:t>手续费分成</w:t>
      </w:r>
      <w:r w:rsidR="00CF18BA">
        <w:rPr>
          <w:rFonts w:hint="eastAsia"/>
        </w:rPr>
        <w:t>业务保持稳定增长，一方面我们在B</w:t>
      </w:r>
      <w:proofErr w:type="gramStart"/>
      <w:r w:rsidR="00CF18BA">
        <w:rPr>
          <w:rFonts w:hint="eastAsia"/>
        </w:rPr>
        <w:t>端不断</w:t>
      </w:r>
      <w:proofErr w:type="gramEnd"/>
      <w:r w:rsidR="00CF18BA">
        <w:rPr>
          <w:rFonts w:hint="eastAsia"/>
        </w:rPr>
        <w:t>拓展连接机构，</w:t>
      </w:r>
      <w:r>
        <w:rPr>
          <w:rFonts w:hint="eastAsia"/>
        </w:rPr>
        <w:t>拓宽覆盖人群；</w:t>
      </w:r>
      <w:r w:rsidR="00CF18BA">
        <w:rPr>
          <w:rFonts w:hint="eastAsia"/>
        </w:rPr>
        <w:t>另一方面在C端通过</w:t>
      </w:r>
      <w:r>
        <w:rPr>
          <w:rFonts w:hint="eastAsia"/>
        </w:rPr>
        <w:t>多场景联合</w:t>
      </w:r>
      <w:r w:rsidR="00CF18BA">
        <w:rPr>
          <w:rFonts w:hint="eastAsia"/>
        </w:rPr>
        <w:t>运营，促进用户活跃度，提高缴费频次</w:t>
      </w:r>
      <w:r>
        <w:rPr>
          <w:rFonts w:hint="eastAsia"/>
        </w:rPr>
        <w:t>。流量变现模式的互联网运营业务保持较快增速，</w:t>
      </w:r>
      <w:r w:rsidRPr="00302135">
        <w:rPr>
          <w:rFonts w:hint="eastAsia"/>
        </w:rPr>
        <w:t>一类是针对品牌商家，基于生活缴费平台上的用户流量，结合用户画像，基于对用户的洞察，我们会向品牌商家提供广告分发、发券导流的流量运营</w:t>
      </w:r>
      <w:r>
        <w:rPr>
          <w:rFonts w:hint="eastAsia"/>
        </w:rPr>
        <w:t>；</w:t>
      </w:r>
      <w:r w:rsidRPr="00302135">
        <w:rPr>
          <w:rFonts w:hint="eastAsia"/>
        </w:rPr>
        <w:t>另一类是针对公共服务机构，例如电力公司有引导用户缴费行为</w:t>
      </w:r>
      <w:r w:rsidR="00A52880">
        <w:rPr>
          <w:rFonts w:hint="eastAsia"/>
        </w:rPr>
        <w:t>（如预存缴费）等数字化营销</w:t>
      </w:r>
      <w:r w:rsidRPr="00302135">
        <w:rPr>
          <w:rFonts w:hint="eastAsia"/>
        </w:rPr>
        <w:t>的诉求，我们会</w:t>
      </w:r>
      <w:r w:rsidR="008C263E">
        <w:rPr>
          <w:rFonts w:hint="eastAsia"/>
        </w:rPr>
        <w:t>针对电力客户的业务考核指标</w:t>
      </w:r>
      <w:r w:rsidRPr="00302135">
        <w:rPr>
          <w:rFonts w:hint="eastAsia"/>
        </w:rPr>
        <w:t>开展</w:t>
      </w:r>
      <w:r w:rsidR="008C263E">
        <w:rPr>
          <w:rFonts w:hint="eastAsia"/>
        </w:rPr>
        <w:t>持续的互联网</w:t>
      </w:r>
      <w:r w:rsidRPr="00302135">
        <w:rPr>
          <w:rFonts w:hint="eastAsia"/>
        </w:rPr>
        <w:t>运营</w:t>
      </w:r>
      <w:r w:rsidR="008C263E">
        <w:rPr>
          <w:rFonts w:hint="eastAsia"/>
        </w:rPr>
        <w:t>服务</w:t>
      </w:r>
      <w:r>
        <w:rPr>
          <w:rFonts w:hint="eastAsia"/>
        </w:rPr>
        <w:t>。</w:t>
      </w:r>
      <w:r w:rsidR="00CF1777" w:rsidRPr="000D4962">
        <w:rPr>
          <w:rFonts w:hint="eastAsia"/>
        </w:rPr>
        <w:t>除</w:t>
      </w:r>
      <w:r w:rsidR="00E74BFD">
        <w:rPr>
          <w:rFonts w:hint="eastAsia"/>
        </w:rPr>
        <w:t>此</w:t>
      </w:r>
      <w:r w:rsidR="00CF1777" w:rsidRPr="000D4962">
        <w:rPr>
          <w:rFonts w:hint="eastAsia"/>
        </w:rPr>
        <w:t>以外，</w:t>
      </w:r>
      <w:r w:rsidR="00E74BFD">
        <w:rPr>
          <w:rFonts w:hint="eastAsia"/>
        </w:rPr>
        <w:t>我们</w:t>
      </w:r>
      <w:r w:rsidR="00CF1777" w:rsidRPr="000D4962">
        <w:rPr>
          <w:rFonts w:hint="eastAsia"/>
        </w:rPr>
        <w:t>还在</w:t>
      </w:r>
      <w:r w:rsidR="00E74BFD">
        <w:rPr>
          <w:rFonts w:hint="eastAsia"/>
        </w:rPr>
        <w:t>充电、停车等</w:t>
      </w:r>
      <w:r w:rsidR="00CF1777" w:rsidRPr="000D4962">
        <w:rPr>
          <w:rFonts w:hint="eastAsia"/>
        </w:rPr>
        <w:t>车主服务服务领域开展合作，这些领域在未来</w:t>
      </w:r>
      <w:r w:rsidR="00E74BFD">
        <w:rPr>
          <w:rFonts w:hint="eastAsia"/>
        </w:rPr>
        <w:t>数字化和线上</w:t>
      </w:r>
      <w:r w:rsidR="00CF1777" w:rsidRPr="000D4962">
        <w:rPr>
          <w:rFonts w:hint="eastAsia"/>
        </w:rPr>
        <w:t>运营</w:t>
      </w:r>
      <w:r w:rsidR="00E74BFD">
        <w:rPr>
          <w:rFonts w:hint="eastAsia"/>
        </w:rPr>
        <w:t>服务</w:t>
      </w:r>
      <w:r w:rsidR="00CF1777" w:rsidRPr="000D4962">
        <w:rPr>
          <w:rFonts w:hint="eastAsia"/>
        </w:rPr>
        <w:t>方面</w:t>
      </w:r>
      <w:r w:rsidR="00CF1777">
        <w:rPr>
          <w:rFonts w:hint="eastAsia"/>
        </w:rPr>
        <w:t>均</w:t>
      </w:r>
      <w:r w:rsidR="00CF1777" w:rsidRPr="000D4962">
        <w:rPr>
          <w:rFonts w:hint="eastAsia"/>
        </w:rPr>
        <w:t>有很大的增长空间。</w:t>
      </w:r>
    </w:p>
    <w:p w14:paraId="120ED54C" w14:textId="4445AAB9" w:rsidR="00524D5A" w:rsidRDefault="00E74BFD" w:rsidP="00524D5A">
      <w:pPr>
        <w:pStyle w:val="2"/>
      </w:pPr>
      <w:r>
        <w:t>3</w:t>
      </w:r>
      <w:r w:rsidR="00524D5A">
        <w:rPr>
          <w:rFonts w:hint="eastAsia"/>
        </w:rPr>
        <w:t>、</w:t>
      </w:r>
      <w:r w:rsidR="006C729C">
        <w:rPr>
          <w:rFonts w:hint="eastAsia"/>
        </w:rPr>
        <w:t>车主服务领域</w:t>
      </w:r>
      <w:r w:rsidR="00994FD1">
        <w:rPr>
          <w:rFonts w:hint="eastAsia"/>
        </w:rPr>
        <w:t>的</w:t>
      </w:r>
      <w:r w:rsidR="00227911">
        <w:rPr>
          <w:rFonts w:hint="eastAsia"/>
        </w:rPr>
        <w:t>发展规划及收费模式</w:t>
      </w:r>
      <w:r w:rsidR="00994FD1">
        <w:rPr>
          <w:rFonts w:hint="eastAsia"/>
        </w:rPr>
        <w:t>？</w:t>
      </w:r>
    </w:p>
    <w:p w14:paraId="0A3E40C4" w14:textId="20E68AA5" w:rsidR="00C50C17" w:rsidRDefault="00962BAC" w:rsidP="00962BAC">
      <w:pPr>
        <w:ind w:firstLineChars="0" w:firstLine="0"/>
      </w:pPr>
      <w:r>
        <w:rPr>
          <w:rFonts w:hint="eastAsia"/>
        </w:rPr>
        <w:t>答：</w:t>
      </w:r>
    </w:p>
    <w:p w14:paraId="3536E3F6" w14:textId="631D0B2A" w:rsidR="00227911" w:rsidRDefault="00962BAC" w:rsidP="00962BAC">
      <w:pPr>
        <w:ind w:firstLineChars="0" w:firstLine="0"/>
      </w:pPr>
      <w:r>
        <w:tab/>
      </w:r>
      <w:r w:rsidR="00227911" w:rsidRPr="00227911">
        <w:rPr>
          <w:rFonts w:hint="eastAsia"/>
        </w:rPr>
        <w:t>一方面，我们共建行业开放平台，实现面向行业的</w:t>
      </w:r>
      <w:r w:rsidR="00227911" w:rsidRPr="00227911">
        <w:t>C端运营能力开放，实现持续性的运营</w:t>
      </w:r>
      <w:r w:rsidR="006C729C">
        <w:rPr>
          <w:rFonts w:hint="eastAsia"/>
        </w:rPr>
        <w:t>分成</w:t>
      </w:r>
      <w:r w:rsidR="00227911" w:rsidRPr="00227911">
        <w:t>收入；另一方面，</w:t>
      </w:r>
      <w:r w:rsidR="00E74BFD">
        <w:rPr>
          <w:rFonts w:hint="eastAsia"/>
        </w:rPr>
        <w:t>公司</w:t>
      </w:r>
      <w:r w:rsidR="00227911" w:rsidRPr="00227911">
        <w:t>也通过解决方案或</w:t>
      </w:r>
      <w:proofErr w:type="spellStart"/>
      <w:r w:rsidR="00227911" w:rsidRPr="00227911">
        <w:t>SaaS</w:t>
      </w:r>
      <w:proofErr w:type="spellEnd"/>
      <w:r w:rsidR="00227911" w:rsidRPr="00227911">
        <w:t>赋能B端机构，帮助B</w:t>
      </w:r>
      <w:proofErr w:type="gramStart"/>
      <w:r w:rsidR="00227911" w:rsidRPr="00227911">
        <w:t>端机构</w:t>
      </w:r>
      <w:proofErr w:type="gramEnd"/>
      <w:r w:rsidR="00E74BFD">
        <w:rPr>
          <w:rFonts w:hint="eastAsia"/>
        </w:rPr>
        <w:t>实现数字化升级，以便</w:t>
      </w:r>
      <w:r w:rsidR="00227911" w:rsidRPr="00227911">
        <w:t>更快更好地利用C端</w:t>
      </w:r>
      <w:r w:rsidR="00E74BFD">
        <w:rPr>
          <w:rFonts w:hint="eastAsia"/>
        </w:rPr>
        <w:t>入口的</w:t>
      </w:r>
      <w:r w:rsidR="00227911" w:rsidRPr="00227911">
        <w:t>行业开放平台的运营能力，过程中会实现软件服务收入。</w:t>
      </w:r>
    </w:p>
    <w:p w14:paraId="699A43CF" w14:textId="6C42254B" w:rsidR="006F67A8" w:rsidRDefault="00E74BFD" w:rsidP="006F67A8">
      <w:pPr>
        <w:pStyle w:val="2"/>
      </w:pPr>
      <w:r>
        <w:t>4</w:t>
      </w:r>
      <w:r w:rsidR="006F67A8" w:rsidRPr="0064774C">
        <w:t>、</w:t>
      </w:r>
      <w:r w:rsidR="006F67A8">
        <w:rPr>
          <w:rFonts w:hint="eastAsia"/>
        </w:rPr>
        <w:t>充电业务的进展情况</w:t>
      </w:r>
      <w:r w:rsidR="006F67A8" w:rsidRPr="0064774C">
        <w:rPr>
          <w:rFonts w:hint="eastAsia"/>
        </w:rPr>
        <w:t>？</w:t>
      </w:r>
    </w:p>
    <w:p w14:paraId="7F1C1B01" w14:textId="714329DC" w:rsidR="006F67A8" w:rsidRDefault="006F67A8" w:rsidP="006F67A8">
      <w:pPr>
        <w:ind w:firstLineChars="0" w:firstLine="0"/>
      </w:pPr>
      <w:r>
        <w:rPr>
          <w:rFonts w:hint="eastAsia"/>
        </w:rPr>
        <w:t>答：</w:t>
      </w:r>
    </w:p>
    <w:p w14:paraId="38A9DB7A" w14:textId="181A4ACD" w:rsidR="006F67A8" w:rsidRPr="006F67A8" w:rsidRDefault="006F67A8" w:rsidP="006F67A8">
      <w:pPr>
        <w:ind w:firstLineChars="0" w:firstLine="0"/>
      </w:pPr>
      <w:r>
        <w:tab/>
      </w:r>
      <w:r w:rsidR="00E74BFD">
        <w:rPr>
          <w:rFonts w:hint="eastAsia"/>
        </w:rPr>
        <w:t>同样，在</w:t>
      </w:r>
      <w:r w:rsidRPr="006F67A8">
        <w:rPr>
          <w:rFonts w:hint="eastAsia"/>
        </w:rPr>
        <w:t>充电服务</w:t>
      </w:r>
      <w:r w:rsidR="00E74BFD">
        <w:rPr>
          <w:rFonts w:hint="eastAsia"/>
        </w:rPr>
        <w:t>领域</w:t>
      </w:r>
      <w:r w:rsidRPr="006F67A8">
        <w:rPr>
          <w:rFonts w:hint="eastAsia"/>
        </w:rPr>
        <w:t>，一方面，我们和蚂蚁充电、高德地图合作，共建开放平台，</w:t>
      </w:r>
      <w:r w:rsidR="00E74BFD">
        <w:rPr>
          <w:rFonts w:hint="eastAsia"/>
        </w:rPr>
        <w:t>实现C</w:t>
      </w:r>
      <w:proofErr w:type="gramStart"/>
      <w:r w:rsidR="00E74BFD">
        <w:rPr>
          <w:rFonts w:hint="eastAsia"/>
        </w:rPr>
        <w:t>端用户</w:t>
      </w:r>
      <w:proofErr w:type="gramEnd"/>
      <w:r w:rsidR="00E74BFD">
        <w:rPr>
          <w:rFonts w:hint="eastAsia"/>
        </w:rPr>
        <w:t>引流</w:t>
      </w:r>
      <w:r w:rsidRPr="006F67A8">
        <w:rPr>
          <w:rFonts w:hint="eastAsia"/>
        </w:rPr>
        <w:t>；另一方面</w:t>
      </w:r>
      <w:r w:rsidR="00E74BFD">
        <w:rPr>
          <w:rFonts w:hint="eastAsia"/>
        </w:rPr>
        <w:t>，公司</w:t>
      </w:r>
      <w:r w:rsidRPr="006F67A8">
        <w:rPr>
          <w:rFonts w:hint="eastAsia"/>
        </w:rPr>
        <w:t>与充电运营商合作，为其提供</w:t>
      </w:r>
      <w:r w:rsidR="00E74BFD">
        <w:rPr>
          <w:rFonts w:hint="eastAsia"/>
        </w:rPr>
        <w:t>数</w:t>
      </w:r>
      <w:r w:rsidR="00E74BFD">
        <w:rPr>
          <w:rFonts w:hint="eastAsia"/>
        </w:rPr>
        <w:lastRenderedPageBreak/>
        <w:t>字化平台和C</w:t>
      </w:r>
      <w:proofErr w:type="gramStart"/>
      <w:r w:rsidR="00E74BFD">
        <w:rPr>
          <w:rFonts w:hint="eastAsia"/>
        </w:rPr>
        <w:t>端用户</w:t>
      </w:r>
      <w:proofErr w:type="gramEnd"/>
      <w:r>
        <w:rPr>
          <w:rFonts w:hint="eastAsia"/>
        </w:rPr>
        <w:t>运营</w:t>
      </w:r>
      <w:r w:rsidRPr="006F67A8">
        <w:rPr>
          <w:rFonts w:hint="eastAsia"/>
        </w:rPr>
        <w:t>服务，进而参与</w:t>
      </w:r>
      <w:r w:rsidR="00E74BFD">
        <w:rPr>
          <w:rFonts w:hint="eastAsia"/>
        </w:rPr>
        <w:t>充电服务费</w:t>
      </w:r>
      <w:r w:rsidRPr="006F67A8">
        <w:rPr>
          <w:rFonts w:hint="eastAsia"/>
        </w:rPr>
        <w:t>分成。</w:t>
      </w:r>
      <w:r>
        <w:rPr>
          <w:rFonts w:hint="eastAsia"/>
        </w:rPr>
        <w:t>目前</w:t>
      </w:r>
      <w:r w:rsidR="00E74BFD">
        <w:rPr>
          <w:rFonts w:hint="eastAsia"/>
        </w:rPr>
        <w:t>，</w:t>
      </w:r>
      <w:r>
        <w:rPr>
          <w:rFonts w:hint="eastAsia"/>
        </w:rPr>
        <w:t>朗新科技旗下聚合充电平台“新电途”已经连接超过1</w:t>
      </w:r>
      <w:r>
        <w:t>0</w:t>
      </w:r>
      <w:r>
        <w:rPr>
          <w:rFonts w:hint="eastAsia"/>
        </w:rPr>
        <w:t>万充电桩，</w:t>
      </w:r>
      <w:r w:rsidRPr="006F67A8">
        <w:rPr>
          <w:rFonts w:hint="eastAsia"/>
        </w:rPr>
        <w:t>充电</w:t>
      </w:r>
      <w:proofErr w:type="gramStart"/>
      <w:r w:rsidRPr="006F67A8">
        <w:rPr>
          <w:rFonts w:hint="eastAsia"/>
        </w:rPr>
        <w:t>桩服务</w:t>
      </w:r>
      <w:proofErr w:type="gramEnd"/>
      <w:r w:rsidRPr="006F67A8">
        <w:rPr>
          <w:rFonts w:hint="eastAsia"/>
        </w:rPr>
        <w:t>随着电动汽车保有量的</w:t>
      </w:r>
      <w:r w:rsidR="00E74BFD">
        <w:rPr>
          <w:rFonts w:hint="eastAsia"/>
        </w:rPr>
        <w:t>迅速</w:t>
      </w:r>
      <w:r w:rsidRPr="006F67A8">
        <w:rPr>
          <w:rFonts w:hint="eastAsia"/>
        </w:rPr>
        <w:t>提升而不断增加，充电服务业务规模</w:t>
      </w:r>
      <w:r w:rsidR="00E74BFD">
        <w:rPr>
          <w:rFonts w:hint="eastAsia"/>
        </w:rPr>
        <w:t>正在快速</w:t>
      </w:r>
      <w:r w:rsidRPr="006F67A8">
        <w:rPr>
          <w:rFonts w:hint="eastAsia"/>
        </w:rPr>
        <w:t>增长</w:t>
      </w:r>
      <w:r w:rsidR="00F02518">
        <w:rPr>
          <w:rFonts w:hint="eastAsia"/>
        </w:rPr>
        <w:t>，近期充电业务量月度环比增长超过2</w:t>
      </w:r>
      <w:r w:rsidR="00F02518">
        <w:t>0</w:t>
      </w:r>
      <w:r w:rsidR="00F02518">
        <w:rPr>
          <w:rFonts w:hint="eastAsia"/>
        </w:rPr>
        <w:t>%</w:t>
      </w:r>
      <w:r w:rsidRPr="006F67A8">
        <w:rPr>
          <w:rFonts w:hint="eastAsia"/>
        </w:rPr>
        <w:t>。</w:t>
      </w:r>
    </w:p>
    <w:p w14:paraId="79DE7B1E" w14:textId="43B463AD" w:rsidR="00524D5A" w:rsidRPr="0064774C" w:rsidRDefault="007D258A" w:rsidP="00524D5A">
      <w:pPr>
        <w:pStyle w:val="2"/>
      </w:pPr>
      <w:r>
        <w:t>5</w:t>
      </w:r>
      <w:r w:rsidR="00524D5A" w:rsidRPr="0064774C">
        <w:t>、</w:t>
      </w:r>
      <w:r w:rsidR="00227911">
        <w:rPr>
          <w:rFonts w:hint="eastAsia"/>
        </w:rPr>
        <w:t>停车业务的进展情况</w:t>
      </w:r>
      <w:r w:rsidR="00524D5A" w:rsidRPr="0064774C">
        <w:rPr>
          <w:rFonts w:hint="eastAsia"/>
        </w:rPr>
        <w:t>？</w:t>
      </w:r>
    </w:p>
    <w:p w14:paraId="67263285" w14:textId="77777777" w:rsidR="00524D5A" w:rsidRDefault="00524D5A" w:rsidP="00524D5A">
      <w:pPr>
        <w:ind w:firstLineChars="0" w:firstLine="0"/>
      </w:pPr>
      <w:r>
        <w:rPr>
          <w:rFonts w:hint="eastAsia"/>
        </w:rPr>
        <w:t>答：</w:t>
      </w:r>
    </w:p>
    <w:p w14:paraId="62A89EBC" w14:textId="4A5DEAC6" w:rsidR="00524D5A" w:rsidRPr="00524D5A" w:rsidRDefault="00524D5A" w:rsidP="00524D5A">
      <w:pPr>
        <w:ind w:firstLineChars="0" w:firstLine="0"/>
      </w:pPr>
      <w:r>
        <w:tab/>
      </w:r>
      <w:r w:rsidR="007D258A">
        <w:rPr>
          <w:rFonts w:hint="eastAsia"/>
        </w:rPr>
        <w:t>在</w:t>
      </w:r>
      <w:r w:rsidR="00AD4FFB">
        <w:rPr>
          <w:rFonts w:hint="eastAsia"/>
        </w:rPr>
        <w:t>智慧停车业务</w:t>
      </w:r>
      <w:r w:rsidR="007D258A">
        <w:rPr>
          <w:rFonts w:hint="eastAsia"/>
        </w:rPr>
        <w:t>领域</w:t>
      </w:r>
      <w:r w:rsidR="006C729C">
        <w:rPr>
          <w:rFonts w:hint="eastAsia"/>
        </w:rPr>
        <w:t>，</w:t>
      </w:r>
      <w:r w:rsidR="007D258A">
        <w:rPr>
          <w:rFonts w:hint="eastAsia"/>
        </w:rPr>
        <w:t>公司一方面</w:t>
      </w:r>
      <w:r w:rsidR="006C729C" w:rsidRPr="006C729C">
        <w:rPr>
          <w:rFonts w:hint="eastAsia"/>
        </w:rPr>
        <w:t>和物业集团</w:t>
      </w:r>
      <w:r w:rsidR="007D258A">
        <w:rPr>
          <w:rFonts w:hint="eastAsia"/>
        </w:rPr>
        <w:t>开展</w:t>
      </w:r>
      <w:r w:rsidR="006C729C" w:rsidRPr="006C729C">
        <w:rPr>
          <w:rFonts w:hint="eastAsia"/>
        </w:rPr>
        <w:t>合作，</w:t>
      </w:r>
      <w:r w:rsidR="007D258A">
        <w:rPr>
          <w:rFonts w:hint="eastAsia"/>
        </w:rPr>
        <w:t>目前已签约十几家头部物业集团客户，</w:t>
      </w:r>
      <w:r w:rsidR="006C729C" w:rsidRPr="006C729C">
        <w:rPr>
          <w:rFonts w:hint="eastAsia"/>
        </w:rPr>
        <w:t>覆盖约</w:t>
      </w:r>
      <w:r w:rsidR="006C729C" w:rsidRPr="006C729C">
        <w:t>5000个停车场，</w:t>
      </w:r>
      <w:r w:rsidR="007D258A">
        <w:rPr>
          <w:rFonts w:hint="eastAsia"/>
        </w:rPr>
        <w:t>现阶段主要是通过软件平台产品和</w:t>
      </w:r>
      <w:proofErr w:type="spellStart"/>
      <w:r w:rsidR="006C729C" w:rsidRPr="006C729C">
        <w:t>SaaS</w:t>
      </w:r>
      <w:proofErr w:type="spellEnd"/>
      <w:r w:rsidR="007D258A">
        <w:rPr>
          <w:rFonts w:hint="eastAsia"/>
        </w:rPr>
        <w:t>服务帮助客户完成停车场的数字化改造</w:t>
      </w:r>
      <w:r w:rsidR="006C729C" w:rsidRPr="006C729C">
        <w:t>，</w:t>
      </w:r>
      <w:r w:rsidR="00302135">
        <w:rPr>
          <w:rFonts w:hint="eastAsia"/>
        </w:rPr>
        <w:t>未来会</w:t>
      </w:r>
      <w:r w:rsidR="007D258A">
        <w:rPr>
          <w:rFonts w:hint="eastAsia"/>
        </w:rPr>
        <w:t>进一步帮助客户做数字化</w:t>
      </w:r>
      <w:r w:rsidR="00302135">
        <w:rPr>
          <w:rFonts w:hint="eastAsia"/>
        </w:rPr>
        <w:t>运营</w:t>
      </w:r>
      <w:r w:rsidR="007D258A">
        <w:rPr>
          <w:rFonts w:hint="eastAsia"/>
        </w:rPr>
        <w:t>并进行业务</w:t>
      </w:r>
      <w:r w:rsidR="00302135">
        <w:rPr>
          <w:rFonts w:hint="eastAsia"/>
        </w:rPr>
        <w:t>分成</w:t>
      </w:r>
      <w:r w:rsidR="006C729C">
        <w:rPr>
          <w:rFonts w:hint="eastAsia"/>
        </w:rPr>
        <w:t>；同时</w:t>
      </w:r>
      <w:r w:rsidR="007D258A">
        <w:rPr>
          <w:rFonts w:hint="eastAsia"/>
        </w:rPr>
        <w:t>，公司</w:t>
      </w:r>
      <w:r w:rsidR="006C729C">
        <w:rPr>
          <w:rFonts w:hint="eastAsia"/>
        </w:rPr>
        <w:t>也</w:t>
      </w:r>
      <w:r w:rsidR="007D258A">
        <w:rPr>
          <w:rFonts w:hint="eastAsia"/>
        </w:rPr>
        <w:t>在</w:t>
      </w:r>
      <w:r w:rsidR="006C729C">
        <w:rPr>
          <w:rFonts w:hint="eastAsia"/>
        </w:rPr>
        <w:t>G</w:t>
      </w:r>
      <w:proofErr w:type="gramStart"/>
      <w:r w:rsidR="006C729C">
        <w:rPr>
          <w:rFonts w:hint="eastAsia"/>
        </w:rPr>
        <w:t>端积极</w:t>
      </w:r>
      <w:proofErr w:type="gramEnd"/>
      <w:r w:rsidR="006C729C">
        <w:rPr>
          <w:rFonts w:hint="eastAsia"/>
        </w:rPr>
        <w:t>拓展城市级停车平台的建设</w:t>
      </w:r>
      <w:r w:rsidR="007D258A">
        <w:rPr>
          <w:rFonts w:hint="eastAsia"/>
        </w:rPr>
        <w:t>和运营，目前已在</w:t>
      </w:r>
      <w:r w:rsidR="0043288B">
        <w:rPr>
          <w:rFonts w:hint="eastAsia"/>
        </w:rPr>
        <w:t>云南曲靖</w:t>
      </w:r>
      <w:r w:rsidR="007D258A" w:rsidRPr="0043288B">
        <w:rPr>
          <w:rFonts w:hint="eastAsia"/>
        </w:rPr>
        <w:t>、</w:t>
      </w:r>
      <w:r w:rsidR="0043288B">
        <w:rPr>
          <w:rFonts w:hint="eastAsia"/>
        </w:rPr>
        <w:t>山东滕州</w:t>
      </w:r>
      <w:r w:rsidR="007D258A">
        <w:rPr>
          <w:rFonts w:hint="eastAsia"/>
        </w:rPr>
        <w:t>等实现业务落地</w:t>
      </w:r>
      <w:r w:rsidR="006C729C">
        <w:rPr>
          <w:rFonts w:hint="eastAsia"/>
        </w:rPr>
        <w:t>。</w:t>
      </w:r>
    </w:p>
    <w:p w14:paraId="7B6A4126" w14:textId="5EBF4962" w:rsidR="002E0FD0" w:rsidRDefault="00944FF3" w:rsidP="002E0FD0">
      <w:pPr>
        <w:pStyle w:val="2"/>
      </w:pPr>
      <w:r>
        <w:t>6</w:t>
      </w:r>
      <w:r w:rsidR="002E0FD0" w:rsidRPr="00DB1F4B">
        <w:t>、</w:t>
      </w:r>
      <w:r w:rsidR="00227911">
        <w:rPr>
          <w:rFonts w:hint="eastAsia"/>
        </w:rPr>
        <w:t>互联网电视业务未来增速如何</w:t>
      </w:r>
      <w:r w:rsidR="002E0FD0" w:rsidRPr="00DB1F4B">
        <w:rPr>
          <w:rFonts w:hint="eastAsia"/>
        </w:rPr>
        <w:t>？</w:t>
      </w:r>
    </w:p>
    <w:p w14:paraId="03D41D07" w14:textId="3DD476BC" w:rsidR="002E0FD0" w:rsidRDefault="002E0FD0" w:rsidP="002E0FD0">
      <w:pPr>
        <w:ind w:firstLineChars="0" w:firstLine="0"/>
      </w:pPr>
      <w:r>
        <w:rPr>
          <w:rFonts w:hint="eastAsia"/>
        </w:rPr>
        <w:t>答：</w:t>
      </w:r>
    </w:p>
    <w:p w14:paraId="1ADBDF91" w14:textId="0EE38495" w:rsidR="006C729C" w:rsidRDefault="006C729C" w:rsidP="002E0FD0">
      <w:pPr>
        <w:ind w:firstLineChars="0" w:firstLine="0"/>
      </w:pPr>
      <w:r>
        <w:tab/>
      </w:r>
      <w:r w:rsidR="007D258A">
        <w:rPr>
          <w:rFonts w:hint="eastAsia"/>
        </w:rPr>
        <w:t>过去一年，公司服务的</w:t>
      </w:r>
      <w:r w:rsidRPr="006C729C">
        <w:rPr>
          <w:rFonts w:hint="eastAsia"/>
        </w:rPr>
        <w:t>互联网电视</w:t>
      </w:r>
      <w:r w:rsidR="007D258A">
        <w:rPr>
          <w:rFonts w:hint="eastAsia"/>
        </w:rPr>
        <w:t>家庭用户数持续增长，</w:t>
      </w:r>
      <w:r w:rsidR="00EC5391">
        <w:rPr>
          <w:rFonts w:hint="eastAsia"/>
        </w:rPr>
        <w:t>目前在</w:t>
      </w:r>
      <w:proofErr w:type="gramStart"/>
      <w:r w:rsidR="00EC5391">
        <w:rPr>
          <w:rFonts w:hint="eastAsia"/>
        </w:rPr>
        <w:t>网家庭</w:t>
      </w:r>
      <w:proofErr w:type="gramEnd"/>
      <w:r w:rsidR="00EC5391">
        <w:rPr>
          <w:rFonts w:hint="eastAsia"/>
        </w:rPr>
        <w:t>用户数已超过5</w:t>
      </w:r>
      <w:r w:rsidR="00EC5391">
        <w:t>600</w:t>
      </w:r>
      <w:r w:rsidR="00EC5391">
        <w:rPr>
          <w:rFonts w:hint="eastAsia"/>
        </w:rPr>
        <w:t>万，</w:t>
      </w:r>
      <w:r w:rsidRPr="006C729C">
        <w:rPr>
          <w:rFonts w:hint="eastAsia"/>
        </w:rPr>
        <w:t>除</w:t>
      </w:r>
      <w:r w:rsidR="007D258A">
        <w:rPr>
          <w:rFonts w:hint="eastAsia"/>
        </w:rPr>
        <w:t>平台运营用户</w:t>
      </w:r>
      <w:r w:rsidRPr="006C729C">
        <w:rPr>
          <w:rFonts w:hint="eastAsia"/>
        </w:rPr>
        <w:t>基础服务分成外，增值</w:t>
      </w:r>
      <w:r w:rsidR="007D258A">
        <w:rPr>
          <w:rFonts w:hint="eastAsia"/>
        </w:rPr>
        <w:t>视频服务分成和平台</w:t>
      </w:r>
      <w:r w:rsidR="00EC5391">
        <w:rPr>
          <w:rFonts w:hint="eastAsia"/>
        </w:rPr>
        <w:t>技术</w:t>
      </w:r>
      <w:r w:rsidR="007D258A">
        <w:rPr>
          <w:rFonts w:hint="eastAsia"/>
        </w:rPr>
        <w:t>服务业务规模也实现快速增长</w:t>
      </w:r>
      <w:r w:rsidR="00EC5391">
        <w:rPr>
          <w:rFonts w:hint="eastAsia"/>
        </w:rPr>
        <w:t>。另外，在进一步拓展用户服务规模和增值视频业务的同时，公司正在积极探索</w:t>
      </w:r>
      <w:r w:rsidRPr="006C729C">
        <w:rPr>
          <w:rFonts w:hint="eastAsia"/>
        </w:rPr>
        <w:t>教育、</w:t>
      </w:r>
      <w:proofErr w:type="gramStart"/>
      <w:r w:rsidRPr="006C729C">
        <w:rPr>
          <w:rFonts w:hint="eastAsia"/>
        </w:rPr>
        <w:t>医</w:t>
      </w:r>
      <w:proofErr w:type="gramEnd"/>
      <w:r w:rsidRPr="006C729C">
        <w:rPr>
          <w:rFonts w:hint="eastAsia"/>
        </w:rPr>
        <w:t>养、云游戏等增值</w:t>
      </w:r>
      <w:r w:rsidR="00EC5391">
        <w:rPr>
          <w:rFonts w:hint="eastAsia"/>
        </w:rPr>
        <w:t>服务</w:t>
      </w:r>
      <w:r w:rsidRPr="006C729C">
        <w:rPr>
          <w:rFonts w:hint="eastAsia"/>
        </w:rPr>
        <w:t>内容，</w:t>
      </w:r>
      <w:r w:rsidR="00EC5391">
        <w:rPr>
          <w:rFonts w:hint="eastAsia"/>
        </w:rPr>
        <w:t>未来具备广阔的增长空间</w:t>
      </w:r>
      <w:r w:rsidRPr="006C729C">
        <w:rPr>
          <w:rFonts w:hint="eastAsia"/>
        </w:rPr>
        <w:t>。</w:t>
      </w:r>
    </w:p>
    <w:sectPr w:rsidR="006C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156D4" w14:textId="77777777" w:rsidR="009C6131" w:rsidRDefault="009C6131" w:rsidP="0064774C">
      <w:r>
        <w:separator/>
      </w:r>
    </w:p>
  </w:endnote>
  <w:endnote w:type="continuationSeparator" w:id="0">
    <w:p w14:paraId="64CD913E" w14:textId="77777777" w:rsidR="009C6131" w:rsidRDefault="009C6131" w:rsidP="0064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 Ligh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52D3F" w14:textId="77777777" w:rsidR="0099726C" w:rsidRDefault="0099726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DA511" w14:textId="77777777" w:rsidR="0099726C" w:rsidRDefault="0099726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8BECA" w14:textId="77777777" w:rsidR="0099726C" w:rsidRDefault="0099726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C7DF2" w14:textId="77777777" w:rsidR="009C6131" w:rsidRDefault="009C6131" w:rsidP="0064774C">
      <w:r>
        <w:separator/>
      </w:r>
    </w:p>
  </w:footnote>
  <w:footnote w:type="continuationSeparator" w:id="0">
    <w:p w14:paraId="5680B672" w14:textId="77777777" w:rsidR="009C6131" w:rsidRDefault="009C6131" w:rsidP="0064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CF2C7" w14:textId="77777777" w:rsidR="0099726C" w:rsidRDefault="0099726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044BB" w14:textId="77777777" w:rsidR="0099726C" w:rsidRDefault="0099726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A1190" w14:textId="77777777" w:rsidR="0099726C" w:rsidRDefault="0099726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0DA0"/>
    <w:multiLevelType w:val="multilevel"/>
    <w:tmpl w:val="7A130DA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90"/>
    <w:rsid w:val="DFF73058"/>
    <w:rsid w:val="00015BC9"/>
    <w:rsid w:val="0006312A"/>
    <w:rsid w:val="000940C2"/>
    <w:rsid w:val="000C4F90"/>
    <w:rsid w:val="000C54EF"/>
    <w:rsid w:val="000D4962"/>
    <w:rsid w:val="000F508F"/>
    <w:rsid w:val="00100A9F"/>
    <w:rsid w:val="00110FAC"/>
    <w:rsid w:val="001305D2"/>
    <w:rsid w:val="00141810"/>
    <w:rsid w:val="001437F6"/>
    <w:rsid w:val="001850D5"/>
    <w:rsid w:val="001B478E"/>
    <w:rsid w:val="001D18D0"/>
    <w:rsid w:val="001E7098"/>
    <w:rsid w:val="001F6673"/>
    <w:rsid w:val="00210ECA"/>
    <w:rsid w:val="002122D7"/>
    <w:rsid w:val="00227911"/>
    <w:rsid w:val="00233125"/>
    <w:rsid w:val="00241864"/>
    <w:rsid w:val="002454EC"/>
    <w:rsid w:val="002477D7"/>
    <w:rsid w:val="00254B0C"/>
    <w:rsid w:val="00275DE4"/>
    <w:rsid w:val="002A72C2"/>
    <w:rsid w:val="002E0FD0"/>
    <w:rsid w:val="002E3AAC"/>
    <w:rsid w:val="002E7AD6"/>
    <w:rsid w:val="002F02C8"/>
    <w:rsid w:val="00302135"/>
    <w:rsid w:val="00320E5A"/>
    <w:rsid w:val="00347292"/>
    <w:rsid w:val="00366935"/>
    <w:rsid w:val="003A1C87"/>
    <w:rsid w:val="003B23FB"/>
    <w:rsid w:val="003C41F3"/>
    <w:rsid w:val="003D211A"/>
    <w:rsid w:val="003E4496"/>
    <w:rsid w:val="004024B7"/>
    <w:rsid w:val="0041712E"/>
    <w:rsid w:val="0042103B"/>
    <w:rsid w:val="00425F03"/>
    <w:rsid w:val="00431EB8"/>
    <w:rsid w:val="0043288B"/>
    <w:rsid w:val="00435A39"/>
    <w:rsid w:val="00453090"/>
    <w:rsid w:val="00456358"/>
    <w:rsid w:val="0046634A"/>
    <w:rsid w:val="004A1F05"/>
    <w:rsid w:val="004A41E9"/>
    <w:rsid w:val="004B29A5"/>
    <w:rsid w:val="004B3C2D"/>
    <w:rsid w:val="004B62EA"/>
    <w:rsid w:val="004C3235"/>
    <w:rsid w:val="004C5802"/>
    <w:rsid w:val="004D48B8"/>
    <w:rsid w:val="004D669C"/>
    <w:rsid w:val="004D7E09"/>
    <w:rsid w:val="004E5B04"/>
    <w:rsid w:val="00510F45"/>
    <w:rsid w:val="00524D5A"/>
    <w:rsid w:val="00537A05"/>
    <w:rsid w:val="00570435"/>
    <w:rsid w:val="00571FD1"/>
    <w:rsid w:val="0058392C"/>
    <w:rsid w:val="005A15C3"/>
    <w:rsid w:val="005C774F"/>
    <w:rsid w:val="005C7C3D"/>
    <w:rsid w:val="005D0510"/>
    <w:rsid w:val="005E4841"/>
    <w:rsid w:val="005F7600"/>
    <w:rsid w:val="006247C0"/>
    <w:rsid w:val="00640D53"/>
    <w:rsid w:val="00640ECD"/>
    <w:rsid w:val="00644B16"/>
    <w:rsid w:val="006458D1"/>
    <w:rsid w:val="0064774C"/>
    <w:rsid w:val="00665F30"/>
    <w:rsid w:val="006752A4"/>
    <w:rsid w:val="00677148"/>
    <w:rsid w:val="006779A5"/>
    <w:rsid w:val="00686A9A"/>
    <w:rsid w:val="00690601"/>
    <w:rsid w:val="00692034"/>
    <w:rsid w:val="006B47DF"/>
    <w:rsid w:val="006C729C"/>
    <w:rsid w:val="006E66AE"/>
    <w:rsid w:val="006F2B05"/>
    <w:rsid w:val="006F5B12"/>
    <w:rsid w:val="006F67A8"/>
    <w:rsid w:val="00711A83"/>
    <w:rsid w:val="007142ED"/>
    <w:rsid w:val="00727671"/>
    <w:rsid w:val="00753170"/>
    <w:rsid w:val="0075643B"/>
    <w:rsid w:val="007940BA"/>
    <w:rsid w:val="007C1724"/>
    <w:rsid w:val="007D0AF2"/>
    <w:rsid w:val="007D258A"/>
    <w:rsid w:val="0081215F"/>
    <w:rsid w:val="00812E64"/>
    <w:rsid w:val="00817990"/>
    <w:rsid w:val="00821E31"/>
    <w:rsid w:val="008356D5"/>
    <w:rsid w:val="00840818"/>
    <w:rsid w:val="00862EC4"/>
    <w:rsid w:val="00862FCF"/>
    <w:rsid w:val="008C0A3E"/>
    <w:rsid w:val="008C263E"/>
    <w:rsid w:val="008C3C1F"/>
    <w:rsid w:val="008C506C"/>
    <w:rsid w:val="008C6581"/>
    <w:rsid w:val="008F3601"/>
    <w:rsid w:val="0090306E"/>
    <w:rsid w:val="009056AF"/>
    <w:rsid w:val="009156E8"/>
    <w:rsid w:val="00944FF3"/>
    <w:rsid w:val="00961FEA"/>
    <w:rsid w:val="00962BAC"/>
    <w:rsid w:val="00985C6B"/>
    <w:rsid w:val="009924AE"/>
    <w:rsid w:val="00994FD1"/>
    <w:rsid w:val="0099726C"/>
    <w:rsid w:val="009B5BAE"/>
    <w:rsid w:val="009C6131"/>
    <w:rsid w:val="009D5F83"/>
    <w:rsid w:val="009D7B54"/>
    <w:rsid w:val="009E1660"/>
    <w:rsid w:val="009E4DDB"/>
    <w:rsid w:val="009F59E0"/>
    <w:rsid w:val="00A24CE6"/>
    <w:rsid w:val="00A26E37"/>
    <w:rsid w:val="00A52880"/>
    <w:rsid w:val="00A575EF"/>
    <w:rsid w:val="00A64800"/>
    <w:rsid w:val="00A840E4"/>
    <w:rsid w:val="00AC2AA7"/>
    <w:rsid w:val="00AD2535"/>
    <w:rsid w:val="00AD4FFB"/>
    <w:rsid w:val="00AF6C3D"/>
    <w:rsid w:val="00B30BDD"/>
    <w:rsid w:val="00B35CF5"/>
    <w:rsid w:val="00B36E5A"/>
    <w:rsid w:val="00B40EEF"/>
    <w:rsid w:val="00B559FE"/>
    <w:rsid w:val="00B65900"/>
    <w:rsid w:val="00B67844"/>
    <w:rsid w:val="00B84BE4"/>
    <w:rsid w:val="00BA5AEB"/>
    <w:rsid w:val="00BE2808"/>
    <w:rsid w:val="00BE6465"/>
    <w:rsid w:val="00BF0531"/>
    <w:rsid w:val="00BF67C9"/>
    <w:rsid w:val="00C029D0"/>
    <w:rsid w:val="00C047F1"/>
    <w:rsid w:val="00C24164"/>
    <w:rsid w:val="00C25C94"/>
    <w:rsid w:val="00C430ED"/>
    <w:rsid w:val="00C50C17"/>
    <w:rsid w:val="00C544E9"/>
    <w:rsid w:val="00C5576C"/>
    <w:rsid w:val="00C926F5"/>
    <w:rsid w:val="00C951A3"/>
    <w:rsid w:val="00CB15F3"/>
    <w:rsid w:val="00CB1B4C"/>
    <w:rsid w:val="00CB3FBA"/>
    <w:rsid w:val="00CB7F51"/>
    <w:rsid w:val="00CC7BA9"/>
    <w:rsid w:val="00CF1777"/>
    <w:rsid w:val="00CF18BA"/>
    <w:rsid w:val="00CF7799"/>
    <w:rsid w:val="00D11664"/>
    <w:rsid w:val="00D1725F"/>
    <w:rsid w:val="00D20C4F"/>
    <w:rsid w:val="00D21C95"/>
    <w:rsid w:val="00D33D9D"/>
    <w:rsid w:val="00D418A4"/>
    <w:rsid w:val="00D41DA6"/>
    <w:rsid w:val="00D55D4B"/>
    <w:rsid w:val="00D60990"/>
    <w:rsid w:val="00D63B3C"/>
    <w:rsid w:val="00D84E9A"/>
    <w:rsid w:val="00DB1F4B"/>
    <w:rsid w:val="00DC222B"/>
    <w:rsid w:val="00DC4CDB"/>
    <w:rsid w:val="00E2070D"/>
    <w:rsid w:val="00E222C7"/>
    <w:rsid w:val="00E27944"/>
    <w:rsid w:val="00E6645B"/>
    <w:rsid w:val="00E74BFD"/>
    <w:rsid w:val="00E85119"/>
    <w:rsid w:val="00EA20C3"/>
    <w:rsid w:val="00EA3007"/>
    <w:rsid w:val="00EC5391"/>
    <w:rsid w:val="00ED7AB5"/>
    <w:rsid w:val="00EF55E7"/>
    <w:rsid w:val="00F02518"/>
    <w:rsid w:val="00F05EF5"/>
    <w:rsid w:val="00F06321"/>
    <w:rsid w:val="00F132CA"/>
    <w:rsid w:val="00F15EE0"/>
    <w:rsid w:val="00F27229"/>
    <w:rsid w:val="00F34C6E"/>
    <w:rsid w:val="00F654BE"/>
    <w:rsid w:val="00F7291D"/>
    <w:rsid w:val="00FA71C7"/>
    <w:rsid w:val="00FB76DE"/>
    <w:rsid w:val="00FD2D05"/>
    <w:rsid w:val="00FE1013"/>
    <w:rsid w:val="00FF3BD9"/>
    <w:rsid w:val="5F6F055A"/>
    <w:rsid w:val="7FCFD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0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4C"/>
    <w:pPr>
      <w:snapToGrid w:val="0"/>
      <w:spacing w:before="240" w:after="240"/>
      <w:ind w:firstLineChars="200" w:firstLine="480"/>
    </w:pPr>
    <w:rPr>
      <w:rFonts w:ascii="微软雅黑" w:eastAsia="微软雅黑" w:hAnsi="微软雅黑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4774C"/>
    <w:pPr>
      <w:outlineLvl w:val="0"/>
    </w:pPr>
    <w:rPr>
      <w:b/>
      <w:bCs/>
    </w:rPr>
  </w:style>
  <w:style w:type="paragraph" w:styleId="2">
    <w:name w:val="heading 2"/>
    <w:basedOn w:val="1"/>
    <w:next w:val="a"/>
    <w:link w:val="2Char"/>
    <w:uiPriority w:val="9"/>
    <w:unhideWhenUsed/>
    <w:qFormat/>
    <w:rsid w:val="00DB1F4B"/>
    <w:pPr>
      <w:ind w:firstLineChars="0"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774C"/>
    <w:rPr>
      <w:rFonts w:ascii="微软雅黑" w:eastAsia="微软雅黑" w:hAnsi="微软雅黑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1F4B"/>
    <w:rPr>
      <w:rFonts w:ascii="微软雅黑" w:eastAsia="微软雅黑" w:hAnsi="微软雅黑" w:cs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4C"/>
    <w:pPr>
      <w:snapToGrid w:val="0"/>
      <w:spacing w:before="240" w:after="240"/>
      <w:ind w:firstLineChars="200" w:firstLine="480"/>
    </w:pPr>
    <w:rPr>
      <w:rFonts w:ascii="微软雅黑" w:eastAsia="微软雅黑" w:hAnsi="微软雅黑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4774C"/>
    <w:pPr>
      <w:outlineLvl w:val="0"/>
    </w:pPr>
    <w:rPr>
      <w:b/>
      <w:bCs/>
    </w:rPr>
  </w:style>
  <w:style w:type="paragraph" w:styleId="2">
    <w:name w:val="heading 2"/>
    <w:basedOn w:val="1"/>
    <w:next w:val="a"/>
    <w:link w:val="2Char"/>
    <w:uiPriority w:val="9"/>
    <w:unhideWhenUsed/>
    <w:qFormat/>
    <w:rsid w:val="00DB1F4B"/>
    <w:pPr>
      <w:ind w:firstLineChars="0"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774C"/>
    <w:rPr>
      <w:rFonts w:ascii="微软雅黑" w:eastAsia="微软雅黑" w:hAnsi="微软雅黑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1F4B"/>
    <w:rPr>
      <w:rFonts w:ascii="微软雅黑" w:eastAsia="微软雅黑" w:hAnsi="微软雅黑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 Alex Li</dc:creator>
  <cp:lastModifiedBy>Windows User</cp:lastModifiedBy>
  <cp:revision>6</cp:revision>
  <dcterms:created xsi:type="dcterms:W3CDTF">2021-01-12T14:08:00Z</dcterms:created>
  <dcterms:modified xsi:type="dcterms:W3CDTF">2021-01-12T14:13:00Z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