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60" w:lineRule="auto"/>
        <w:rPr>
          <w:rFonts w:ascii="宋体" w:hAnsi="宋体"/>
          <w:bCs/>
          <w:iCs/>
          <w:sz w:val="24"/>
        </w:rPr>
      </w:pPr>
      <w:r>
        <w:rPr>
          <w:rFonts w:hint="eastAsia" w:ascii="宋体" w:hAnsi="宋体"/>
          <w:bCs/>
          <w:iCs/>
          <w:sz w:val="24"/>
        </w:rPr>
        <w:t>证券代码： 003012                                 证券简称：东鹏控股</w:t>
      </w:r>
    </w:p>
    <w:p>
      <w:pPr>
        <w:spacing w:before="156" w:beforeLines="50" w:after="156" w:afterLines="50" w:line="360" w:lineRule="auto"/>
        <w:jc w:val="center"/>
        <w:rPr>
          <w:rFonts w:ascii="黑体" w:hAnsi="黑体" w:eastAsia="黑体" w:cs="黑体"/>
          <w:iCs/>
          <w:color w:val="FF0000"/>
          <w:sz w:val="36"/>
          <w:szCs w:val="36"/>
        </w:rPr>
      </w:pPr>
      <w:r>
        <w:rPr>
          <w:rFonts w:hint="eastAsia" w:ascii="黑体" w:hAnsi="黑体" w:eastAsia="黑体" w:cs="黑体"/>
          <w:iCs/>
          <w:color w:val="FF0000"/>
          <w:sz w:val="36"/>
          <w:szCs w:val="36"/>
        </w:rPr>
        <w:t>广东东鹏控股股份有限公司</w:t>
      </w:r>
    </w:p>
    <w:p>
      <w:pPr>
        <w:spacing w:before="156" w:beforeLines="50" w:after="156" w:afterLines="50" w:line="360" w:lineRule="auto"/>
        <w:jc w:val="center"/>
        <w:rPr>
          <w:rFonts w:ascii="黑体" w:hAnsi="黑体" w:eastAsia="黑体" w:cs="黑体"/>
          <w:iCs/>
          <w:color w:val="FF0000"/>
          <w:sz w:val="36"/>
          <w:szCs w:val="36"/>
        </w:rPr>
      </w:pPr>
      <w:r>
        <w:rPr>
          <w:rFonts w:hint="eastAsia" w:ascii="黑体" w:hAnsi="黑体" w:eastAsia="黑体" w:cs="黑体"/>
          <w:iCs/>
          <w:color w:val="FF0000"/>
          <w:sz w:val="36"/>
          <w:szCs w:val="36"/>
        </w:rPr>
        <w:t>投资者关系活动记录表</w:t>
      </w:r>
    </w:p>
    <w:p>
      <w:pPr>
        <w:spacing w:line="360" w:lineRule="auto"/>
        <w:rPr>
          <w:rFonts w:hint="eastAsia" w:ascii="宋体" w:hAnsi="宋体" w:eastAsia="宋体"/>
          <w:bCs/>
          <w:iCs/>
          <w:sz w:val="24"/>
          <w:szCs w:val="24"/>
          <w:lang w:eastAsia="zh-CN"/>
        </w:rPr>
      </w:pPr>
      <w:r>
        <w:rPr>
          <w:rFonts w:hint="eastAsia" w:ascii="宋体" w:hAnsi="宋体"/>
          <w:bCs/>
          <w:iCs/>
          <w:sz w:val="24"/>
          <w:szCs w:val="24"/>
        </w:rPr>
        <w:t xml:space="preserve">                                                      编号：202</w:t>
      </w:r>
      <w:r>
        <w:rPr>
          <w:rFonts w:hint="eastAsia" w:ascii="宋体" w:hAnsi="宋体"/>
          <w:bCs/>
          <w:iCs/>
          <w:sz w:val="24"/>
          <w:szCs w:val="24"/>
          <w:lang w:val="en-US" w:eastAsia="zh-CN"/>
        </w:rPr>
        <w:t>1</w:t>
      </w:r>
      <w:r>
        <w:rPr>
          <w:rFonts w:hint="eastAsia" w:ascii="宋体" w:hAnsi="宋体"/>
          <w:bCs/>
          <w:iCs/>
          <w:sz w:val="24"/>
          <w:szCs w:val="24"/>
        </w:rPr>
        <w:t>-0</w:t>
      </w:r>
      <w:r>
        <w:rPr>
          <w:rFonts w:hint="eastAsia" w:ascii="宋体" w:hAnsi="宋体"/>
          <w:bCs/>
          <w:iCs/>
          <w:sz w:val="24"/>
          <w:szCs w:val="24"/>
          <w:lang w:val="en-US" w:eastAsia="zh-CN"/>
        </w:rPr>
        <w:t>1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6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投资者关系</w:t>
            </w:r>
          </w:p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活动类别</w:t>
            </w:r>
          </w:p>
        </w:tc>
        <w:tc>
          <w:tcPr>
            <w:tcW w:w="6614" w:type="dxa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特定对象调研        </w:t>
            </w: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分析师会议</w:t>
            </w:r>
          </w:p>
          <w:p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媒体采访            </w:t>
            </w: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业绩说明会</w:t>
            </w:r>
          </w:p>
          <w:p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新闻发布会          </w:t>
            </w: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路演活动</w:t>
            </w:r>
          </w:p>
          <w:p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现场参观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ab/>
            </w:r>
          </w:p>
          <w:p>
            <w:pPr>
              <w:tabs>
                <w:tab w:val="center" w:pos="3199"/>
              </w:tabs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sz w:val="24"/>
                <w:szCs w:val="24"/>
                <w:lang w:eastAsia="zh-CN"/>
              </w:rPr>
              <w:t>☑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其他 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u w:val="single"/>
                <w:lang w:val="en-US" w:eastAsia="zh-CN"/>
              </w:rPr>
              <w:t>线上电话交流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参与单位名称</w:t>
            </w:r>
          </w:p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及人员</w:t>
            </w:r>
          </w:p>
        </w:tc>
        <w:tc>
          <w:tcPr>
            <w:tcW w:w="6614" w:type="dxa"/>
            <w:shd w:val="clear" w:color="auto" w:fill="auto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 w:eastAsia="宋体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中金公司、Lazard、Oasis Management、Oasis投资、Point72、南方基金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、汇添富基金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、富国基金、大成基金、鹏华基金、平安基金、天弘基金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、太平洋保险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、阳光保险、银河基金、澳银资本、北京泓澄投资、财通证券投资管理部、昌都投资、承势资本、赤兔投资、大华投资、德图资本、富达国际投资、观富资产、国寿安保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基金、洪澄投资、华安资管、惠正投资、嘉实基金、景林资产、景顺香港投资管理有限公司、君茂资本、陆宝投资、宁泉资产、青骊投资、睿柏资本、山东海洋金融控股有限公司、上海弘尚资产管理中心、上海途灵资产、上汽投资、深圳市前海无锋基金、台湾富邦投信、天禧资本、喜马拉雅资本、相聚资本、盈峰资本管理有限公司、永丰金资产、元洪投资、源乘投资、长流汇投资、招商证券、挚信资本、中珩资产、中欧瑞博投资、中泰证券、中信证券、重阳投资等73人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614" w:type="dxa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202</w:t>
            </w:r>
            <w:r>
              <w:rPr>
                <w:rFonts w:hint="eastAsia" w:ascii="宋体" w:hAnsi="宋体"/>
                <w:bCs/>
                <w:iCs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bCs/>
                <w:iCs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bCs/>
                <w:iCs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日下午15:</w:t>
            </w:r>
            <w:r>
              <w:rPr>
                <w:rFonts w:hint="eastAsia" w:ascii="宋体" w:hAnsi="宋体"/>
                <w:bCs/>
                <w:iCs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0至1</w:t>
            </w:r>
            <w:r>
              <w:rPr>
                <w:rFonts w:hint="eastAsia" w:ascii="宋体" w:hAnsi="宋体"/>
                <w:bCs/>
                <w:iCs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:</w:t>
            </w:r>
            <w:r>
              <w:rPr>
                <w:rFonts w:hint="eastAsia" w:ascii="宋体" w:hAnsi="宋体"/>
                <w:bCs/>
                <w:iCs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614" w:type="dxa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中金公司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组织的</w:t>
            </w: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线上</w:t>
            </w:r>
            <w:r>
              <w:rPr>
                <w:rFonts w:hint="eastAsia" w:ascii="宋体" w:hAnsi="宋体"/>
                <w:bCs/>
                <w:iCs/>
                <w:sz w:val="24"/>
                <w:szCs w:val="24"/>
                <w:lang w:val="en-US" w:eastAsia="zh-CN"/>
              </w:rPr>
              <w:t>交流</w:t>
            </w:r>
            <w:bookmarkStart w:id="0" w:name="_GoBack"/>
            <w:bookmarkEnd w:id="0"/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电话会议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上市公司</w:t>
            </w:r>
          </w:p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接待人员姓名</w:t>
            </w:r>
          </w:p>
        </w:tc>
        <w:tc>
          <w:tcPr>
            <w:tcW w:w="6614" w:type="dxa"/>
            <w:shd w:val="clear" w:color="auto" w:fill="auto"/>
            <w:vAlign w:val="center"/>
          </w:tcPr>
          <w:p>
            <w:pPr>
              <w:spacing w:line="360" w:lineRule="auto"/>
              <w:jc w:val="both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sz w:val="24"/>
                <w:szCs w:val="24"/>
                <w:lang w:val="en-US" w:eastAsia="zh-CN"/>
              </w:rPr>
              <w:t>总裁龚志云、</w:t>
            </w: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副总裁兼董秘黄征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</w:trPr>
        <w:tc>
          <w:tcPr>
            <w:tcW w:w="1908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  <w:p>
            <w:pPr>
              <w:spacing w:line="360" w:lineRule="auto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>
            <w:pPr>
              <w:pStyle w:val="5"/>
              <w:widowControl/>
              <w:numPr>
                <w:ilvl w:val="0"/>
                <w:numId w:val="1"/>
              </w:numPr>
              <w:spacing w:before="156" w:beforeLines="50" w:beforeAutospacing="0" w:afterAutospacing="0" w:line="360" w:lineRule="auto"/>
              <w:rPr>
                <w:rFonts w:ascii="宋体" w:hAnsi="宋体"/>
                <w:szCs w:val="22"/>
              </w:rPr>
            </w:pPr>
            <w:r>
              <w:rPr>
                <w:rFonts w:hint="eastAsia"/>
                <w:b/>
                <w:bCs/>
              </w:rPr>
              <w:t>东鹏控股</w:t>
            </w:r>
            <w:r>
              <w:rPr>
                <w:rFonts w:hint="eastAsia"/>
                <w:b/>
                <w:bCs/>
                <w:lang w:val="en-US" w:eastAsia="zh-CN"/>
              </w:rPr>
              <w:t>简要</w:t>
            </w:r>
            <w:r>
              <w:rPr>
                <w:rFonts w:hint="eastAsia"/>
                <w:b/>
                <w:bCs/>
              </w:rPr>
              <w:t>介绍</w:t>
            </w:r>
            <w:r>
              <w:rPr>
                <w:rFonts w:hint="eastAsia"/>
              </w:rPr>
              <w:t xml:space="preserve"> </w:t>
            </w:r>
          </w:p>
          <w:p>
            <w:pPr>
              <w:pStyle w:val="5"/>
              <w:widowControl/>
              <w:numPr>
                <w:ilvl w:val="0"/>
                <w:numId w:val="2"/>
              </w:numPr>
              <w:spacing w:beforeAutospacing="0" w:afterAutospacing="0" w:line="360" w:lineRule="auto"/>
              <w:rPr>
                <w:rFonts w:hint="eastAsia" w:ascii="宋体" w:hAnsi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b/>
                <w:bCs/>
                <w:kern w:val="0"/>
                <w:sz w:val="24"/>
                <w:szCs w:val="22"/>
                <w:lang w:val="en-US" w:eastAsia="zh-CN"/>
              </w:rPr>
              <w:t>东鹏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2"/>
                <w:lang w:val="en-US" w:eastAsia="zh-CN"/>
              </w:rPr>
              <w:t>控股</w:t>
            </w:r>
            <w:r>
              <w:rPr>
                <w:rFonts w:hint="default" w:ascii="宋体" w:hAnsi="宋体"/>
                <w:b/>
                <w:bCs/>
                <w:kern w:val="0"/>
                <w:sz w:val="24"/>
                <w:szCs w:val="22"/>
                <w:lang w:val="en-US" w:eastAsia="zh-CN"/>
              </w:rPr>
              <w:t>的核心竞争力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textAlignment w:val="auto"/>
              <w:rPr>
                <w:rFonts w:hint="default" w:ascii="宋体" w:hAnsi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b/>
                <w:bCs/>
                <w:kern w:val="0"/>
                <w:sz w:val="24"/>
                <w:szCs w:val="22"/>
                <w:lang w:val="en-US" w:eastAsia="zh-CN"/>
              </w:rPr>
              <w:t>整体家居解决方案提供商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2"/>
                <w:lang w:val="en-US" w:eastAsia="zh-CN"/>
              </w:rPr>
              <w:t>，1+N模式，上市公司行业龙头。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firstLine="480" w:firstLineChars="200"/>
              <w:textAlignment w:val="auto"/>
              <w:rPr>
                <w:rFonts w:hint="default" w:ascii="宋体" w:hAnsi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  <w:szCs w:val="22"/>
                <w:lang w:val="en-US" w:eastAsia="zh-CN"/>
              </w:rPr>
              <w:t>东鹏控股主营业务包括生产销售瓷砖、卫浴、木地板、涂料、</w:t>
            </w:r>
            <w:r>
              <w:rPr>
                <w:rFonts w:hint="eastAsia" w:ascii="宋体" w:hAnsi="宋体"/>
                <w:kern w:val="0"/>
                <w:sz w:val="24"/>
                <w:szCs w:val="22"/>
                <w:lang w:val="en-US" w:eastAsia="zh-CN"/>
              </w:rPr>
              <w:t>硅藻泥、集成</w:t>
            </w:r>
            <w:r>
              <w:rPr>
                <w:rFonts w:hint="default" w:ascii="宋体" w:hAnsi="宋体"/>
                <w:kern w:val="0"/>
                <w:sz w:val="24"/>
                <w:szCs w:val="22"/>
                <w:lang w:val="en-US" w:eastAsia="zh-CN"/>
              </w:rPr>
              <w:t>墙板</w:t>
            </w:r>
            <w:r>
              <w:rPr>
                <w:rFonts w:hint="eastAsia" w:ascii="宋体" w:hAnsi="宋体"/>
                <w:kern w:val="0"/>
                <w:sz w:val="24"/>
                <w:szCs w:val="22"/>
                <w:lang w:val="en-US" w:eastAsia="zh-CN"/>
              </w:rPr>
              <w:t>、瓷砖胶、美缝剂</w:t>
            </w:r>
            <w:r>
              <w:rPr>
                <w:rFonts w:hint="default" w:ascii="宋体" w:hAnsi="宋体"/>
                <w:kern w:val="0"/>
                <w:sz w:val="24"/>
                <w:szCs w:val="22"/>
                <w:lang w:val="en-US" w:eastAsia="zh-CN"/>
              </w:rPr>
              <w:t>和整装家居等产品和服务，</w:t>
            </w:r>
            <w:r>
              <w:rPr>
                <w:rFonts w:hint="eastAsia" w:ascii="宋体" w:hAnsi="宋体"/>
                <w:kern w:val="0"/>
                <w:sz w:val="24"/>
                <w:szCs w:val="22"/>
                <w:lang w:val="en-US" w:eastAsia="zh-CN"/>
              </w:rPr>
              <w:t>能够提供一站式装修硬装产品1+N（瓷砖带动多品类）解决方案，</w:t>
            </w:r>
            <w:r>
              <w:rPr>
                <w:rFonts w:hint="default" w:ascii="宋体" w:hAnsi="宋体"/>
                <w:kern w:val="0"/>
                <w:sz w:val="24"/>
                <w:szCs w:val="22"/>
                <w:lang w:val="en-US" w:eastAsia="zh-CN"/>
              </w:rPr>
              <w:t>公司致力于成为国内领先的整体家居解决方案提供商，是国内规模最大的瓷砖、卫浴产品专业制造商和品牌商之一</w:t>
            </w:r>
            <w:r>
              <w:rPr>
                <w:rFonts w:hint="eastAsia" w:ascii="宋体" w:hAnsi="宋体"/>
                <w:kern w:val="0"/>
                <w:sz w:val="24"/>
                <w:szCs w:val="22"/>
                <w:lang w:val="en-US" w:eastAsia="zh-CN"/>
              </w:rPr>
              <w:t>，上市公司瓷砖行业龙头</w:t>
            </w:r>
            <w:r>
              <w:rPr>
                <w:rFonts w:hint="default" w:ascii="宋体" w:hAnsi="宋体"/>
                <w:kern w:val="0"/>
                <w:sz w:val="24"/>
                <w:szCs w:val="22"/>
                <w:lang w:val="en-US" w:eastAsia="zh-CN"/>
              </w:rPr>
              <w:t>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textAlignment w:val="auto"/>
              <w:rPr>
                <w:rFonts w:hint="eastAsia" w:ascii="宋体" w:hAnsi="宋体"/>
                <w:b/>
                <w:bCs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2"/>
                <w:lang w:val="en-US" w:eastAsia="zh-CN"/>
              </w:rPr>
              <w:t>自有生产基地布局全国主要陶瓷产区。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right="0" w:rightChars="0" w:firstLine="480" w:firstLineChars="200"/>
              <w:jc w:val="both"/>
              <w:textAlignment w:val="auto"/>
              <w:rPr>
                <w:rFonts w:hint="eastAsia" w:ascii="宋体" w:hAnsi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2"/>
                <w:lang w:val="en-US" w:eastAsia="zh-CN"/>
              </w:rPr>
              <w:t>公司拥有布局华南、华北和西南的广东佛山、清远、江门、高明、江西丰城、重庆永川、湖南澧县、山东淄博、山西垣曲等十一大瓷砖、卫浴生产基地，并拥有大量的土地。投入的固定资产原值超过五十亿元。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right="0" w:rightChars="0" w:firstLine="480" w:firstLineChars="200"/>
              <w:jc w:val="both"/>
              <w:textAlignment w:val="auto"/>
              <w:rPr>
                <w:rFonts w:hint="default" w:ascii="宋体" w:hAnsi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2"/>
                <w:lang w:val="en-US" w:eastAsia="zh-CN"/>
              </w:rPr>
              <w:t>最近公告计划在江西丰城再购置建设用地1200亩。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right="0" w:rightChars="0" w:firstLine="480" w:firstLineChars="200"/>
              <w:jc w:val="both"/>
              <w:textAlignment w:val="auto"/>
              <w:rPr>
                <w:rFonts w:hint="default" w:ascii="宋体" w:hAnsi="宋体" w:eastAsia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2"/>
                <w:lang w:val="en-US" w:eastAsia="zh-CN"/>
              </w:rPr>
              <w:t>各大基地是东鹏品牌核心资源与优势；属地化供应成本与效率会带来区域的品牌提升及中低端市场（乡镇、大包和工程）的开发和占有率。自有生产基地的全国布局，大大降低了</w:t>
            </w:r>
            <w:r>
              <w:rPr>
                <w:rFonts w:hint="eastAsia" w:ascii="宋体" w:hAnsi="宋体"/>
                <w:kern w:val="0"/>
                <w:sz w:val="24"/>
                <w:szCs w:val="22"/>
              </w:rPr>
              <w:t>物流</w:t>
            </w:r>
            <w:r>
              <w:rPr>
                <w:rFonts w:hint="eastAsia" w:ascii="宋体" w:hAnsi="宋体"/>
                <w:kern w:val="0"/>
                <w:sz w:val="24"/>
                <w:szCs w:val="22"/>
                <w:lang w:val="en-US" w:eastAsia="zh-CN"/>
              </w:rPr>
              <w:t>成本，为经销商和最终用户提供属地化高效的产品和供应链支持。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textAlignment w:val="auto"/>
              <w:rPr>
                <w:rFonts w:hint="eastAsia" w:ascii="宋体" w:hAnsi="宋体"/>
                <w:b/>
                <w:bCs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b/>
                <w:bCs/>
                <w:kern w:val="0"/>
                <w:sz w:val="24"/>
                <w:szCs w:val="22"/>
                <w:lang w:val="en-US" w:eastAsia="zh-CN"/>
              </w:rPr>
              <w:t>遍及全国规模庞大、运转高效的营销网络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2"/>
                <w:lang w:val="en-US" w:eastAsia="zh-CN"/>
              </w:rPr>
              <w:t>，“C+小B”零售渠道+中小微工程优势。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Chars="0" w:right="0" w:rightChars="0" w:firstLine="480" w:firstLineChars="200"/>
              <w:jc w:val="both"/>
              <w:textAlignment w:val="auto"/>
              <w:rPr>
                <w:rFonts w:hint="eastAsia" w:ascii="宋体" w:hAnsi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2"/>
                <w:lang w:val="en-US" w:eastAsia="zh-CN"/>
              </w:rPr>
              <w:t>“C+小B”零售渠道和中小微工程优势是公司的核心看点。瓷砖经销商1,753家，瓷砖经销商门店4,981家；卫浴经销商82家，卫浴经销商门店1,468家；112家瓷砖直营店/展厅，2家卫浴直营店/展厅。若以每平米1000元的装修补贴、门店平均300平米计算，其他企业想要布局到达东鹏的店面数量规模，需要约20亿元的投入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Chars="0" w:right="0" w:rightChars="0" w:firstLine="480" w:firstLineChars="200"/>
              <w:jc w:val="both"/>
              <w:textAlignment w:val="auto"/>
              <w:rPr>
                <w:rFonts w:hint="eastAsia" w:ascii="宋体" w:hAnsi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  <w:szCs w:val="22"/>
                <w:lang w:val="en-US" w:eastAsia="zh-CN"/>
              </w:rPr>
              <w:t>遍及全国规模庞大、运转高效的营销网络</w:t>
            </w:r>
            <w:r>
              <w:rPr>
                <w:rFonts w:hint="eastAsia" w:ascii="宋体" w:hAnsi="宋体"/>
                <w:kern w:val="0"/>
                <w:sz w:val="24"/>
                <w:szCs w:val="22"/>
                <w:lang w:val="en-US" w:eastAsia="zh-CN"/>
              </w:rPr>
              <w:t>，能够为最终用户提供贴身的产品和服务，是公司未来发展所依托的重要基础。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Chars="0" w:right="0" w:rightChars="0" w:firstLine="480" w:firstLineChars="200"/>
              <w:jc w:val="both"/>
              <w:textAlignment w:val="auto"/>
              <w:rPr>
                <w:rFonts w:hint="eastAsia" w:ascii="宋体" w:hAnsi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2"/>
                <w:lang w:val="en-US" w:eastAsia="zh-CN"/>
              </w:rPr>
              <w:t>庞大的经销网络有利于开展中小微“小B”工程。东鹏布局全国的经销网络，一是能够在当地拥有资源和第一时间获得工程信息，包括工装、家装、设计师和总部单体工程等；二是在当地就有门店产品展示；三是当地经销商能够提供贴身服务。这就是东鹏相对于其他友商的显著优势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textAlignment w:val="auto"/>
              <w:rPr>
                <w:rFonts w:hint="eastAsia" w:ascii="宋体" w:hAnsi="宋体"/>
                <w:b/>
                <w:bCs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2"/>
                <w:lang w:val="en-US" w:eastAsia="zh-CN"/>
              </w:rPr>
              <w:t>存量</w:t>
            </w:r>
            <w:r>
              <w:rPr>
                <w:rFonts w:hint="default" w:ascii="宋体" w:hAnsi="宋体"/>
                <w:b/>
                <w:bCs/>
                <w:kern w:val="0"/>
                <w:sz w:val="24"/>
                <w:szCs w:val="22"/>
                <w:lang w:val="en-US" w:eastAsia="zh-CN"/>
              </w:rPr>
              <w:t>客户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2"/>
                <w:lang w:val="en-US" w:eastAsia="zh-CN"/>
              </w:rPr>
              <w:t>优势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Chars="0" w:right="0" w:rightChars="0" w:firstLine="480" w:firstLineChars="200"/>
              <w:jc w:val="both"/>
              <w:textAlignment w:val="auto"/>
              <w:rPr>
                <w:rFonts w:hint="default" w:ascii="宋体" w:hAnsi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2"/>
                <w:lang w:val="en-US" w:eastAsia="zh-CN"/>
              </w:rPr>
              <w:t>东鹏深耕品牌建设已经有二十余年，使用东鹏产品的用户达八百多万，获得了很好的口碑和美誉度。其中很多用户到了重新装修或改善住房的阶段，这些大量的回头客是东鹏重要的客户来源。我们感恩和欢迎他们再次选择东鹏产品。</w:t>
            </w:r>
          </w:p>
          <w:p>
            <w:pPr>
              <w:pStyle w:val="5"/>
              <w:widowControl/>
              <w:numPr>
                <w:ilvl w:val="0"/>
                <w:numId w:val="2"/>
              </w:numPr>
              <w:spacing w:beforeAutospacing="0" w:afterAutospacing="0" w:line="360" w:lineRule="auto"/>
              <w:rPr>
                <w:rFonts w:hint="default" w:ascii="宋体" w:hAnsi="宋体"/>
                <w:b/>
                <w:bCs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b/>
                <w:bCs/>
                <w:kern w:val="0"/>
                <w:sz w:val="24"/>
                <w:szCs w:val="22"/>
                <w:lang w:val="en-US" w:eastAsia="zh-CN"/>
              </w:rPr>
              <w:t>放大优势，补齐短板，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2"/>
                <w:lang w:val="en-US" w:eastAsia="zh-CN"/>
              </w:rPr>
              <w:t>2020下半年是业绩和经营向好的重要拐点，2021年</w:t>
            </w:r>
            <w:r>
              <w:rPr>
                <w:rFonts w:hint="default" w:ascii="宋体" w:hAnsi="宋体"/>
                <w:b/>
                <w:bCs/>
                <w:kern w:val="0"/>
                <w:sz w:val="24"/>
                <w:szCs w:val="22"/>
                <w:lang w:val="en-US" w:eastAsia="zh-CN"/>
              </w:rPr>
              <w:t>抓住机遇，全面起势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Chars="0" w:right="0" w:rightChars="0" w:firstLine="480" w:firstLineChars="200"/>
              <w:jc w:val="both"/>
              <w:textAlignment w:val="auto"/>
              <w:rPr>
                <w:rFonts w:hint="default" w:ascii="宋体" w:hAnsi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  <w:szCs w:val="22"/>
                <w:lang w:val="en-US" w:eastAsia="zh-CN"/>
              </w:rPr>
              <w:t>1、继续发挥经销零售优势，抢</w:t>
            </w:r>
            <w:r>
              <w:rPr>
                <w:rFonts w:hint="eastAsia" w:ascii="宋体" w:hAnsi="宋体"/>
                <w:kern w:val="0"/>
                <w:sz w:val="24"/>
                <w:szCs w:val="22"/>
                <w:lang w:val="en-US" w:eastAsia="zh-CN"/>
              </w:rPr>
              <w:t>占毛坯房、</w:t>
            </w:r>
            <w:r>
              <w:rPr>
                <w:rFonts w:hint="default" w:ascii="宋体" w:hAnsi="宋体"/>
                <w:kern w:val="0"/>
                <w:sz w:val="24"/>
                <w:szCs w:val="22"/>
                <w:lang w:val="en-US" w:eastAsia="zh-CN"/>
              </w:rPr>
              <w:t>存量房市场和老客户重装市场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Chars="0" w:right="0" w:rightChars="0" w:firstLine="480" w:firstLineChars="200"/>
              <w:jc w:val="both"/>
              <w:textAlignment w:val="auto"/>
              <w:rPr>
                <w:rFonts w:hint="eastAsia" w:ascii="宋体" w:hAnsi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2"/>
                <w:lang w:val="en-US" w:eastAsia="zh-CN"/>
              </w:rPr>
              <w:t>（1）</w:t>
            </w:r>
            <w:r>
              <w:rPr>
                <w:rFonts w:hint="default" w:ascii="宋体" w:hAnsi="宋体"/>
                <w:kern w:val="0"/>
                <w:sz w:val="24"/>
                <w:szCs w:val="22"/>
                <w:lang w:val="en-US" w:eastAsia="zh-CN"/>
              </w:rPr>
              <w:t>提升</w:t>
            </w:r>
            <w:r>
              <w:rPr>
                <w:rFonts w:hint="eastAsia" w:ascii="宋体" w:hAnsi="宋体"/>
                <w:kern w:val="0"/>
                <w:sz w:val="24"/>
                <w:szCs w:val="22"/>
                <w:lang w:val="en-US" w:eastAsia="zh-CN"/>
              </w:rPr>
              <w:t>现有店面的</w:t>
            </w:r>
            <w:r>
              <w:rPr>
                <w:rFonts w:hint="default" w:ascii="宋体" w:hAnsi="宋体"/>
                <w:kern w:val="0"/>
                <w:sz w:val="24"/>
                <w:szCs w:val="22"/>
                <w:lang w:val="en-US" w:eastAsia="zh-CN"/>
              </w:rPr>
              <w:t>单店产出</w:t>
            </w:r>
            <w:r>
              <w:rPr>
                <w:rFonts w:hint="eastAsia" w:ascii="宋体" w:hAnsi="宋体"/>
                <w:kern w:val="0"/>
                <w:sz w:val="24"/>
                <w:szCs w:val="22"/>
                <w:lang w:val="en-US" w:eastAsia="zh-CN"/>
              </w:rPr>
              <w:t>。瓷砖是一个半成品空间美学材料，注重体验感、时尚特征强的特点。我们要怎么样吸引消费者用东鹏品牌的瓷砖是我们重点要考虑的。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Chars="0" w:right="0" w:rightChars="0" w:firstLine="480" w:firstLineChars="200"/>
              <w:jc w:val="both"/>
              <w:textAlignment w:val="auto"/>
              <w:rPr>
                <w:rFonts w:hint="eastAsia" w:ascii="宋体" w:hAnsi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2"/>
                <w:lang w:val="en-US" w:eastAsia="zh-CN"/>
              </w:rPr>
              <w:t>a、店面重新装修，在两三年内没有重装的店面要进行重装，装修要体现时尚高级的东鹏风格，贴合消费者的装修风格喜好，体现品牌地位和装修美学。这样消费者进入门店就能看到样板空间，能体现出我们的特点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 w:ascii="宋体" w:hAnsi="宋体" w:eastAsia="宋体" w:cs="Times New Roman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2"/>
                <w:lang w:val="en-US" w:eastAsia="zh-CN" w:bidi="ar-SA"/>
              </w:rPr>
              <w:t>b、用卖空间和</w:t>
            </w:r>
            <w:r>
              <w:rPr>
                <w:rFonts w:hint="eastAsia" w:ascii="宋体" w:hAnsi="宋体" w:cs="Times New Roman"/>
                <w:kern w:val="0"/>
                <w:sz w:val="24"/>
                <w:szCs w:val="22"/>
                <w:lang w:val="en-US" w:eastAsia="zh-CN" w:bidi="ar-SA"/>
              </w:rPr>
              <w:t>“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2"/>
                <w:lang w:val="en-US" w:eastAsia="zh-CN" w:bidi="ar-SA"/>
              </w:rPr>
              <w:t>1+N</w:t>
            </w:r>
            <w:r>
              <w:rPr>
                <w:rFonts w:hint="eastAsia" w:ascii="宋体" w:hAnsi="宋体" w:cs="Times New Roman"/>
                <w:kern w:val="0"/>
                <w:sz w:val="24"/>
                <w:szCs w:val="22"/>
                <w:lang w:val="en-US" w:eastAsia="zh-CN" w:bidi="ar-SA"/>
              </w:rPr>
              <w:t>”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2"/>
                <w:lang w:val="en-US" w:eastAsia="zh-CN" w:bidi="ar-SA"/>
              </w:rPr>
              <w:t>的模式进行销售。</w:t>
            </w:r>
            <w:r>
              <w:rPr>
                <w:rFonts w:hint="eastAsia" w:ascii="宋体" w:hAnsi="宋体" w:cs="Times New Roman"/>
                <w:kern w:val="0"/>
                <w:sz w:val="24"/>
                <w:szCs w:val="22"/>
                <w:lang w:val="en-US" w:eastAsia="zh-CN" w:bidi="ar-SA"/>
              </w:rPr>
              <w:t>用户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2"/>
                <w:lang w:val="en-US" w:eastAsia="zh-CN" w:bidi="ar-SA"/>
              </w:rPr>
              <w:t>要的是</w:t>
            </w:r>
            <w:r>
              <w:rPr>
                <w:rFonts w:hint="eastAsia" w:ascii="宋体" w:hAnsi="宋体" w:cs="Times New Roman"/>
                <w:kern w:val="0"/>
                <w:sz w:val="24"/>
                <w:szCs w:val="22"/>
                <w:lang w:val="en-US" w:eastAsia="zh-CN" w:bidi="ar-SA"/>
              </w:rPr>
              <w:t>空间装修一站式解决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2"/>
                <w:lang w:val="en-US" w:eastAsia="zh-CN" w:bidi="ar-SA"/>
              </w:rPr>
              <w:t>方案，消费者进入门店以后，我们就会根据消费者</w:t>
            </w:r>
            <w:r>
              <w:rPr>
                <w:rFonts w:hint="eastAsia" w:ascii="宋体" w:hAnsi="宋体" w:cs="Times New Roman"/>
                <w:kern w:val="0"/>
                <w:sz w:val="24"/>
                <w:szCs w:val="22"/>
                <w:lang w:val="en-US" w:eastAsia="zh-CN" w:bidi="ar-SA"/>
              </w:rPr>
              <w:t>需要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2"/>
                <w:lang w:val="en-US" w:eastAsia="zh-CN" w:bidi="ar-SA"/>
              </w:rPr>
              <w:t>的装修风格</w:t>
            </w:r>
            <w:r>
              <w:rPr>
                <w:rFonts w:hint="eastAsia" w:ascii="宋体" w:hAnsi="宋体" w:cs="Times New Roman"/>
                <w:kern w:val="0"/>
                <w:sz w:val="24"/>
                <w:szCs w:val="22"/>
                <w:lang w:val="en-US" w:eastAsia="zh-CN" w:bidi="ar-SA"/>
              </w:rPr>
              <w:t>和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2"/>
                <w:lang w:val="en-US" w:eastAsia="zh-CN" w:bidi="ar-SA"/>
              </w:rPr>
              <w:t>预算，为他们提供装修的</w:t>
            </w:r>
            <w:r>
              <w:rPr>
                <w:rFonts w:hint="eastAsia" w:ascii="宋体" w:hAnsi="宋体" w:cs="Times New Roman"/>
                <w:kern w:val="0"/>
                <w:sz w:val="24"/>
                <w:szCs w:val="22"/>
                <w:lang w:val="en-US" w:eastAsia="zh-CN" w:bidi="ar-SA"/>
              </w:rPr>
              <w:t>空间解决方案展示，通过东鹏自动换砖电脑系统演示，和防滑、抗污、降醛等体验式展示“东鹏瓷砖、健康砖家”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2"/>
                <w:lang w:val="en-US" w:eastAsia="zh-CN" w:bidi="ar-SA"/>
              </w:rPr>
              <w:t>，</w:t>
            </w:r>
            <w:r>
              <w:rPr>
                <w:rFonts w:hint="eastAsia" w:ascii="宋体" w:hAnsi="宋体" w:cs="Times New Roman"/>
                <w:kern w:val="0"/>
                <w:sz w:val="24"/>
                <w:szCs w:val="22"/>
                <w:lang w:val="en-US" w:eastAsia="zh-CN" w:bidi="ar-SA"/>
              </w:rPr>
              <w:t>用东鹏的产品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2"/>
                <w:lang w:val="en-US" w:eastAsia="zh-CN" w:bidi="ar-SA"/>
              </w:rPr>
              <w:t>搭配</w:t>
            </w:r>
            <w:r>
              <w:rPr>
                <w:rFonts w:hint="eastAsia" w:ascii="宋体" w:hAnsi="宋体" w:cs="Times New Roman"/>
                <w:kern w:val="0"/>
                <w:sz w:val="24"/>
                <w:szCs w:val="22"/>
                <w:lang w:val="en-US" w:eastAsia="zh-CN" w:bidi="ar-SA"/>
              </w:rPr>
              <w:t>出用户所需的理想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2"/>
                <w:lang w:val="en-US" w:eastAsia="zh-CN" w:bidi="ar-SA"/>
              </w:rPr>
              <w:t>空间</w:t>
            </w:r>
            <w:r>
              <w:rPr>
                <w:rFonts w:hint="eastAsia" w:ascii="宋体" w:hAnsi="宋体" w:cs="Times New Roman"/>
                <w:kern w:val="0"/>
                <w:sz w:val="24"/>
                <w:szCs w:val="22"/>
                <w:lang w:val="en-US" w:eastAsia="zh-CN" w:bidi="ar-SA"/>
              </w:rPr>
              <w:t>，提升交互体验感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2"/>
                <w:lang w:val="en-US" w:eastAsia="zh-CN" w:bidi="ar-SA"/>
              </w:rPr>
              <w:t>。</w:t>
            </w:r>
            <w:r>
              <w:rPr>
                <w:rFonts w:hint="eastAsia" w:ascii="宋体" w:hAnsi="宋体" w:cs="Times New Roman"/>
                <w:kern w:val="0"/>
                <w:sz w:val="24"/>
                <w:szCs w:val="22"/>
                <w:lang w:val="en-US" w:eastAsia="zh-CN" w:bidi="ar-SA"/>
              </w:rPr>
              <w:t>“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2"/>
                <w:lang w:val="en-US" w:eastAsia="zh-CN" w:bidi="ar-SA"/>
              </w:rPr>
              <w:t>1+</w:t>
            </w:r>
            <w:r>
              <w:rPr>
                <w:rFonts w:hint="eastAsia" w:ascii="宋体" w:hAnsi="宋体" w:cs="Times New Roman"/>
                <w:kern w:val="0"/>
                <w:sz w:val="24"/>
                <w:szCs w:val="22"/>
                <w:lang w:val="en-US" w:eastAsia="zh-CN" w:bidi="ar-SA"/>
              </w:rPr>
              <w:t>N”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2"/>
                <w:lang w:val="en-US" w:eastAsia="zh-CN" w:bidi="ar-SA"/>
              </w:rPr>
              <w:t>就是，东鹏除了瓷砖还有卫浴</w:t>
            </w:r>
            <w:r>
              <w:rPr>
                <w:rFonts w:hint="eastAsia" w:ascii="宋体" w:hAnsi="宋体" w:cs="Times New Roman"/>
                <w:kern w:val="0"/>
                <w:sz w:val="24"/>
                <w:szCs w:val="22"/>
                <w:lang w:val="en-US" w:eastAsia="zh-CN" w:bidi="ar-SA"/>
              </w:rPr>
              <w:t>、木地板、涂料和护墙板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2"/>
                <w:lang w:val="en-US" w:eastAsia="zh-CN" w:bidi="ar-SA"/>
              </w:rPr>
              <w:t>等</w:t>
            </w:r>
            <w:r>
              <w:rPr>
                <w:rFonts w:hint="eastAsia" w:ascii="宋体" w:hAnsi="宋体" w:cs="Times New Roman"/>
                <w:kern w:val="0"/>
                <w:sz w:val="24"/>
                <w:szCs w:val="22"/>
                <w:lang w:val="en-US" w:eastAsia="zh-CN" w:bidi="ar-SA"/>
              </w:rPr>
              <w:t>硬装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2"/>
                <w:lang w:val="en-US" w:eastAsia="zh-CN" w:bidi="ar-SA"/>
              </w:rPr>
              <w:t>产品，我们希望消费者进入到我们的门店，也可以</w:t>
            </w:r>
            <w:r>
              <w:rPr>
                <w:rFonts w:hint="eastAsia" w:ascii="宋体" w:hAnsi="宋体" w:cs="Times New Roman"/>
                <w:kern w:val="0"/>
                <w:sz w:val="24"/>
                <w:szCs w:val="22"/>
                <w:lang w:val="en-US" w:eastAsia="zh-CN" w:bidi="ar-SA"/>
              </w:rPr>
              <w:t>一站式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2"/>
                <w:lang w:val="en-US" w:eastAsia="zh-CN" w:bidi="ar-SA"/>
              </w:rPr>
              <w:t>买到</w:t>
            </w:r>
            <w:r>
              <w:rPr>
                <w:rFonts w:hint="eastAsia" w:ascii="宋体" w:hAnsi="宋体" w:cs="Times New Roman"/>
                <w:kern w:val="0"/>
                <w:sz w:val="24"/>
                <w:szCs w:val="22"/>
                <w:lang w:val="en-US" w:eastAsia="zh-CN" w:bidi="ar-SA"/>
              </w:rPr>
              <w:t>更多的东鹏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2"/>
                <w:lang w:val="en-US" w:eastAsia="zh-CN" w:bidi="ar-SA"/>
              </w:rPr>
              <w:t>产品，通过卖空间和1+</w:t>
            </w:r>
            <w:r>
              <w:rPr>
                <w:rFonts w:hint="eastAsia" w:ascii="宋体" w:hAnsi="宋体" w:cs="Times New Roman"/>
                <w:kern w:val="0"/>
                <w:sz w:val="24"/>
                <w:szCs w:val="22"/>
                <w:lang w:val="en-US" w:eastAsia="zh-CN" w:bidi="ar-SA"/>
              </w:rPr>
              <w:t>N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2"/>
                <w:lang w:val="en-US" w:eastAsia="zh-CN" w:bidi="ar-SA"/>
              </w:rPr>
              <w:t>的形式来提升客单值，这就是我们提升单店产出的重要方式。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Chars="0" w:right="0" w:rightChars="0" w:firstLine="480" w:firstLineChars="200"/>
              <w:jc w:val="both"/>
              <w:textAlignment w:val="auto"/>
              <w:rPr>
                <w:rFonts w:hint="eastAsia" w:ascii="宋体" w:hAnsi="宋体" w:cs="Times New Roman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2"/>
                <w:lang w:val="en-US" w:eastAsia="zh-CN" w:bidi="ar-SA"/>
              </w:rPr>
              <w:t>c、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2"/>
                <w:lang w:val="en-US" w:eastAsia="zh-CN" w:bidi="ar-SA"/>
              </w:rPr>
              <w:t>提升高值产品的</w:t>
            </w:r>
            <w:r>
              <w:rPr>
                <w:rFonts w:hint="eastAsia" w:ascii="宋体" w:hAnsi="宋体" w:cs="Times New Roman"/>
                <w:kern w:val="0"/>
                <w:sz w:val="24"/>
                <w:szCs w:val="22"/>
                <w:lang w:val="en-US" w:eastAsia="zh-CN" w:bidi="ar-SA"/>
              </w:rPr>
              <w:t>销售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2"/>
                <w:lang w:val="en-US" w:eastAsia="zh-CN" w:bidi="ar-SA"/>
              </w:rPr>
              <w:t>比例</w:t>
            </w:r>
            <w:r>
              <w:rPr>
                <w:rFonts w:hint="eastAsia" w:ascii="宋体" w:hAnsi="宋体" w:cs="Times New Roman"/>
                <w:kern w:val="0"/>
                <w:sz w:val="24"/>
                <w:szCs w:val="22"/>
                <w:lang w:val="en-US" w:eastAsia="zh-CN" w:bidi="ar-SA"/>
              </w:rPr>
              <w:t>，提升导购和驻点设计师的是水平，提升客单值。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Chars="0" w:right="0" w:rightChars="0" w:firstLine="480" w:firstLineChars="200"/>
              <w:jc w:val="both"/>
              <w:textAlignment w:val="auto"/>
              <w:rPr>
                <w:rFonts w:hint="eastAsia" w:ascii="宋体" w:hAnsi="宋体" w:eastAsia="宋体" w:cs="Times New Roman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2"/>
                <w:lang w:val="en-US" w:eastAsia="zh-CN" w:bidi="ar-SA"/>
              </w:rPr>
              <w:t>d、东鹏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2"/>
                <w:lang w:val="en-US" w:eastAsia="zh-CN" w:bidi="ar-SA"/>
              </w:rPr>
              <w:t>共享仓的布局，</w:t>
            </w:r>
            <w:r>
              <w:rPr>
                <w:rFonts w:hint="eastAsia" w:ascii="宋体" w:hAnsi="宋体" w:cs="Times New Roman"/>
                <w:kern w:val="0"/>
                <w:sz w:val="24"/>
                <w:szCs w:val="22"/>
                <w:lang w:val="en-US" w:eastAsia="zh-CN" w:bidi="ar-SA"/>
              </w:rPr>
              <w:t>有利于通过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2"/>
                <w:lang w:val="en-US" w:eastAsia="zh-CN" w:bidi="ar-SA"/>
              </w:rPr>
              <w:t>带动周边的中小经销商</w:t>
            </w:r>
            <w:r>
              <w:rPr>
                <w:rFonts w:hint="eastAsia" w:ascii="宋体" w:hAnsi="宋体" w:cs="Times New Roman"/>
                <w:kern w:val="0"/>
                <w:sz w:val="24"/>
                <w:szCs w:val="22"/>
                <w:lang w:val="en-US" w:eastAsia="zh-CN" w:bidi="ar-SA"/>
              </w:rPr>
              <w:t>的开店、适销对路的SKU、销售更多的SKU、赋能、提高加工能力、提升存货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2"/>
                <w:lang w:val="en-US" w:eastAsia="zh-CN" w:bidi="ar-SA"/>
              </w:rPr>
              <w:t>周转的效率</w:t>
            </w:r>
            <w:r>
              <w:rPr>
                <w:rFonts w:hint="eastAsia" w:ascii="宋体" w:hAnsi="宋体" w:cs="Times New Roman"/>
                <w:kern w:val="0"/>
                <w:sz w:val="24"/>
                <w:szCs w:val="22"/>
                <w:lang w:val="en-US" w:eastAsia="zh-CN" w:bidi="ar-SA"/>
              </w:rPr>
              <w:t>和降低物流成本，实现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2"/>
                <w:lang w:val="en-US" w:eastAsia="zh-CN" w:bidi="ar-SA"/>
              </w:rPr>
              <w:t>三方</w:t>
            </w:r>
            <w:r>
              <w:rPr>
                <w:rFonts w:hint="eastAsia" w:ascii="宋体" w:hAnsi="宋体" w:cs="Times New Roman"/>
                <w:kern w:val="0"/>
                <w:sz w:val="24"/>
                <w:szCs w:val="22"/>
                <w:lang w:val="en-US" w:eastAsia="zh-CN" w:bidi="ar-SA"/>
              </w:rPr>
              <w:t>共赢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2"/>
                <w:lang w:val="en-US" w:eastAsia="zh-CN" w:bidi="ar-SA"/>
              </w:rPr>
              <w:t>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Chars="0" w:right="0" w:rightChars="0" w:firstLine="480" w:firstLineChars="200"/>
              <w:jc w:val="both"/>
              <w:textAlignment w:val="auto"/>
              <w:rPr>
                <w:rFonts w:hint="eastAsia" w:ascii="宋体" w:hAnsi="宋体" w:eastAsia="宋体" w:cs="Times New Roman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2"/>
                <w:lang w:val="en-US" w:eastAsia="zh-CN" w:bidi="ar-SA"/>
              </w:rPr>
              <w:t>e、提升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2"/>
                <w:lang w:val="en-US" w:eastAsia="zh-CN" w:bidi="ar-SA"/>
              </w:rPr>
              <w:t>信息化</w:t>
            </w:r>
            <w:r>
              <w:rPr>
                <w:rFonts w:hint="eastAsia" w:ascii="宋体" w:hAnsi="宋体" w:cs="Times New Roman"/>
                <w:kern w:val="0"/>
                <w:sz w:val="24"/>
                <w:szCs w:val="22"/>
                <w:lang w:val="en-US" w:eastAsia="zh-CN" w:bidi="ar-SA"/>
              </w:rPr>
              <w:t>水平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2"/>
                <w:lang w:val="en-US" w:eastAsia="zh-CN" w:bidi="ar-SA"/>
              </w:rPr>
              <w:t>，</w:t>
            </w:r>
            <w:r>
              <w:rPr>
                <w:rFonts w:hint="eastAsia" w:ascii="宋体" w:hAnsi="宋体" w:cs="Times New Roman"/>
                <w:kern w:val="0"/>
                <w:sz w:val="24"/>
                <w:szCs w:val="22"/>
                <w:lang w:val="en-US" w:eastAsia="zh-CN" w:bidi="ar-SA"/>
              </w:rPr>
              <w:t>信息化项目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2"/>
                <w:lang w:val="en-US" w:eastAsia="zh-CN" w:bidi="ar-SA"/>
              </w:rPr>
              <w:t>是募集资金</w:t>
            </w:r>
            <w:r>
              <w:rPr>
                <w:rFonts w:hint="eastAsia" w:ascii="宋体" w:hAnsi="宋体" w:cs="Times New Roman"/>
                <w:kern w:val="0"/>
                <w:sz w:val="24"/>
                <w:szCs w:val="22"/>
                <w:lang w:val="en-US" w:eastAsia="zh-CN" w:bidi="ar-SA"/>
              </w:rPr>
              <w:t>投资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2"/>
                <w:lang w:val="en-US" w:eastAsia="zh-CN" w:bidi="ar-SA"/>
              </w:rPr>
              <w:t>项目</w:t>
            </w:r>
            <w:r>
              <w:rPr>
                <w:rFonts w:hint="eastAsia" w:ascii="宋体" w:hAnsi="宋体" w:cs="Times New Roman"/>
                <w:kern w:val="0"/>
                <w:sz w:val="24"/>
                <w:szCs w:val="22"/>
                <w:lang w:val="en-US" w:eastAsia="zh-CN" w:bidi="ar-SA"/>
              </w:rPr>
              <w:t>之一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2"/>
                <w:lang w:val="en-US" w:eastAsia="zh-CN" w:bidi="ar-SA"/>
              </w:rPr>
              <w:t>，明年我们会把信息化落到实处，把经销商和门店的</w:t>
            </w:r>
            <w:r>
              <w:rPr>
                <w:rFonts w:hint="eastAsia" w:ascii="宋体" w:hAnsi="宋体" w:cs="Times New Roman"/>
                <w:kern w:val="0"/>
                <w:sz w:val="24"/>
                <w:szCs w:val="22"/>
                <w:lang w:val="en-US" w:eastAsia="zh-CN" w:bidi="ar-SA"/>
              </w:rPr>
              <w:t>进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2"/>
                <w:lang w:val="en-US" w:eastAsia="zh-CN" w:bidi="ar-SA"/>
              </w:rPr>
              <w:t>销存的一系列信息能够反馈到厂家，能够指导我们的生产和物流</w:t>
            </w:r>
            <w:r>
              <w:rPr>
                <w:rFonts w:hint="eastAsia" w:ascii="宋体" w:hAnsi="宋体" w:cs="Times New Roman"/>
                <w:kern w:val="0"/>
                <w:sz w:val="24"/>
                <w:szCs w:val="22"/>
                <w:lang w:val="en-US" w:eastAsia="zh-CN" w:bidi="ar-SA"/>
              </w:rPr>
              <w:t>，以销定产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2"/>
                <w:lang w:val="en-US" w:eastAsia="zh-CN" w:bidi="ar-SA"/>
              </w:rPr>
              <w:t>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Chars="0" w:right="0" w:rightChars="0" w:firstLine="480" w:firstLineChars="200"/>
              <w:jc w:val="both"/>
              <w:textAlignment w:val="auto"/>
              <w:rPr>
                <w:rFonts w:hint="eastAsia" w:ascii="宋体" w:hAnsi="宋体" w:eastAsia="宋体" w:cs="Times New Roman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2"/>
                <w:lang w:val="en-US" w:eastAsia="zh-CN" w:bidi="ar-SA"/>
              </w:rPr>
              <w:t>f、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2"/>
                <w:lang w:val="en-US" w:eastAsia="zh-CN" w:bidi="ar-SA"/>
              </w:rPr>
              <w:t>新零售引流</w:t>
            </w:r>
            <w:r>
              <w:rPr>
                <w:rFonts w:hint="eastAsia" w:ascii="宋体" w:hAnsi="宋体" w:cs="Times New Roman"/>
                <w:kern w:val="0"/>
                <w:sz w:val="24"/>
                <w:szCs w:val="22"/>
                <w:lang w:val="en-US" w:eastAsia="zh-CN" w:bidi="ar-SA"/>
              </w:rPr>
              <w:t>和社群营销。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2"/>
                <w:lang w:val="en-US" w:eastAsia="zh-CN" w:bidi="ar-SA"/>
              </w:rPr>
              <w:t>我们东鹏的新零售</w:t>
            </w:r>
            <w:r>
              <w:rPr>
                <w:rFonts w:hint="eastAsia" w:ascii="宋体" w:hAnsi="宋体" w:cs="Times New Roman"/>
                <w:kern w:val="0"/>
                <w:sz w:val="24"/>
                <w:szCs w:val="22"/>
                <w:lang w:val="en-US" w:eastAsia="zh-CN" w:bidi="ar-SA"/>
              </w:rPr>
              <w:t>业务在瓷砖行业一直以来排在前列，是同行业连续多年的天猫、京东“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2"/>
                <w:lang w:val="en-US" w:eastAsia="zh-CN" w:bidi="ar-SA"/>
              </w:rPr>
              <w:t>双十一</w:t>
            </w:r>
            <w:r>
              <w:rPr>
                <w:rFonts w:hint="eastAsia" w:ascii="宋体" w:hAnsi="宋体" w:cs="Times New Roman"/>
                <w:kern w:val="0"/>
                <w:sz w:val="24"/>
                <w:szCs w:val="22"/>
                <w:lang w:val="en-US" w:eastAsia="zh-CN" w:bidi="ar-SA"/>
              </w:rPr>
              <w:t>”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2"/>
                <w:lang w:val="en-US" w:eastAsia="zh-CN" w:bidi="ar-SA"/>
              </w:rPr>
              <w:t>冠军。通过新零售我们会引流到线下，提升单店流量。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Chars="0" w:right="0" w:rightChars="0" w:firstLine="480" w:firstLineChars="200"/>
              <w:jc w:val="both"/>
              <w:textAlignment w:val="auto"/>
              <w:rPr>
                <w:rFonts w:hint="eastAsia" w:ascii="宋体" w:hAnsi="宋体" w:eastAsia="宋体" w:cs="Times New Roman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2"/>
                <w:lang w:val="en-US" w:eastAsia="zh-CN" w:bidi="ar-SA"/>
              </w:rPr>
              <w:t>g、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2"/>
                <w:lang w:val="en-US" w:eastAsia="zh-CN" w:bidi="ar-SA"/>
              </w:rPr>
              <w:t>服务创新，</w:t>
            </w:r>
            <w:r>
              <w:rPr>
                <w:rFonts w:hint="eastAsia" w:ascii="宋体" w:hAnsi="宋体" w:cs="Times New Roman"/>
                <w:kern w:val="0"/>
                <w:sz w:val="24"/>
                <w:szCs w:val="22"/>
                <w:lang w:val="en-US" w:eastAsia="zh-CN" w:bidi="ar-SA"/>
              </w:rPr>
              <w:t>东鹏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2"/>
                <w:lang w:val="en-US" w:eastAsia="zh-CN" w:bidi="ar-SA"/>
              </w:rPr>
              <w:t>是行业内第一个提出</w:t>
            </w:r>
            <w:r>
              <w:rPr>
                <w:rFonts w:hint="eastAsia" w:ascii="宋体" w:hAnsi="宋体" w:cs="Times New Roman"/>
                <w:kern w:val="0"/>
                <w:sz w:val="24"/>
                <w:szCs w:val="22"/>
                <w:lang w:val="en-US" w:eastAsia="zh-CN" w:bidi="ar-SA"/>
              </w:rPr>
              <w:t>瓷砖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2"/>
                <w:lang w:val="en-US" w:eastAsia="zh-CN" w:bidi="ar-SA"/>
              </w:rPr>
              <w:t>包</w:t>
            </w:r>
            <w:r>
              <w:rPr>
                <w:rFonts w:hint="eastAsia" w:ascii="宋体" w:hAnsi="宋体" w:cs="Times New Roman"/>
                <w:kern w:val="0"/>
                <w:sz w:val="24"/>
                <w:szCs w:val="22"/>
                <w:lang w:val="en-US" w:eastAsia="zh-CN" w:bidi="ar-SA"/>
              </w:rPr>
              <w:t>铺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2"/>
                <w:lang w:val="en-US" w:eastAsia="zh-CN" w:bidi="ar-SA"/>
              </w:rPr>
              <w:t>贴</w:t>
            </w:r>
            <w:r>
              <w:rPr>
                <w:rFonts w:hint="eastAsia" w:ascii="宋体" w:hAnsi="宋体" w:cs="Times New Roman"/>
                <w:kern w:val="0"/>
                <w:sz w:val="24"/>
                <w:szCs w:val="22"/>
                <w:lang w:val="en-US" w:eastAsia="zh-CN" w:bidi="ar-SA"/>
              </w:rPr>
              <w:t>服务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2"/>
                <w:lang w:val="en-US" w:eastAsia="zh-CN" w:bidi="ar-SA"/>
              </w:rPr>
              <w:t>的，让消费者在购买瓷砖的同时，也能</w:t>
            </w:r>
            <w:r>
              <w:rPr>
                <w:rFonts w:hint="eastAsia" w:ascii="宋体" w:hAnsi="宋体" w:cs="Times New Roman"/>
                <w:kern w:val="0"/>
                <w:sz w:val="24"/>
                <w:szCs w:val="22"/>
                <w:lang w:val="en-US" w:eastAsia="zh-CN" w:bidi="ar-SA"/>
              </w:rPr>
              <w:t>获得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2"/>
                <w:lang w:val="en-US" w:eastAsia="zh-CN" w:bidi="ar-SA"/>
              </w:rPr>
              <w:t>我们瓷砖铺贴的</w:t>
            </w:r>
            <w:r>
              <w:rPr>
                <w:rFonts w:hint="eastAsia" w:ascii="宋体" w:hAnsi="宋体" w:cs="Times New Roman"/>
                <w:kern w:val="0"/>
                <w:sz w:val="24"/>
                <w:szCs w:val="22"/>
                <w:lang w:val="en-US" w:eastAsia="zh-CN" w:bidi="ar-SA"/>
              </w:rPr>
              <w:t>专业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2"/>
                <w:lang w:val="en-US" w:eastAsia="zh-CN" w:bidi="ar-SA"/>
              </w:rPr>
              <w:t>服务</w:t>
            </w:r>
            <w:r>
              <w:rPr>
                <w:rFonts w:hint="eastAsia" w:ascii="宋体" w:hAnsi="宋体" w:cs="Times New Roman"/>
                <w:kern w:val="0"/>
                <w:sz w:val="24"/>
                <w:szCs w:val="22"/>
                <w:lang w:val="en-US" w:eastAsia="zh-CN" w:bidi="ar-SA"/>
              </w:rPr>
              <w:t>。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2"/>
                <w:lang w:val="en-US" w:eastAsia="zh-CN" w:bidi="ar-SA"/>
              </w:rPr>
              <w:t>今年已经在山东进行了试点</w:t>
            </w:r>
            <w:r>
              <w:rPr>
                <w:rFonts w:hint="eastAsia" w:ascii="宋体" w:hAnsi="宋体" w:cs="Times New Roman"/>
                <w:kern w:val="0"/>
                <w:sz w:val="24"/>
                <w:szCs w:val="22"/>
                <w:lang w:val="en-US" w:eastAsia="zh-CN" w:bidi="ar-SA"/>
              </w:rPr>
              <w:t>和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2"/>
                <w:lang w:val="en-US" w:eastAsia="zh-CN" w:bidi="ar-SA"/>
              </w:rPr>
              <w:t>推广</w:t>
            </w:r>
            <w:r>
              <w:rPr>
                <w:rFonts w:hint="eastAsia" w:ascii="宋体" w:hAnsi="宋体" w:cs="Times New Roman"/>
                <w:kern w:val="0"/>
                <w:sz w:val="24"/>
                <w:szCs w:val="22"/>
                <w:lang w:val="en-US" w:eastAsia="zh-CN" w:bidi="ar-SA"/>
              </w:rPr>
              <w:t>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Chars="0" w:right="0" w:rightChars="0" w:firstLine="480" w:firstLineChars="200"/>
              <w:jc w:val="both"/>
              <w:textAlignment w:val="auto"/>
              <w:rPr>
                <w:rFonts w:hint="default" w:ascii="宋体" w:hAnsi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  <w:szCs w:val="22"/>
                <w:lang w:val="en-US" w:eastAsia="zh-CN"/>
              </w:rPr>
              <w:t>（2）开拓新店、三四线渠道下沉、经销商扁平化</w:t>
            </w:r>
            <w:r>
              <w:rPr>
                <w:rFonts w:hint="eastAsia" w:ascii="宋体" w:hAnsi="宋体"/>
                <w:kern w:val="0"/>
                <w:sz w:val="24"/>
                <w:szCs w:val="22"/>
                <w:lang w:val="en-US" w:eastAsia="zh-CN"/>
              </w:rPr>
              <w:t>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Chars="0" w:right="0" w:rightChars="0" w:firstLine="480" w:firstLineChars="200"/>
              <w:jc w:val="both"/>
              <w:textAlignment w:val="auto"/>
              <w:rPr>
                <w:rFonts w:hint="default" w:ascii="宋体" w:hAnsi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  <w:szCs w:val="22"/>
                <w:lang w:val="en-US" w:eastAsia="zh-CN"/>
              </w:rPr>
              <w:t>（3）发挥小B工程优势</w:t>
            </w:r>
            <w:r>
              <w:rPr>
                <w:rFonts w:hint="eastAsia" w:ascii="宋体" w:hAnsi="宋体"/>
                <w:kern w:val="0"/>
                <w:sz w:val="24"/>
                <w:szCs w:val="22"/>
                <w:lang w:val="en-US" w:eastAsia="zh-CN"/>
              </w:rPr>
              <w:t>，通过庞大的经销网络努力开展小微工程。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Chars="0" w:right="0" w:rightChars="0" w:firstLine="480" w:firstLineChars="200"/>
              <w:jc w:val="both"/>
              <w:textAlignment w:val="auto"/>
              <w:rPr>
                <w:rFonts w:hint="default" w:ascii="宋体" w:hAnsi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  <w:szCs w:val="22"/>
                <w:lang w:val="en-US" w:eastAsia="zh-CN"/>
              </w:rPr>
              <w:t>2、做优质工程（企业总部、市政工程、总包、商业连锁</w:t>
            </w:r>
            <w:r>
              <w:rPr>
                <w:rFonts w:hint="eastAsia" w:ascii="宋体" w:hAnsi="宋体"/>
                <w:kern w:val="0"/>
                <w:sz w:val="24"/>
                <w:szCs w:val="22"/>
                <w:lang w:val="en-US" w:eastAsia="zh-CN"/>
              </w:rPr>
              <w:t>、</w:t>
            </w:r>
            <w:r>
              <w:rPr>
                <w:rFonts w:hint="default" w:ascii="宋体" w:hAnsi="宋体"/>
                <w:kern w:val="0"/>
                <w:sz w:val="24"/>
                <w:szCs w:val="22"/>
                <w:lang w:val="en-US" w:eastAsia="zh-CN"/>
              </w:rPr>
              <w:t>优质地产（区域地产、战略地产）、）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Chars="0" w:right="0" w:rightChars="0" w:firstLine="480" w:firstLineChars="200"/>
              <w:jc w:val="both"/>
              <w:textAlignment w:val="auto"/>
              <w:rPr>
                <w:rFonts w:hint="default" w:ascii="宋体" w:hAnsi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2"/>
                <w:lang w:val="en-US" w:eastAsia="zh-CN"/>
              </w:rPr>
              <w:t>东鹏</w:t>
            </w:r>
            <w:r>
              <w:rPr>
                <w:rFonts w:hint="default" w:ascii="宋体" w:hAnsi="宋体"/>
                <w:kern w:val="0"/>
                <w:sz w:val="24"/>
                <w:szCs w:val="22"/>
                <w:lang w:val="en-US" w:eastAsia="zh-CN"/>
              </w:rPr>
              <w:t>做工程比较稳健</w:t>
            </w:r>
            <w:r>
              <w:rPr>
                <w:rFonts w:hint="eastAsia" w:ascii="宋体" w:hAnsi="宋体"/>
                <w:kern w:val="0"/>
                <w:sz w:val="24"/>
                <w:szCs w:val="22"/>
                <w:lang w:val="en-US" w:eastAsia="zh-CN"/>
              </w:rPr>
              <w:t>，应收账款和现金流保持财务稳健，重点</w:t>
            </w:r>
            <w:r>
              <w:rPr>
                <w:rFonts w:hint="default" w:ascii="宋体" w:hAnsi="宋体"/>
                <w:kern w:val="0"/>
                <w:sz w:val="24"/>
                <w:szCs w:val="22"/>
                <w:lang w:val="en-US" w:eastAsia="zh-CN"/>
              </w:rPr>
              <w:t>做优质的工程，除了</w:t>
            </w:r>
            <w:r>
              <w:rPr>
                <w:rFonts w:hint="eastAsia" w:ascii="宋体" w:hAnsi="宋体"/>
                <w:kern w:val="0"/>
                <w:sz w:val="24"/>
                <w:szCs w:val="22"/>
                <w:lang w:val="en-US" w:eastAsia="zh-CN"/>
              </w:rPr>
              <w:t>头部</w:t>
            </w:r>
            <w:r>
              <w:rPr>
                <w:rFonts w:hint="default" w:ascii="宋体" w:hAnsi="宋体"/>
                <w:kern w:val="0"/>
                <w:sz w:val="24"/>
                <w:szCs w:val="22"/>
                <w:lang w:val="en-US" w:eastAsia="zh-CN"/>
              </w:rPr>
              <w:t>地产客户，我们</w:t>
            </w:r>
            <w:r>
              <w:rPr>
                <w:rFonts w:hint="eastAsia" w:ascii="宋体" w:hAnsi="宋体"/>
                <w:kern w:val="0"/>
                <w:sz w:val="24"/>
                <w:szCs w:val="22"/>
                <w:lang w:val="en-US" w:eastAsia="zh-CN"/>
              </w:rPr>
              <w:t>还</w:t>
            </w:r>
            <w:r>
              <w:rPr>
                <w:rFonts w:hint="default" w:ascii="宋体" w:hAnsi="宋体"/>
                <w:kern w:val="0"/>
                <w:sz w:val="24"/>
                <w:szCs w:val="22"/>
                <w:lang w:val="en-US" w:eastAsia="zh-CN"/>
              </w:rPr>
              <w:t>重点开拓企业总部、市政工程、总包</w:t>
            </w:r>
            <w:r>
              <w:rPr>
                <w:rFonts w:hint="eastAsia" w:ascii="宋体" w:hAnsi="宋体"/>
                <w:kern w:val="0"/>
                <w:sz w:val="24"/>
                <w:szCs w:val="22"/>
                <w:lang w:val="en-US" w:eastAsia="zh-CN"/>
              </w:rPr>
              <w:t>、</w:t>
            </w:r>
            <w:r>
              <w:rPr>
                <w:rFonts w:hint="default" w:ascii="宋体" w:hAnsi="宋体"/>
                <w:kern w:val="0"/>
                <w:sz w:val="24"/>
                <w:szCs w:val="22"/>
                <w:lang w:val="en-US" w:eastAsia="zh-CN"/>
              </w:rPr>
              <w:t>商业连锁这样一些优质的工程。比如港珠澳大桥</w:t>
            </w:r>
            <w:r>
              <w:rPr>
                <w:rFonts w:hint="eastAsia" w:ascii="宋体" w:hAnsi="宋体"/>
                <w:kern w:val="0"/>
                <w:sz w:val="24"/>
                <w:szCs w:val="22"/>
                <w:lang w:val="en-US" w:eastAsia="zh-CN"/>
              </w:rPr>
              <w:t>、</w:t>
            </w:r>
            <w:r>
              <w:rPr>
                <w:rFonts w:hint="default" w:ascii="宋体" w:hAnsi="宋体"/>
                <w:kern w:val="0"/>
                <w:sz w:val="24"/>
                <w:szCs w:val="22"/>
                <w:lang w:val="en-US" w:eastAsia="zh-CN"/>
              </w:rPr>
              <w:t>北京大兴机场</w:t>
            </w:r>
            <w:r>
              <w:rPr>
                <w:rFonts w:hint="eastAsia" w:ascii="宋体" w:hAnsi="宋体"/>
                <w:kern w:val="0"/>
                <w:sz w:val="24"/>
                <w:szCs w:val="22"/>
                <w:lang w:val="en-US" w:eastAsia="zh-CN"/>
              </w:rPr>
              <w:t>、雄安高铁站、</w:t>
            </w:r>
            <w:r>
              <w:rPr>
                <w:rFonts w:hint="default" w:ascii="宋体" w:hAnsi="宋体"/>
                <w:kern w:val="0"/>
                <w:sz w:val="24"/>
                <w:szCs w:val="22"/>
                <w:lang w:val="en-US" w:eastAsia="zh-CN"/>
              </w:rPr>
              <w:t>汽车4S店</w:t>
            </w:r>
            <w:r>
              <w:rPr>
                <w:rFonts w:hint="eastAsia" w:ascii="宋体" w:hAnsi="宋体"/>
                <w:kern w:val="0"/>
                <w:sz w:val="24"/>
                <w:szCs w:val="22"/>
                <w:lang w:val="en-US" w:eastAsia="zh-CN"/>
              </w:rPr>
              <w:t>和</w:t>
            </w:r>
            <w:r>
              <w:rPr>
                <w:rFonts w:hint="default" w:ascii="宋体" w:hAnsi="宋体"/>
                <w:kern w:val="0"/>
                <w:sz w:val="24"/>
                <w:szCs w:val="22"/>
                <w:lang w:val="en-US" w:eastAsia="zh-CN"/>
              </w:rPr>
              <w:t>连锁酒店</w:t>
            </w:r>
            <w:r>
              <w:rPr>
                <w:rFonts w:hint="eastAsia" w:ascii="宋体" w:hAnsi="宋体"/>
                <w:kern w:val="0"/>
                <w:sz w:val="24"/>
                <w:szCs w:val="22"/>
                <w:lang w:val="en-US" w:eastAsia="zh-CN"/>
              </w:rPr>
              <w:t>等</w:t>
            </w:r>
            <w:r>
              <w:rPr>
                <w:rFonts w:hint="default" w:ascii="宋体" w:hAnsi="宋体"/>
                <w:kern w:val="0"/>
                <w:sz w:val="24"/>
                <w:szCs w:val="22"/>
                <w:lang w:val="en-US" w:eastAsia="zh-CN"/>
              </w:rPr>
              <w:t>，这些工程相对来说现金流更加有保证</w:t>
            </w:r>
            <w:r>
              <w:rPr>
                <w:rFonts w:hint="eastAsia" w:ascii="宋体" w:hAnsi="宋体"/>
                <w:kern w:val="0"/>
                <w:sz w:val="24"/>
                <w:szCs w:val="22"/>
                <w:lang w:val="en-US" w:eastAsia="zh-CN"/>
              </w:rPr>
              <w:t>。</w:t>
            </w:r>
            <w:r>
              <w:rPr>
                <w:rFonts w:hint="default" w:ascii="宋体" w:hAnsi="宋体"/>
                <w:kern w:val="0"/>
                <w:sz w:val="24"/>
                <w:szCs w:val="22"/>
                <w:lang w:val="en-US" w:eastAsia="zh-CN"/>
              </w:rPr>
              <w:t>所以</w:t>
            </w:r>
            <w:r>
              <w:rPr>
                <w:rFonts w:hint="eastAsia" w:ascii="宋体" w:hAnsi="宋体"/>
                <w:kern w:val="0"/>
                <w:sz w:val="24"/>
                <w:szCs w:val="22"/>
                <w:lang w:val="en-US" w:eastAsia="zh-CN"/>
              </w:rPr>
              <w:t>东鹏</w:t>
            </w:r>
            <w:r>
              <w:rPr>
                <w:rFonts w:hint="default" w:ascii="宋体" w:hAnsi="宋体"/>
                <w:kern w:val="0"/>
                <w:sz w:val="24"/>
                <w:szCs w:val="22"/>
                <w:lang w:val="en-US" w:eastAsia="zh-CN"/>
              </w:rPr>
              <w:t>应收账款比其他公司小</w:t>
            </w:r>
            <w:r>
              <w:rPr>
                <w:rFonts w:hint="eastAsia" w:ascii="宋体" w:hAnsi="宋体"/>
                <w:kern w:val="0"/>
                <w:sz w:val="24"/>
                <w:szCs w:val="22"/>
                <w:lang w:val="en-US" w:eastAsia="zh-CN"/>
              </w:rPr>
              <w:t>，</w:t>
            </w:r>
            <w:r>
              <w:rPr>
                <w:rFonts w:hint="default" w:ascii="宋体" w:hAnsi="宋体"/>
                <w:kern w:val="0"/>
                <w:sz w:val="24"/>
                <w:szCs w:val="22"/>
                <w:lang w:val="en-US" w:eastAsia="zh-CN"/>
              </w:rPr>
              <w:t>而且现金流</w:t>
            </w:r>
            <w:r>
              <w:rPr>
                <w:rFonts w:hint="eastAsia" w:ascii="宋体" w:hAnsi="宋体"/>
                <w:kern w:val="0"/>
                <w:sz w:val="24"/>
                <w:szCs w:val="22"/>
                <w:lang w:val="en-US" w:eastAsia="zh-CN"/>
              </w:rPr>
              <w:t>良好</w:t>
            </w:r>
            <w:r>
              <w:rPr>
                <w:rFonts w:hint="default" w:ascii="宋体" w:hAnsi="宋体"/>
                <w:kern w:val="0"/>
                <w:sz w:val="24"/>
                <w:szCs w:val="22"/>
                <w:lang w:val="en-US" w:eastAsia="zh-CN"/>
              </w:rPr>
              <w:t>，主要得益于我们坚持以零售为主，同时做</w:t>
            </w:r>
            <w:r>
              <w:rPr>
                <w:rFonts w:hint="eastAsia" w:ascii="宋体" w:hAnsi="宋体"/>
                <w:kern w:val="0"/>
                <w:sz w:val="24"/>
                <w:szCs w:val="22"/>
                <w:lang w:val="en-US" w:eastAsia="zh-CN"/>
              </w:rPr>
              <w:t>优质</w:t>
            </w:r>
            <w:r>
              <w:rPr>
                <w:rFonts w:hint="default" w:ascii="宋体" w:hAnsi="宋体"/>
                <w:kern w:val="0"/>
                <w:sz w:val="24"/>
                <w:szCs w:val="22"/>
                <w:lang w:val="en-US" w:eastAsia="zh-CN"/>
              </w:rPr>
              <w:t>工程。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right="0" w:rightChars="0" w:firstLine="480" w:firstLineChars="200"/>
              <w:textAlignment w:val="auto"/>
              <w:rPr>
                <w:rFonts w:hint="eastAsia" w:ascii="宋体" w:hAnsi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2"/>
                <w:lang w:val="en-US" w:eastAsia="zh-CN"/>
              </w:rPr>
              <w:t>此外，</w:t>
            </w:r>
            <w:r>
              <w:rPr>
                <w:rFonts w:hint="default" w:ascii="宋体" w:hAnsi="宋体"/>
                <w:kern w:val="0"/>
                <w:sz w:val="24"/>
                <w:szCs w:val="22"/>
                <w:lang w:val="en-US" w:eastAsia="zh-CN"/>
              </w:rPr>
              <w:t>行业整合大有可为</w:t>
            </w:r>
            <w:r>
              <w:rPr>
                <w:rFonts w:hint="eastAsia" w:ascii="宋体" w:hAnsi="宋体"/>
                <w:kern w:val="0"/>
                <w:sz w:val="24"/>
                <w:szCs w:val="22"/>
                <w:lang w:val="en-US" w:eastAsia="zh-CN"/>
              </w:rPr>
              <w:t>。行业数据显示，头部企业的市场占有率仅为1-2%，行业集中度极低，</w:t>
            </w:r>
            <w:r>
              <w:rPr>
                <w:rFonts w:hint="default" w:ascii="宋体" w:hAnsi="宋体"/>
                <w:kern w:val="0"/>
                <w:sz w:val="24"/>
                <w:szCs w:val="22"/>
                <w:lang w:val="en-US" w:eastAsia="zh-CN"/>
              </w:rPr>
              <w:t>行业整合大有可为</w:t>
            </w:r>
            <w:r>
              <w:rPr>
                <w:rFonts w:hint="eastAsia" w:ascii="宋体" w:hAnsi="宋体"/>
                <w:kern w:val="0"/>
                <w:sz w:val="24"/>
                <w:szCs w:val="22"/>
                <w:lang w:val="en-US" w:eastAsia="zh-CN"/>
              </w:rPr>
              <w:t>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right="0" w:rightChars="0" w:firstLine="480" w:firstLineChars="200"/>
              <w:textAlignment w:val="auto"/>
              <w:rPr>
                <w:rFonts w:hint="eastAsia" w:ascii="宋体" w:hAnsi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借助上市东风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  <w:lang w:val="en-US" w:eastAsia="zh-CN"/>
              </w:rPr>
              <w:t>上市公司的品牌背书，有利于用户的采购决策和各项业务的开展</w:t>
            </w:r>
            <w:r>
              <w:rPr>
                <w:rFonts w:hint="eastAsia"/>
              </w:rPr>
              <w:t>。</w:t>
            </w:r>
          </w:p>
          <w:p>
            <w:pPr>
              <w:pStyle w:val="5"/>
              <w:widowControl/>
              <w:spacing w:line="360" w:lineRule="auto"/>
              <w:rPr>
                <w:rFonts w:ascii="宋体" w:hAnsi="宋体"/>
                <w:b/>
                <w:bCs/>
                <w:szCs w:val="22"/>
              </w:rPr>
            </w:pPr>
            <w:r>
              <w:rPr>
                <w:rFonts w:hint="eastAsia" w:ascii="宋体" w:hAnsi="宋体"/>
                <w:b/>
                <w:bCs/>
                <w:szCs w:val="22"/>
              </w:rPr>
              <w:t>三、提问</w:t>
            </w:r>
            <w:r>
              <w:rPr>
                <w:rFonts w:hint="eastAsia" w:ascii="宋体" w:hAnsi="宋体"/>
                <w:kern w:val="0"/>
                <w:sz w:val="24"/>
                <w:szCs w:val="22"/>
                <w:lang w:val="en-US" w:eastAsia="zh-CN"/>
              </w:rPr>
              <w:t>交流</w:t>
            </w:r>
            <w:r>
              <w:rPr>
                <w:rFonts w:hint="eastAsia" w:ascii="宋体" w:hAnsi="宋体"/>
                <w:b/>
                <w:bCs/>
                <w:szCs w:val="22"/>
              </w:rPr>
              <w:t xml:space="preserve">环节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Q：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地产调控和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装修行业会受周期影响，未来的判断？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A：最近大家会看到一些行业变化，比如2021年1月1日“三道红线”和“限制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instrText xml:space="preserve"> HYPERLINK "hxa://hexin.exe 'opt=13&amp;param=881155|'/" </w:instrTex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银行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房地产贷款比例”新规正式实施，房企融资被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管控。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精装房比例下降毛坯房比例上升等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对东鹏是好消息，我们的优势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是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C+小B，本身大B业务不大，毛坯房比例上升会利好公司零售端业务。存量房、二手房是未来装修的主战场，未来东鹏也会重点关注这两方面，本身也是东鹏优势所在。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Q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、公司目前及未来产能安排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A：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）未来产能会关注现有基地发挥更大价值，提高高值产品的占比。2）公司一部分产能让代工去做，会合理控制代工的范围：主要把低值产品交给代工做，满足对产能的灵活需求。未来可能形成代工联盟。3）如果未来代工都满足不了，将会新增生产线的，目前采取的是土地+生产线模式，目前重庆1800亩地只建了2条产线，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计划的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丰城1200亩也有未来产线安排，土地资源充足，产线建设空间还很大。4）还可以通过收购兼并来扩产能，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重点看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品牌、渠道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和产品的特色，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公司保持对优质标的收购的可能性。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Q：瓷砖行业集中度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有待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提高，公司如何抢占更多市场份额？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A：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瓷砖行业是个数千亿市场的“大市场小公司的”现状，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东鹏这样的头部企业的市占率也仅有2%左右。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行业集中度低主要由于行业生产基地的布局是集中于广东省，后面才扩散到各个区域，市场份额的抢占考验各企业产线的布局、产品的品控（原材料、技工管控）等。我们认为未来行业会向头部集中，因为头部企业才能更好地做区域化布局、有品牌力、有能力做标准化管理、匹配区域化营销和布局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陶瓷运输成本比较高，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东鹏的遍布核心产区的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区域化工厂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布局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优势很大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东鹏有品牌加区域布局，对中小品牌是降维打击，在这块可以扩量。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随着国家加强环保和税收、用工的规范，行业有进一步集中的趋势。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Q：公司在产品差异化、成本管控上是如何进行的？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A：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瓷砖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头部企业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比较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产品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同质化比较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突出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，难做差异化，原因是产品研发具有以下特点：主要靠外围设备供应商的引导，企业自主研发能力较弱。公司也是看到了这一问题，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已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积极提高自有研发生产能力：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已设立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清远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无釉砖、丰城釉面砖、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澧县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仿古砖自主研发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基地，不断进行产品创新打造差异化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，并已取得成效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成本方面主要受新建产能带动而降低，这也是山西、重庆等地办厂的原因：①燃料成本低②有原材料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优势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③政府政策支持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进而使得成本端下降。同时，新建产能具有设备新、设备智能化的后发优势，使其比老厂成本低，进一步带动成本降低。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同时公司通过优化瓷砖配方，使得原料成本降低并提升产品品质。环保、用工规范的东鹏，近来调整配方后的瓷砖成本低于行业平均水平。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Q：怎么平衡C+小B业务和大B业务的？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A：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地产大B工程可以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快速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扩量，但是要求售价低，回款慢，附加条件多。公司在控制大B业务，不会让大B业绩占比太高，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毛利低回款周期长，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对团队来说不是高质量的增长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模式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。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我们要重点发挥自身在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C+小B业务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的优势，这部分的业务是利润和现金流的保障，并且有利于树立品牌。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Q：能否介绍公司共享仓模式？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A：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共享仓模式是公司一大优势，共享仓指除了生产基地周边就有仓库之外，还会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对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主要经销商的仓库进行共享，辐射中小经销商有利于更多地开店。共享仓主要有四大好处，①共享仓的产品非常符合当地的购买能力与消费者喜好；②核心经销商还有进一步加工能力，在共享仓旁边配套加工厂，帮助业主进行切割、拼花等；③对中小经销商而言，共享仓提供库存支撑，增加产品SKU，同时可降低物流成本；④对主要经销商而言，可以提高周转率、批量采购降低采购成本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和物流成本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Q：公司如何打造产品差异化？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A：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公司积极提高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自主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研发生产能力：自建清远生产基地、湖南澧县生产基地，不断进行产品创新打造差异化。公司目前差异化在业内做得比较好。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Q：公司产品的战略定位？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为什么做企业小业务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A：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公司是重点发展瓷砖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、卫浴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，带动其他品类。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木地板、涂料、护墙板等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多品类是为了满足消费者一站式购买的需求，对经销商而言也是提高客单价与增加收入的途径。公司一直保持“1+N”的战略，其中“1”就是瓷砖。</w:t>
            </w:r>
          </w:p>
          <w:p>
            <w:pPr>
              <w:pStyle w:val="5"/>
              <w:widowControl/>
              <w:spacing w:beforeAutospacing="0" w:afterAutospacing="0" w:line="360" w:lineRule="auto"/>
              <w:ind w:firstLine="480" w:firstLineChars="2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Q：C端未来增速、体量预估？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A：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存量房市场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和毛坯房市场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很大，东鹏在C端加大力度还是有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很大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空间。三四线市场新开发毛坯房、一二线高端客户别墅改造、翻新的量也足够大，也有千亿规模。未来规模和增速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较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难预测，零售市场做到15%-20%的市占率是非常好的选择，但是不影响做其他的业务。零售业务可以保证现金流和利润，树立公司品牌。</w:t>
            </w:r>
          </w:p>
          <w:p>
            <w:pPr>
              <w:pStyle w:val="5"/>
              <w:widowControl/>
              <w:spacing w:beforeAutospacing="0" w:afterAutospacing="0" w:line="360" w:lineRule="auto"/>
              <w:ind w:firstLine="480" w:firstLineChars="2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Q：未来发展策略？增速如何更上一层楼？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A：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专业的人做专业的事；加大品牌和终端建设投入；终端进一步赋能，一线导购、服务人员更加专业，还有继续下沉布局增加县镇的网点；提高专卖店单店坪效。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练好内功，借上市和资本市场实现跨越式发展。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另外东鹏有别的品牌没有的优势，800万的老用户，一大半有10年以上历史，都到了改善住房、二手房更新或重新装修的过程，这些是公司很重要的回头客。竞争对手没有这些老客户资源。</w:t>
            </w:r>
          </w:p>
          <w:p>
            <w:pPr>
              <w:pStyle w:val="5"/>
              <w:widowControl/>
              <w:spacing w:beforeAutospacing="0" w:afterAutospacing="0" w:line="360" w:lineRule="auto"/>
              <w:ind w:firstLine="480" w:firstLineChars="2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Q：在重庆、山西新建产能具有原材料成本优势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外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，主要考量？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A：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主要还是基于我们看好中西部地区的市场，背后是我们房地产市场数据的分析。主要建厂还是为了满足当地需求而非跨区域调运。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Q：中西部的产能布局起来之后，还有其他地区的空白要补充吗？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A：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东鹏的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全国的区域性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基地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布局目前已经基本完成。</w:t>
            </w:r>
          </w:p>
          <w:p>
            <w:pPr>
              <w:pStyle w:val="5"/>
              <w:widowControl/>
              <w:spacing w:beforeAutospacing="0" w:afterAutospacing="0" w:line="360" w:lineRule="auto"/>
              <w:ind w:firstLine="480" w:firstLineChars="2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Q：公司在原材料端的配方问题？泥沙料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成本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下降，原材料周转天数低于同行业，这是如何做到的？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A：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合理的配方使得成本下降，公司主要是通过人工及时干预，实现成本下降的同时品质上升，关键是人的问题。</w:t>
            </w:r>
          </w:p>
          <w:p>
            <w:pPr>
              <w:pStyle w:val="5"/>
              <w:widowControl/>
              <w:spacing w:beforeAutospacing="0" w:afterAutospacing="0" w:line="360" w:lineRule="auto"/>
              <w:ind w:firstLine="480" w:firstLineChars="2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Q：公司在做岩板，公司的新产品包括岩板的量大概有多少？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A：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东鹏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2020新产品占比在20%左右。岩板的销售额大概近2亿元。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岩板是近期比较火热的领域，其他公司也有在投入发展岩板业务。</w:t>
            </w:r>
          </w:p>
          <w:p>
            <w:pPr>
              <w:pStyle w:val="5"/>
              <w:widowControl/>
              <w:spacing w:beforeAutospacing="0" w:afterAutospacing="0" w:line="360" w:lineRule="auto"/>
              <w:ind w:firstLine="480" w:firstLineChars="2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Q：公司目前有2000经销商和6500门店，面对如此庞大的终端，我们如何去管理和如何激发经销商热情？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A：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主观能动性非常重要，前两年受地产调控影响是一个行业寒冬，很多经销商都现金为王，减小库存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降低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店面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投入。公司会厂商合作，通过各种策略和政策激励经销商主观能动性。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主要措施有：①上市极大鼓舞了经销商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信心和员工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士气；②后续一系列做法如高值产品、共享仓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、提升单店产出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等，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今年三季度以来的增长，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让经销商真正看到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获得利润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，产生直接激励；③如果经销商的能力不足（对产品理解不够）了，公司会通过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赋能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培训等方式进行解决；可能是经销商资金能力不行（小B工程也需要资金），公司也将进行对口帮扶和帮助；④如果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业绩提升是经销商自身的原因到达瓶颈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，将进行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经销商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扁平化（可以减少中间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环节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，提高产品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价格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竞争力）、引入竞争机制（若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原有经销商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无法达到约定增长目标，则引入新的经销商来分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担业绩增长的目标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）、引入渠道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经销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商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（工程经销商、大包经销商等）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补充当地经销商工程服务能力不足</w:t>
            </w:r>
          </w:p>
          <w:p>
            <w:pPr>
              <w:pStyle w:val="5"/>
              <w:widowControl/>
              <w:spacing w:beforeAutospacing="0" w:afterAutospacing="0" w:line="360" w:lineRule="auto"/>
              <w:ind w:firstLine="480" w:firstLineChars="2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Q：与同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行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业竞争情况是怎么样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看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A：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各个企业的优劣势都不太一样，公司会取长补短；其次，各家市占率普遍不高，特别零售渠道竞争还未到激烈状态，还有很大增长空间。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竞争激烈的主要是战略工程，由于地产商的压榨其实这块业务不太好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，其实大家都很无奈，但为了业绩增长不得不做。目前东鹏地产工程占比只有10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亿、20%左右，蒙娜丽莎一大半做工程，欧神诺80%，他们都是以工程为主的。而公司更重视零售，品牌好、门店铺得更早，具有先发优势，零售端对利润、现金流、品牌力提升都非常有益处。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公司以后将大力发挥零售优势，而在工程业务方面进行筛选，公司内部有排序与轻重划分：总部、市政工程&gt;战略工程、地产工程。地产商更多的不是看品牌与产品，而是看是否有垫资能力、交付能力以满足其高周转要求。公司过去几年基数低因此增长快，未来也有增长空间，努力加大与总部、市政工程的合作。</w:t>
            </w:r>
          </w:p>
          <w:p>
            <w:pPr>
              <w:pStyle w:val="5"/>
              <w:widowControl/>
              <w:spacing w:beforeAutospacing="0" w:afterAutospacing="0" w:line="360" w:lineRule="auto"/>
              <w:ind w:firstLine="480" w:firstLineChars="2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Q：扩产能会不会出现供大于求的情况？产能过剩？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A：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陶瓷产能从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全行业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整体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看产能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过剩，但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高值产品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新产品的产能还不足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，目前公司产线正在不断迭代、更新、发展。</w:t>
            </w:r>
          </w:p>
          <w:p>
            <w:pPr>
              <w:pStyle w:val="5"/>
              <w:widowControl/>
              <w:spacing w:beforeAutospacing="0" w:afterAutospacing="0" w:line="360" w:lineRule="auto"/>
              <w:ind w:firstLine="480" w:firstLineChars="2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pStyle w:val="5"/>
              <w:widowControl/>
              <w:spacing w:beforeAutospacing="0" w:afterAutospacing="0" w:line="360" w:lineRule="auto"/>
              <w:rPr>
                <w:rFonts w:ascii="宋体" w:hAnsi="宋体"/>
                <w:bCs/>
                <w:iCs/>
                <w:szCs w:val="24"/>
              </w:rPr>
            </w:pPr>
            <w:r>
              <w:rPr>
                <w:rFonts w:hint="eastAsia" w:ascii="宋体" w:hAnsi="宋体"/>
                <w:szCs w:val="22"/>
                <w:lang w:bidi="ar"/>
              </w:rPr>
              <w:t>以上内容未涉及内幕信息。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b/>
                <w:bCs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6614" w:type="dxa"/>
            <w:shd w:val="clear" w:color="auto" w:fill="auto"/>
          </w:tcPr>
          <w:p>
            <w:pPr>
              <w:pStyle w:val="5"/>
              <w:widowControl/>
              <w:spacing w:beforeAutospacing="0" w:afterAutospacing="0" w:line="360" w:lineRule="auto"/>
              <w:rPr>
                <w:rFonts w:ascii="宋体" w:hAnsi="宋体"/>
                <w:bCs/>
                <w:iCs/>
                <w:szCs w:val="24"/>
              </w:rPr>
            </w:pPr>
            <w:r>
              <w:t>未提供书面材料</w:t>
            </w:r>
            <w:r>
              <w:rPr>
                <w:rFonts w:hint="eastAsi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记录日期</w:t>
            </w:r>
          </w:p>
        </w:tc>
        <w:tc>
          <w:tcPr>
            <w:tcW w:w="6614" w:type="dxa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202</w:t>
            </w:r>
            <w:r>
              <w:rPr>
                <w:rFonts w:hint="eastAsia" w:ascii="宋体" w:hAnsi="宋体"/>
                <w:bCs/>
                <w:iCs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年1月</w:t>
            </w:r>
            <w:r>
              <w:rPr>
                <w:rFonts w:hint="eastAsia" w:ascii="宋体" w:hAnsi="宋体"/>
                <w:bCs/>
                <w:iCs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日</w:t>
            </w:r>
          </w:p>
        </w:tc>
      </w:tr>
    </w:tbl>
    <w:p>
      <w:pPr>
        <w:spacing w:line="360" w:lineRule="auto"/>
        <w:ind w:firstLine="480" w:firstLineChars="200"/>
        <w:rPr>
          <w:sz w:val="24"/>
          <w:szCs w:val="24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B50257"/>
    <w:multiLevelType w:val="singleLevel"/>
    <w:tmpl w:val="C2B50257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E72A8354"/>
    <w:multiLevelType w:val="singleLevel"/>
    <w:tmpl w:val="E72A835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216BF54B"/>
    <w:multiLevelType w:val="singleLevel"/>
    <w:tmpl w:val="216BF54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B06C5C"/>
    <w:rsid w:val="00052FAE"/>
    <w:rsid w:val="00230CF2"/>
    <w:rsid w:val="00366E2C"/>
    <w:rsid w:val="00430E96"/>
    <w:rsid w:val="009A6747"/>
    <w:rsid w:val="009B0D60"/>
    <w:rsid w:val="00A20F64"/>
    <w:rsid w:val="00C9746F"/>
    <w:rsid w:val="00D605D4"/>
    <w:rsid w:val="00E65222"/>
    <w:rsid w:val="00E84D0A"/>
    <w:rsid w:val="00ED1954"/>
    <w:rsid w:val="00F15F85"/>
    <w:rsid w:val="011974F5"/>
    <w:rsid w:val="01D90464"/>
    <w:rsid w:val="022F7D6A"/>
    <w:rsid w:val="02AF5A74"/>
    <w:rsid w:val="02E31E3B"/>
    <w:rsid w:val="03565313"/>
    <w:rsid w:val="04136E22"/>
    <w:rsid w:val="043E3047"/>
    <w:rsid w:val="047637E2"/>
    <w:rsid w:val="05E622C4"/>
    <w:rsid w:val="061C75E6"/>
    <w:rsid w:val="0640760B"/>
    <w:rsid w:val="06A85ED7"/>
    <w:rsid w:val="07F6565F"/>
    <w:rsid w:val="080C68D2"/>
    <w:rsid w:val="089C77DD"/>
    <w:rsid w:val="090444A2"/>
    <w:rsid w:val="09233B15"/>
    <w:rsid w:val="09CF3039"/>
    <w:rsid w:val="0A08189D"/>
    <w:rsid w:val="0A78751F"/>
    <w:rsid w:val="0A851184"/>
    <w:rsid w:val="0AAB11DC"/>
    <w:rsid w:val="0AD87578"/>
    <w:rsid w:val="0AE904E5"/>
    <w:rsid w:val="0AE94C06"/>
    <w:rsid w:val="0B031FD5"/>
    <w:rsid w:val="0B606794"/>
    <w:rsid w:val="0B61120C"/>
    <w:rsid w:val="0C4E6BAE"/>
    <w:rsid w:val="0C785D42"/>
    <w:rsid w:val="0C8F03E2"/>
    <w:rsid w:val="0DC71984"/>
    <w:rsid w:val="0E0863FA"/>
    <w:rsid w:val="0E960447"/>
    <w:rsid w:val="0EC74912"/>
    <w:rsid w:val="10CB7899"/>
    <w:rsid w:val="10F031D7"/>
    <w:rsid w:val="11A404DE"/>
    <w:rsid w:val="12023435"/>
    <w:rsid w:val="121A07AC"/>
    <w:rsid w:val="124E046A"/>
    <w:rsid w:val="12B659C9"/>
    <w:rsid w:val="12FF5CFE"/>
    <w:rsid w:val="13537A48"/>
    <w:rsid w:val="136A48DF"/>
    <w:rsid w:val="13912283"/>
    <w:rsid w:val="13F31E7A"/>
    <w:rsid w:val="14002B56"/>
    <w:rsid w:val="14520D67"/>
    <w:rsid w:val="14B06C5C"/>
    <w:rsid w:val="14C657F9"/>
    <w:rsid w:val="152F6979"/>
    <w:rsid w:val="15B8792D"/>
    <w:rsid w:val="15EF7E94"/>
    <w:rsid w:val="163207B0"/>
    <w:rsid w:val="163843BC"/>
    <w:rsid w:val="16A558DA"/>
    <w:rsid w:val="16C30A05"/>
    <w:rsid w:val="1767173B"/>
    <w:rsid w:val="176E2289"/>
    <w:rsid w:val="17D14D6F"/>
    <w:rsid w:val="18A230A7"/>
    <w:rsid w:val="18FD4E14"/>
    <w:rsid w:val="195B0F37"/>
    <w:rsid w:val="19A91874"/>
    <w:rsid w:val="1A285BC0"/>
    <w:rsid w:val="1C0C7477"/>
    <w:rsid w:val="1C9D5F07"/>
    <w:rsid w:val="1CB0161F"/>
    <w:rsid w:val="1CCF0E30"/>
    <w:rsid w:val="1CDA4EB9"/>
    <w:rsid w:val="1D653BD0"/>
    <w:rsid w:val="1E856423"/>
    <w:rsid w:val="1EA37121"/>
    <w:rsid w:val="1EB93648"/>
    <w:rsid w:val="1EDA49C1"/>
    <w:rsid w:val="1EDF0EA1"/>
    <w:rsid w:val="1F0C2141"/>
    <w:rsid w:val="2018682F"/>
    <w:rsid w:val="203C0ED9"/>
    <w:rsid w:val="20AF4D08"/>
    <w:rsid w:val="20D0572F"/>
    <w:rsid w:val="211521A0"/>
    <w:rsid w:val="21217128"/>
    <w:rsid w:val="21812F73"/>
    <w:rsid w:val="22003007"/>
    <w:rsid w:val="223A2DA5"/>
    <w:rsid w:val="22573A18"/>
    <w:rsid w:val="225D0018"/>
    <w:rsid w:val="22783D93"/>
    <w:rsid w:val="22832713"/>
    <w:rsid w:val="22C271FD"/>
    <w:rsid w:val="23A907A0"/>
    <w:rsid w:val="244E6C89"/>
    <w:rsid w:val="246059D4"/>
    <w:rsid w:val="24962DE0"/>
    <w:rsid w:val="24CA6457"/>
    <w:rsid w:val="24D17BC7"/>
    <w:rsid w:val="24DC54B8"/>
    <w:rsid w:val="27635D4C"/>
    <w:rsid w:val="278509A5"/>
    <w:rsid w:val="278F5E41"/>
    <w:rsid w:val="27D961F4"/>
    <w:rsid w:val="280B32D4"/>
    <w:rsid w:val="28A31EF4"/>
    <w:rsid w:val="28AB7D58"/>
    <w:rsid w:val="28AC2191"/>
    <w:rsid w:val="28F32F8B"/>
    <w:rsid w:val="29843A1D"/>
    <w:rsid w:val="29A81B34"/>
    <w:rsid w:val="29AF102A"/>
    <w:rsid w:val="2A66076B"/>
    <w:rsid w:val="2ABE0EFF"/>
    <w:rsid w:val="2AD955F4"/>
    <w:rsid w:val="2B202853"/>
    <w:rsid w:val="2B2659E0"/>
    <w:rsid w:val="2C976E98"/>
    <w:rsid w:val="2D066104"/>
    <w:rsid w:val="2D5B26DD"/>
    <w:rsid w:val="2D7A5B2C"/>
    <w:rsid w:val="2D847E6E"/>
    <w:rsid w:val="2E444B64"/>
    <w:rsid w:val="2E904E55"/>
    <w:rsid w:val="2ED46401"/>
    <w:rsid w:val="301C2FFA"/>
    <w:rsid w:val="304E7D30"/>
    <w:rsid w:val="30912E10"/>
    <w:rsid w:val="30B41FE9"/>
    <w:rsid w:val="30B770A6"/>
    <w:rsid w:val="30C21886"/>
    <w:rsid w:val="30C3014B"/>
    <w:rsid w:val="31AD5CAC"/>
    <w:rsid w:val="31B84E6D"/>
    <w:rsid w:val="31C9638D"/>
    <w:rsid w:val="31E62520"/>
    <w:rsid w:val="326E01AC"/>
    <w:rsid w:val="3287256E"/>
    <w:rsid w:val="32DF0250"/>
    <w:rsid w:val="33B437A7"/>
    <w:rsid w:val="33CA197F"/>
    <w:rsid w:val="33FD6253"/>
    <w:rsid w:val="343D393D"/>
    <w:rsid w:val="343E5258"/>
    <w:rsid w:val="346A259E"/>
    <w:rsid w:val="34BE1805"/>
    <w:rsid w:val="35B7242F"/>
    <w:rsid w:val="35E314B8"/>
    <w:rsid w:val="36105FBC"/>
    <w:rsid w:val="367F756D"/>
    <w:rsid w:val="36D304F4"/>
    <w:rsid w:val="370234DA"/>
    <w:rsid w:val="37DD6E92"/>
    <w:rsid w:val="387C19FF"/>
    <w:rsid w:val="38BF3A55"/>
    <w:rsid w:val="395D1BD1"/>
    <w:rsid w:val="399C7935"/>
    <w:rsid w:val="39AA64F4"/>
    <w:rsid w:val="39BB3FAC"/>
    <w:rsid w:val="3A4B7C62"/>
    <w:rsid w:val="3AB272D5"/>
    <w:rsid w:val="3C035F38"/>
    <w:rsid w:val="3C466C30"/>
    <w:rsid w:val="3C6831DB"/>
    <w:rsid w:val="3C775F41"/>
    <w:rsid w:val="3CC85762"/>
    <w:rsid w:val="3D420A32"/>
    <w:rsid w:val="3DC0312B"/>
    <w:rsid w:val="3E6833C0"/>
    <w:rsid w:val="3E6F661E"/>
    <w:rsid w:val="3F426DA4"/>
    <w:rsid w:val="3FFD7F23"/>
    <w:rsid w:val="40132BA1"/>
    <w:rsid w:val="40164DDC"/>
    <w:rsid w:val="40981E55"/>
    <w:rsid w:val="40B93892"/>
    <w:rsid w:val="40D64256"/>
    <w:rsid w:val="40E65EBD"/>
    <w:rsid w:val="40F52DCD"/>
    <w:rsid w:val="41092085"/>
    <w:rsid w:val="412B0DB6"/>
    <w:rsid w:val="416B2395"/>
    <w:rsid w:val="41C533F4"/>
    <w:rsid w:val="41E55EA9"/>
    <w:rsid w:val="41EA55D1"/>
    <w:rsid w:val="426F43D1"/>
    <w:rsid w:val="427E1652"/>
    <w:rsid w:val="42EE24BA"/>
    <w:rsid w:val="42F12E64"/>
    <w:rsid w:val="43436001"/>
    <w:rsid w:val="43B676E4"/>
    <w:rsid w:val="44737FDD"/>
    <w:rsid w:val="447675F5"/>
    <w:rsid w:val="44AD19CD"/>
    <w:rsid w:val="454269C9"/>
    <w:rsid w:val="456D0B3A"/>
    <w:rsid w:val="457175A3"/>
    <w:rsid w:val="45A31B55"/>
    <w:rsid w:val="45E900DD"/>
    <w:rsid w:val="46357C99"/>
    <w:rsid w:val="4680104F"/>
    <w:rsid w:val="46C36F6C"/>
    <w:rsid w:val="46C726CC"/>
    <w:rsid w:val="4724499B"/>
    <w:rsid w:val="4763554D"/>
    <w:rsid w:val="47775C1B"/>
    <w:rsid w:val="48F52D81"/>
    <w:rsid w:val="490F210B"/>
    <w:rsid w:val="492E4BC8"/>
    <w:rsid w:val="49915090"/>
    <w:rsid w:val="49E54F65"/>
    <w:rsid w:val="49FD352E"/>
    <w:rsid w:val="4ABA49DE"/>
    <w:rsid w:val="4B7A6B1C"/>
    <w:rsid w:val="4B7B537F"/>
    <w:rsid w:val="4B8F7D7B"/>
    <w:rsid w:val="4BA94E5F"/>
    <w:rsid w:val="4BBE1137"/>
    <w:rsid w:val="4BF137D6"/>
    <w:rsid w:val="4CB9373A"/>
    <w:rsid w:val="4CEB0D7D"/>
    <w:rsid w:val="4D0A2007"/>
    <w:rsid w:val="4D0B28E5"/>
    <w:rsid w:val="4D2145E2"/>
    <w:rsid w:val="4DD13300"/>
    <w:rsid w:val="4DEB283D"/>
    <w:rsid w:val="4E033DBA"/>
    <w:rsid w:val="4F610B31"/>
    <w:rsid w:val="4F6D13C5"/>
    <w:rsid w:val="4F725A55"/>
    <w:rsid w:val="4FA52A8C"/>
    <w:rsid w:val="5044756A"/>
    <w:rsid w:val="50574AF9"/>
    <w:rsid w:val="50BF739E"/>
    <w:rsid w:val="50DE2597"/>
    <w:rsid w:val="51472665"/>
    <w:rsid w:val="51583886"/>
    <w:rsid w:val="517850A7"/>
    <w:rsid w:val="51B9445E"/>
    <w:rsid w:val="521020CE"/>
    <w:rsid w:val="52A106C9"/>
    <w:rsid w:val="52C843B6"/>
    <w:rsid w:val="52FC2565"/>
    <w:rsid w:val="53036AA3"/>
    <w:rsid w:val="5345289E"/>
    <w:rsid w:val="537E3DD1"/>
    <w:rsid w:val="540A4D2C"/>
    <w:rsid w:val="542609AF"/>
    <w:rsid w:val="54A41D18"/>
    <w:rsid w:val="54DD57BC"/>
    <w:rsid w:val="550639E0"/>
    <w:rsid w:val="56AD19C5"/>
    <w:rsid w:val="56AE7715"/>
    <w:rsid w:val="56B21E9B"/>
    <w:rsid w:val="573A4651"/>
    <w:rsid w:val="576C1F17"/>
    <w:rsid w:val="57D23621"/>
    <w:rsid w:val="585758EA"/>
    <w:rsid w:val="59253B5A"/>
    <w:rsid w:val="59EA33B8"/>
    <w:rsid w:val="5AC51B90"/>
    <w:rsid w:val="5AD04906"/>
    <w:rsid w:val="5B160DC4"/>
    <w:rsid w:val="5B162A21"/>
    <w:rsid w:val="5B2036E9"/>
    <w:rsid w:val="5B773B6D"/>
    <w:rsid w:val="5BB72146"/>
    <w:rsid w:val="5BD849DB"/>
    <w:rsid w:val="5C2578B5"/>
    <w:rsid w:val="5C511F7F"/>
    <w:rsid w:val="5CB020D3"/>
    <w:rsid w:val="5D7E29EF"/>
    <w:rsid w:val="5EB1247F"/>
    <w:rsid w:val="5EB83ECB"/>
    <w:rsid w:val="5EDB4272"/>
    <w:rsid w:val="5F973191"/>
    <w:rsid w:val="5FA64BDB"/>
    <w:rsid w:val="605614E1"/>
    <w:rsid w:val="60961495"/>
    <w:rsid w:val="60AB31E4"/>
    <w:rsid w:val="60BD0338"/>
    <w:rsid w:val="613C17D8"/>
    <w:rsid w:val="61A17B8D"/>
    <w:rsid w:val="621D5A4A"/>
    <w:rsid w:val="62286F70"/>
    <w:rsid w:val="624A13EA"/>
    <w:rsid w:val="637C3D71"/>
    <w:rsid w:val="63AD61FF"/>
    <w:rsid w:val="64162728"/>
    <w:rsid w:val="649653B0"/>
    <w:rsid w:val="64B60A2B"/>
    <w:rsid w:val="66B26316"/>
    <w:rsid w:val="6750068E"/>
    <w:rsid w:val="685A34BD"/>
    <w:rsid w:val="69116A35"/>
    <w:rsid w:val="698264F4"/>
    <w:rsid w:val="6A4440FB"/>
    <w:rsid w:val="6ABC6906"/>
    <w:rsid w:val="6B643811"/>
    <w:rsid w:val="6C472356"/>
    <w:rsid w:val="6CCE7FBF"/>
    <w:rsid w:val="6CF47EC5"/>
    <w:rsid w:val="6DF748C1"/>
    <w:rsid w:val="6E9E453E"/>
    <w:rsid w:val="6F5C35A1"/>
    <w:rsid w:val="71462E69"/>
    <w:rsid w:val="71633BDC"/>
    <w:rsid w:val="71930A64"/>
    <w:rsid w:val="71B929E5"/>
    <w:rsid w:val="724F1E81"/>
    <w:rsid w:val="72BF6CE8"/>
    <w:rsid w:val="73322175"/>
    <w:rsid w:val="7386232F"/>
    <w:rsid w:val="73CF68C7"/>
    <w:rsid w:val="73E1700F"/>
    <w:rsid w:val="746257A6"/>
    <w:rsid w:val="74F2044F"/>
    <w:rsid w:val="75227151"/>
    <w:rsid w:val="75755E02"/>
    <w:rsid w:val="758D7007"/>
    <w:rsid w:val="75903F64"/>
    <w:rsid w:val="75AC34AD"/>
    <w:rsid w:val="75C4164D"/>
    <w:rsid w:val="76674CD7"/>
    <w:rsid w:val="768A5937"/>
    <w:rsid w:val="76CB6D6C"/>
    <w:rsid w:val="77D15AEE"/>
    <w:rsid w:val="782E3ABE"/>
    <w:rsid w:val="788E0A37"/>
    <w:rsid w:val="788F188C"/>
    <w:rsid w:val="78B0721D"/>
    <w:rsid w:val="78FD4D07"/>
    <w:rsid w:val="795B1FD2"/>
    <w:rsid w:val="79B26FD3"/>
    <w:rsid w:val="79D90E40"/>
    <w:rsid w:val="7A030767"/>
    <w:rsid w:val="7A0D44A1"/>
    <w:rsid w:val="7A895CF2"/>
    <w:rsid w:val="7B4B7435"/>
    <w:rsid w:val="7C01268E"/>
    <w:rsid w:val="7CCF7DC3"/>
    <w:rsid w:val="7D0150C7"/>
    <w:rsid w:val="7D422644"/>
    <w:rsid w:val="7EB34A97"/>
    <w:rsid w:val="7F40188C"/>
    <w:rsid w:val="7F4E2939"/>
    <w:rsid w:val="7F747F11"/>
    <w:rsid w:val="7FC3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3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333333"/>
      <w:u w:val="none"/>
    </w:rPr>
  </w:style>
  <w:style w:type="character" w:styleId="10">
    <w:name w:val="Emphasis"/>
    <w:basedOn w:val="7"/>
    <w:qFormat/>
    <w:uiPriority w:val="0"/>
    <w:rPr>
      <w:color w:val="FF0000"/>
    </w:rPr>
  </w:style>
  <w:style w:type="character" w:styleId="11">
    <w:name w:val="Hyperlink"/>
    <w:basedOn w:val="7"/>
    <w:qFormat/>
    <w:uiPriority w:val="0"/>
    <w:rPr>
      <w:color w:val="333333"/>
      <w:u w:val="none"/>
    </w:rPr>
  </w:style>
  <w:style w:type="character" w:styleId="12">
    <w:name w:val="HTML Code"/>
    <w:basedOn w:val="7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3">
    <w:name w:val="HTML Keyboard"/>
    <w:basedOn w:val="7"/>
    <w:qFormat/>
    <w:uiPriority w:val="0"/>
    <w:rPr>
      <w:rFonts w:ascii="monospace" w:hAnsi="monospace" w:eastAsia="monospace" w:cs="monospace"/>
      <w:sz w:val="21"/>
      <w:szCs w:val="21"/>
    </w:rPr>
  </w:style>
  <w:style w:type="character" w:styleId="14">
    <w:name w:val="HTML Sample"/>
    <w:basedOn w:val="7"/>
    <w:qFormat/>
    <w:uiPriority w:val="0"/>
    <w:rPr>
      <w:rFonts w:hint="default" w:ascii="monospace" w:hAnsi="monospace" w:eastAsia="monospace" w:cs="monospace"/>
      <w:sz w:val="21"/>
      <w:szCs w:val="21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  <w:style w:type="character" w:customStyle="1" w:styleId="16">
    <w:name w:val="nth-child(2)"/>
    <w:basedOn w:val="7"/>
    <w:qFormat/>
    <w:uiPriority w:val="0"/>
  </w:style>
  <w:style w:type="character" w:customStyle="1" w:styleId="17">
    <w:name w:val="nth-child(1)"/>
    <w:basedOn w:val="7"/>
    <w:qFormat/>
    <w:uiPriority w:val="0"/>
  </w:style>
  <w:style w:type="character" w:customStyle="1" w:styleId="18">
    <w:name w:val="nth-child(3)"/>
    <w:basedOn w:val="7"/>
    <w:qFormat/>
    <w:uiPriority w:val="0"/>
  </w:style>
  <w:style w:type="character" w:customStyle="1" w:styleId="19">
    <w:name w:val="not([class*=suffix])"/>
    <w:basedOn w:val="7"/>
    <w:qFormat/>
    <w:uiPriority w:val="0"/>
    <w:rPr>
      <w:sz w:val="19"/>
      <w:szCs w:val="19"/>
    </w:rPr>
  </w:style>
  <w:style w:type="character" w:customStyle="1" w:styleId="20">
    <w:name w:val="not([class*=suffix])1"/>
    <w:basedOn w:val="7"/>
    <w:qFormat/>
    <w:uiPriority w:val="0"/>
  </w:style>
  <w:style w:type="character" w:customStyle="1" w:styleId="21">
    <w:name w:val="flag-title2"/>
    <w:basedOn w:val="7"/>
    <w:qFormat/>
    <w:uiPriority w:val="0"/>
    <w:rPr>
      <w:color w:val="8790A4"/>
      <w:sz w:val="18"/>
      <w:szCs w:val="18"/>
      <w:bdr w:val="dashed" w:color="E5E5E5" w:sz="6" w:space="0"/>
    </w:rPr>
  </w:style>
  <w:style w:type="character" w:customStyle="1" w:styleId="22">
    <w:name w:val="hover6"/>
    <w:basedOn w:val="7"/>
    <w:qFormat/>
    <w:uiPriority w:val="0"/>
    <w:rPr>
      <w:color w:val="0077E6"/>
    </w:rPr>
  </w:style>
  <w:style w:type="character" w:customStyle="1" w:styleId="23">
    <w:name w:val="right"/>
    <w:basedOn w:val="7"/>
    <w:qFormat/>
    <w:uiPriority w:val="0"/>
    <w:rPr>
      <w:shd w:val="clear" w:color="auto" w:fill="E5E5E5"/>
    </w:rPr>
  </w:style>
  <w:style w:type="character" w:customStyle="1" w:styleId="24">
    <w:name w:val="no-reply-icon"/>
    <w:basedOn w:val="7"/>
    <w:qFormat/>
    <w:uiPriority w:val="0"/>
    <w:rPr>
      <w:color w:val="BBC0CC"/>
      <w:bdr w:val="single" w:color="F8F8F8" w:sz="6" w:space="0"/>
      <w:shd w:val="clear" w:color="auto" w:fill="F8F8F8"/>
    </w:rPr>
  </w:style>
  <w:style w:type="character" w:customStyle="1" w:styleId="25">
    <w:name w:val="hot-question-icon"/>
    <w:basedOn w:val="7"/>
    <w:qFormat/>
    <w:uiPriority w:val="0"/>
    <w:rPr>
      <w:color w:val="FF0000"/>
    </w:rPr>
  </w:style>
  <w:style w:type="character" w:customStyle="1" w:styleId="26">
    <w:name w:val="new-question-icon"/>
    <w:basedOn w:val="7"/>
    <w:qFormat/>
    <w:uiPriority w:val="0"/>
    <w:rPr>
      <w:color w:val="F99403"/>
      <w:bdr w:val="single" w:color="FFF8E2" w:sz="6" w:space="0"/>
      <w:shd w:val="clear" w:color="auto" w:fill="FFF8E2"/>
    </w:rPr>
  </w:style>
  <w:style w:type="character" w:customStyle="1" w:styleId="27">
    <w:name w:val="flag-title"/>
    <w:basedOn w:val="7"/>
    <w:qFormat/>
    <w:uiPriority w:val="0"/>
    <w:rPr>
      <w:color w:val="8790A4"/>
      <w:sz w:val="18"/>
      <w:szCs w:val="18"/>
      <w:bdr w:val="dashed" w:color="E5E5E5" w:sz="6" w:space="0"/>
    </w:rPr>
  </w:style>
  <w:style w:type="character" w:customStyle="1" w:styleId="28">
    <w:name w:val="hover7"/>
    <w:basedOn w:val="7"/>
    <w:qFormat/>
    <w:uiPriority w:val="0"/>
    <w:rPr>
      <w:color w:val="0077E6"/>
    </w:rPr>
  </w:style>
  <w:style w:type="character" w:customStyle="1" w:styleId="29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30">
    <w:name w:val="页脚 字符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642</Words>
  <Characters>3664</Characters>
  <Lines>30</Lines>
  <Paragraphs>8</Paragraphs>
  <TotalTime>7</TotalTime>
  <ScaleCrop>false</ScaleCrop>
  <LinksUpToDate>false</LinksUpToDate>
  <CharactersWithSpaces>4298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2020-10-24T01:52:00Z</dcterms:created>
  <dc:creator>黄征</dc:creator>
  <cp:lastModifiedBy>HZ</cp:lastModifiedBy>
  <dcterms:modified xsi:type="dcterms:W3CDTF">2021-01-14T07:42:47Z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