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证券代码：000988　                                证券简称：华工科技 </w:t>
      </w:r>
    </w:p>
    <w:p>
      <w:pPr>
        <w:spacing w:line="360" w:lineRule="auto"/>
        <w:jc w:val="center"/>
        <w:rPr>
          <w:rFonts w:ascii="黑体" w:eastAsia="黑体"/>
          <w:b/>
          <w:sz w:val="32"/>
          <w:szCs w:val="32"/>
        </w:rPr>
      </w:pPr>
      <w:r>
        <w:rPr>
          <w:rFonts w:hint="eastAsia" w:ascii="黑体" w:eastAsia="黑体"/>
          <w:b/>
          <w:sz w:val="32"/>
          <w:szCs w:val="32"/>
        </w:rPr>
        <w:t>华工科技产业股份有限公司</w:t>
      </w:r>
    </w:p>
    <w:p>
      <w:pPr>
        <w:spacing w:before="156" w:beforeLines="50" w:after="156" w:afterLines="50" w:line="400" w:lineRule="exact"/>
        <w:jc w:val="center"/>
        <w:rPr>
          <w:rFonts w:ascii="黑体" w:hAnsi="黑体" w:eastAsia="黑体"/>
          <w:b/>
          <w:bCs/>
          <w:iCs/>
          <w:color w:val="000000"/>
          <w:sz w:val="32"/>
          <w:szCs w:val="32"/>
        </w:rPr>
      </w:pPr>
      <w:r>
        <w:rPr>
          <w:rFonts w:hint="eastAsia" w:ascii="黑体" w:hAnsi="黑体" w:eastAsia="黑体"/>
          <w:b/>
          <w:bCs/>
          <w:iCs/>
          <w:color w:val="000000"/>
          <w:sz w:val="32"/>
          <w:szCs w:val="32"/>
        </w:rPr>
        <w:t>投资者关系活动记录表</w:t>
      </w:r>
    </w:p>
    <w:p>
      <w:pPr>
        <w:spacing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 xml:space="preserve">编号：2021-02                                          日期：1月13日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投资者关系活动类别</w:t>
            </w:r>
          </w:p>
          <w:p>
            <w:pPr>
              <w:spacing w:line="360" w:lineRule="auto"/>
              <w:rPr>
                <w:rFonts w:ascii="宋体" w:hAnsi="宋体" w:eastAsia="宋体" w:cs="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 w:val="24"/>
              </w:rPr>
            </w:pPr>
            <w:r>
              <w:rPr>
                <w:rFonts w:hint="eastAsia" w:ascii="宋体" w:hAnsi="宋体" w:eastAsia="宋体" w:cs="宋体"/>
                <w:bCs/>
                <w:iCs/>
                <w:color w:val="000000"/>
                <w:sz w:val="24"/>
              </w:rPr>
              <w:sym w:font="Wingdings 2" w:char="0052"/>
            </w:r>
            <w:r>
              <w:rPr>
                <w:rFonts w:hint="eastAsia" w:ascii="宋体" w:hAnsi="宋体" w:eastAsia="宋体" w:cs="宋体"/>
                <w:sz w:val="24"/>
              </w:rPr>
              <w:t xml:space="preserve">特定对象调研       </w:t>
            </w:r>
            <w:r>
              <w:rPr>
                <w:rFonts w:hint="eastAsia" w:ascii="宋体" w:hAnsi="宋体" w:eastAsia="宋体" w:cs="宋体"/>
                <w:bCs/>
                <w:iCs/>
                <w:color w:val="000000"/>
                <w:sz w:val="24"/>
              </w:rPr>
              <w:t>□</w:t>
            </w:r>
            <w:r>
              <w:rPr>
                <w:rFonts w:hint="eastAsia" w:ascii="宋体" w:hAnsi="宋体" w:eastAsia="宋体" w:cs="宋体"/>
                <w:sz w:val="24"/>
              </w:rPr>
              <w:t>分析师会议</w:t>
            </w:r>
            <w:r>
              <w:rPr>
                <w:rFonts w:hint="eastAsia" w:ascii="宋体" w:hAnsi="宋体" w:eastAsia="宋体" w:cs="宋体"/>
                <w:bCs/>
                <w:iCs/>
                <w:color w:val="000000"/>
                <w:sz w:val="24"/>
              </w:rPr>
              <w:t xml:space="preserve">        □</w:t>
            </w:r>
            <w:r>
              <w:rPr>
                <w:rFonts w:hint="eastAsia" w:ascii="宋体" w:hAnsi="宋体" w:eastAsia="宋体" w:cs="宋体"/>
                <w:sz w:val="24"/>
              </w:rPr>
              <w:t>媒体采访</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sym w:font="Wingdings 2" w:char="00A3"/>
            </w:r>
            <w:r>
              <w:rPr>
                <w:rFonts w:hint="eastAsia" w:ascii="宋体" w:hAnsi="宋体" w:eastAsia="宋体" w:cs="宋体"/>
                <w:sz w:val="24"/>
              </w:rPr>
              <w:t>业绩说明会</w:t>
            </w:r>
            <w:r>
              <w:rPr>
                <w:rFonts w:hint="eastAsia" w:ascii="宋体" w:hAnsi="宋体" w:eastAsia="宋体" w:cs="宋体"/>
                <w:bCs/>
                <w:iCs/>
                <w:color w:val="000000"/>
                <w:sz w:val="24"/>
              </w:rPr>
              <w:t xml:space="preserve">        □</w:t>
            </w:r>
            <w:r>
              <w:rPr>
                <w:rFonts w:hint="eastAsia" w:ascii="宋体" w:hAnsi="宋体" w:eastAsia="宋体" w:cs="宋体"/>
                <w:sz w:val="24"/>
              </w:rPr>
              <w:t xml:space="preserve">新闻发布会        </w:t>
            </w:r>
            <w:r>
              <w:rPr>
                <w:rFonts w:hint="eastAsia" w:ascii="宋体" w:hAnsi="宋体" w:eastAsia="宋体" w:cs="宋体"/>
                <w:bCs/>
                <w:iCs/>
                <w:color w:val="000000"/>
                <w:sz w:val="24"/>
              </w:rPr>
              <w:t>□</w:t>
            </w:r>
            <w:r>
              <w:rPr>
                <w:rFonts w:hint="eastAsia" w:ascii="宋体" w:hAnsi="宋体" w:eastAsia="宋体" w:cs="宋体"/>
                <w:sz w:val="24"/>
              </w:rPr>
              <w:t>路演活动</w:t>
            </w:r>
          </w:p>
          <w:p>
            <w:pPr>
              <w:tabs>
                <w:tab w:val="left" w:pos="3045"/>
                <w:tab w:val="center" w:pos="3199"/>
              </w:tabs>
              <w:spacing w:line="360" w:lineRule="auto"/>
              <w:rPr>
                <w:rFonts w:ascii="宋体" w:hAnsi="宋体" w:eastAsia="宋体" w:cs="宋体"/>
                <w:bCs/>
                <w:iCs/>
                <w:color w:val="000000"/>
                <w:sz w:val="24"/>
              </w:rPr>
            </w:pPr>
            <w:r>
              <w:rPr>
                <w:rFonts w:hint="eastAsia" w:ascii="宋体" w:hAnsi="宋体" w:eastAsia="宋体" w:cs="宋体"/>
                <w:bCs/>
                <w:iCs/>
                <w:color w:val="000000"/>
                <w:sz w:val="24"/>
              </w:rPr>
              <w:t>□</w:t>
            </w:r>
            <w:r>
              <w:rPr>
                <w:rFonts w:hint="eastAsia" w:ascii="宋体" w:hAnsi="宋体" w:eastAsia="宋体" w:cs="宋体"/>
                <w:sz w:val="24"/>
              </w:rPr>
              <w:t>现场参观</w:t>
            </w:r>
            <w:r>
              <w:rPr>
                <w:rFonts w:hint="eastAsia" w:ascii="宋体" w:hAnsi="宋体" w:eastAsia="宋体" w:cs="宋体"/>
                <w:bCs/>
                <w:iCs/>
                <w:color w:val="000000"/>
                <w:sz w:val="24"/>
              </w:rPr>
              <w:t xml:space="preserve">           □</w:t>
            </w:r>
            <w:r>
              <w:rPr>
                <w:rFonts w:hint="eastAsia" w:ascii="宋体" w:hAnsi="宋体" w:eastAsia="宋体" w:cs="宋体"/>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hint="default" w:ascii="宋体" w:hAnsi="宋体" w:eastAsia="宋体" w:cs="宋体"/>
                <w:bCs/>
                <w:iCs/>
                <w:color w:val="000000"/>
                <w:sz w:val="24"/>
                <w:lang w:val="en-US" w:eastAsia="zh-CN"/>
              </w:rPr>
            </w:pPr>
            <w:r>
              <w:rPr>
                <w:rFonts w:hint="eastAsia" w:ascii="宋体" w:hAnsi="宋体" w:eastAsia="宋体" w:cs="宋体"/>
                <w:bCs/>
                <w:iCs/>
                <w:color w:val="000000"/>
                <w:sz w:val="24"/>
              </w:rPr>
              <w:t>1、</w:t>
            </w:r>
            <w:r>
              <w:rPr>
                <w:rFonts w:hint="eastAsia" w:ascii="宋体" w:hAnsi="宋体" w:eastAsia="宋体" w:cs="宋体"/>
                <w:bCs/>
                <w:iCs/>
                <w:color w:val="000000"/>
                <w:sz w:val="24"/>
                <w:lang w:val="en-US" w:eastAsia="zh-CN"/>
              </w:rPr>
              <w:t>摩根士丹利 王卓然</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2、</w:t>
            </w:r>
            <w:r>
              <w:rPr>
                <w:rFonts w:hint="eastAsia" w:ascii="宋体" w:hAnsi="宋体" w:eastAsia="宋体" w:cs="宋体"/>
                <w:bCs/>
                <w:iCs/>
                <w:color w:val="000000"/>
                <w:sz w:val="24"/>
              </w:rPr>
              <w:t>LION GLOBAL INVESTORS Chang Seok Kim</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3</w:t>
            </w:r>
            <w:r>
              <w:rPr>
                <w:rFonts w:hint="eastAsia" w:ascii="宋体" w:hAnsi="宋体" w:eastAsia="宋体" w:cs="宋体"/>
                <w:bCs/>
                <w:iCs/>
                <w:color w:val="000000"/>
                <w:sz w:val="24"/>
              </w:rPr>
              <w:t>、MANULIFE INVESTMENT MANAGEMENT Doris Wang</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4</w:t>
            </w:r>
            <w:r>
              <w:rPr>
                <w:rFonts w:hint="eastAsia" w:ascii="宋体" w:hAnsi="宋体" w:eastAsia="宋体" w:cs="宋体"/>
                <w:bCs/>
                <w:iCs/>
                <w:color w:val="000000"/>
                <w:sz w:val="24"/>
              </w:rPr>
              <w:t>、MIRAE ASSET GLOBAL INVESTMENT MANAGEMENT Wei Wei Chua</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5</w:t>
            </w:r>
            <w:r>
              <w:rPr>
                <w:rFonts w:hint="eastAsia" w:ascii="宋体" w:hAnsi="宋体" w:eastAsia="宋体" w:cs="宋体"/>
                <w:bCs/>
                <w:iCs/>
                <w:color w:val="000000"/>
                <w:sz w:val="24"/>
              </w:rPr>
              <w:t>、OPTIMAS CAPITAL Yan Yan</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6</w:t>
            </w:r>
            <w:r>
              <w:rPr>
                <w:rFonts w:hint="eastAsia" w:ascii="宋体" w:hAnsi="宋体" w:eastAsia="宋体" w:cs="宋体"/>
                <w:bCs/>
                <w:iCs/>
                <w:color w:val="000000"/>
                <w:sz w:val="24"/>
              </w:rPr>
              <w:t>、OVERLOOK INVESTMENTS William Leung</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7</w:t>
            </w:r>
            <w:r>
              <w:rPr>
                <w:rFonts w:hint="eastAsia" w:ascii="宋体" w:hAnsi="宋体" w:eastAsia="宋体" w:cs="宋体"/>
                <w:bCs/>
                <w:iCs/>
                <w:color w:val="000000"/>
                <w:sz w:val="24"/>
              </w:rPr>
              <w:t>、SUMITOMO MITSUI DS AM(SMAM) Yvette Sun</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8</w:t>
            </w:r>
            <w:r>
              <w:rPr>
                <w:rFonts w:hint="eastAsia" w:ascii="宋体" w:hAnsi="宋体" w:eastAsia="宋体" w:cs="宋体"/>
                <w:bCs/>
                <w:iCs/>
                <w:color w:val="000000"/>
                <w:sz w:val="24"/>
              </w:rPr>
              <w:t>、T ROWE PRICE Wenli Zheng</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lang w:val="en-US" w:eastAsia="zh-CN"/>
              </w:rPr>
              <w:t>9</w:t>
            </w:r>
            <w:r>
              <w:rPr>
                <w:rFonts w:hint="eastAsia" w:ascii="宋体" w:hAnsi="宋体" w:eastAsia="宋体" w:cs="宋体"/>
                <w:bCs/>
                <w:iCs/>
                <w:color w:val="000000"/>
                <w:sz w:val="24"/>
              </w:rPr>
              <w:t>、TAIKANG INSURANCE GROUP Ray Li</w:t>
            </w:r>
          </w:p>
          <w:p>
            <w:pPr>
              <w:spacing w:line="360" w:lineRule="auto"/>
              <w:rPr>
                <w:rFonts w:ascii="宋体" w:hAnsi="宋体" w:eastAsia="宋体" w:cs="宋体"/>
                <w:bCs/>
                <w:iCs/>
                <w:kern w:val="0"/>
                <w:sz w:val="24"/>
              </w:rPr>
            </w:pPr>
            <w:r>
              <w:rPr>
                <w:rFonts w:hint="eastAsia" w:ascii="宋体" w:hAnsi="宋体" w:eastAsia="宋体" w:cs="宋体"/>
                <w:bCs/>
                <w:iCs/>
                <w:color w:val="000000"/>
                <w:sz w:val="24"/>
                <w:lang w:val="en-US" w:eastAsia="zh-CN"/>
              </w:rPr>
              <w:t>10</w:t>
            </w:r>
            <w:r>
              <w:rPr>
                <w:rFonts w:hint="eastAsia" w:ascii="宋体" w:hAnsi="宋体" w:eastAsia="宋体" w:cs="宋体"/>
                <w:bCs/>
                <w:iCs/>
                <w:color w:val="000000"/>
                <w:sz w:val="24"/>
              </w:rPr>
              <w:t>、TIGER PACIFIC CAPITAL Samuel Zhong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2021年1月13日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kern w:val="0"/>
                <w:sz w:val="24"/>
              </w:rPr>
              <w:t>公司二楼会议室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华工科技 董事/副总经理/财务总监/董秘：刘含树</w:t>
            </w:r>
          </w:p>
          <w:p>
            <w:pPr>
              <w:numPr>
                <w:ilvl w:val="0"/>
                <w:numId w:val="1"/>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能量激光板块 总经理：邓家科</w:t>
            </w:r>
          </w:p>
          <w:p>
            <w:pPr>
              <w:numPr>
                <w:ilvl w:val="0"/>
                <w:numId w:val="1"/>
              </w:numPr>
              <w:spacing w:line="360" w:lineRule="auto"/>
              <w:rPr>
                <w:rFonts w:hint="eastAsia" w:ascii="宋体" w:hAnsi="宋体" w:eastAsia="宋体" w:cs="宋体"/>
                <w:bCs/>
                <w:iCs/>
                <w:color w:val="000000"/>
                <w:sz w:val="24"/>
              </w:rPr>
            </w:pPr>
            <w:r>
              <w:rPr>
                <w:rFonts w:hint="eastAsia" w:ascii="宋体" w:hAnsi="宋体" w:eastAsia="宋体" w:cs="宋体"/>
                <w:bCs/>
                <w:iCs/>
                <w:color w:val="000000"/>
                <w:sz w:val="24"/>
              </w:rPr>
              <w:t>光通信板块 总经理：胡长飞</w:t>
            </w:r>
          </w:p>
          <w:p>
            <w:pPr>
              <w:numPr>
                <w:ilvl w:val="0"/>
                <w:numId w:val="1"/>
              </w:numPr>
              <w:spacing w:line="360" w:lineRule="auto"/>
              <w:rPr>
                <w:rFonts w:hint="eastAsia" w:ascii="宋体" w:hAnsi="宋体" w:eastAsia="宋体" w:cs="宋体"/>
                <w:bCs/>
                <w:iCs/>
                <w:color w:val="000000"/>
                <w:sz w:val="24"/>
              </w:rPr>
            </w:pPr>
            <w:r>
              <w:rPr>
                <w:rFonts w:hint="eastAsia" w:ascii="宋体" w:hAnsi="宋体" w:eastAsia="宋体" w:cs="宋体"/>
                <w:bCs/>
                <w:iCs/>
                <w:color w:val="000000"/>
                <w:sz w:val="24"/>
                <w:lang w:val="en-US" w:eastAsia="zh-CN"/>
              </w:rPr>
              <w:t>投资公司 总经理：张丽华</w:t>
            </w:r>
          </w:p>
          <w:p>
            <w:pPr>
              <w:numPr>
                <w:ilvl w:val="0"/>
                <w:numId w:val="1"/>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华工科技 投资总监</w:t>
            </w:r>
            <w:r>
              <w:rPr>
                <w:rFonts w:hint="eastAsia" w:ascii="宋体" w:hAnsi="宋体" w:eastAsia="宋体" w:cs="宋体"/>
                <w:bCs/>
                <w:iCs/>
                <w:sz w:val="24"/>
              </w:rPr>
              <w:t>/董办主任</w:t>
            </w:r>
            <w:r>
              <w:rPr>
                <w:rFonts w:hint="eastAsia" w:ascii="宋体" w:hAnsi="宋体" w:eastAsia="宋体" w:cs="宋体"/>
                <w:bCs/>
                <w:iCs/>
                <w:color w:val="000000"/>
                <w:sz w:val="24"/>
              </w:rPr>
              <w:t>：朱建锋</w:t>
            </w:r>
          </w:p>
          <w:p>
            <w:pPr>
              <w:numPr>
                <w:ilvl w:val="0"/>
                <w:numId w:val="1"/>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华工科技 证券事务代表：姚永川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投资者关系活动主要内容介绍</w:t>
            </w:r>
          </w:p>
          <w:p>
            <w:pPr>
              <w:spacing w:line="360" w:lineRule="auto"/>
              <w:rPr>
                <w:rFonts w:ascii="宋体" w:hAnsi="宋体" w:eastAsia="宋体" w:cs="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eastAsia="宋体" w:cs="宋体"/>
                <w:b/>
                <w:bCs/>
                <w:iCs/>
                <w:color w:val="000000"/>
                <w:sz w:val="24"/>
              </w:rPr>
            </w:pPr>
            <w:r>
              <w:rPr>
                <w:rFonts w:hint="eastAsia" w:ascii="宋体" w:hAnsi="宋体" w:eastAsia="宋体" w:cs="宋体"/>
                <w:bCs/>
                <w:iCs/>
                <w:color w:val="000000"/>
                <w:sz w:val="24"/>
              </w:rPr>
              <w:t>接待过程中，公司接待人员严格按照有关制度规定，没有出现未公开重大信息泄露等情况。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08" w:type="dxa"/>
            <w:tcBorders>
              <w:top w:val="single" w:color="auto" w:sz="4" w:space="0"/>
              <w:left w:val="single" w:color="auto" w:sz="4" w:space="0"/>
              <w:right w:val="single" w:color="auto" w:sz="4" w:space="0"/>
            </w:tcBorders>
            <w:vAlign w:val="center"/>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附件清单（如有）</w:t>
            </w:r>
          </w:p>
        </w:tc>
        <w:tc>
          <w:tcPr>
            <w:tcW w:w="6614" w:type="dxa"/>
            <w:tcBorders>
              <w:top w:val="single" w:color="auto" w:sz="4" w:space="0"/>
              <w:left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调研活动安排</w:t>
            </w:r>
          </w:p>
        </w:tc>
      </w:tr>
    </w:tbl>
    <w:p>
      <w:pPr>
        <w:spacing w:line="360" w:lineRule="auto"/>
        <w:rPr>
          <w:rFonts w:ascii="黑体" w:hAnsi="黑体" w:eastAsia="黑体" w:cs="宋体"/>
          <w:color w:val="000000"/>
          <w:sz w:val="32"/>
          <w:shd w:val="clear" w:color="auto" w:fill="FFFFFF"/>
        </w:rPr>
      </w:pPr>
    </w:p>
    <w:p>
      <w:pPr>
        <w:spacing w:line="360" w:lineRule="auto"/>
        <w:rPr>
          <w:rFonts w:ascii="黑体" w:hAnsi="黑体" w:eastAsia="黑体" w:cs="宋体"/>
          <w:color w:val="000000"/>
          <w:sz w:val="32"/>
          <w:shd w:val="clear" w:color="auto" w:fill="FFFFFF"/>
        </w:rPr>
        <w:sectPr>
          <w:pgSz w:w="11906" w:h="16838"/>
          <w:pgMar w:top="1440" w:right="1800" w:bottom="1440" w:left="1800" w:header="851" w:footer="992" w:gutter="0"/>
          <w:cols w:space="425" w:num="1"/>
          <w:docGrid w:type="lines" w:linePitch="312" w:charSpace="0"/>
        </w:sectPr>
      </w:pPr>
    </w:p>
    <w:p>
      <w:pPr>
        <w:spacing w:line="360" w:lineRule="auto"/>
        <w:rPr>
          <w:rFonts w:ascii="黑体" w:hAnsi="黑体" w:eastAsia="黑体" w:cs="宋体"/>
          <w:color w:val="000000"/>
          <w:sz w:val="32"/>
          <w:shd w:val="clear" w:color="auto" w:fill="FFFFFF"/>
        </w:rPr>
      </w:pPr>
      <w:r>
        <w:rPr>
          <w:rFonts w:hint="eastAsia" w:ascii="黑体" w:hAnsi="黑体" w:eastAsia="黑体" w:cs="宋体"/>
          <w:color w:val="000000"/>
          <w:sz w:val="32"/>
          <w:shd w:val="clear" w:color="auto" w:fill="FFFFFF"/>
        </w:rPr>
        <w:t>附件</w:t>
      </w:r>
    </w:p>
    <w:p>
      <w:pPr>
        <w:pStyle w:val="3"/>
        <w:spacing w:line="360" w:lineRule="auto"/>
      </w:pPr>
      <w:r>
        <w:rPr>
          <w:rFonts w:hint="eastAsia"/>
        </w:rPr>
        <w:t>　　　</w:t>
      </w:r>
      <w:r>
        <w:rPr>
          <w:rFonts w:hint="eastAsia" w:cs="宋体" w:asciiTheme="minorEastAsia" w:hAnsiTheme="minorEastAsia" w:eastAsiaTheme="minorEastAsia"/>
          <w:b/>
          <w:color w:val="000000"/>
          <w:sz w:val="24"/>
          <w:szCs w:val="16"/>
          <w:shd w:val="clear" w:color="auto" w:fill="FFFFFF"/>
        </w:rPr>
        <w:t>一、公司投资总监/董办主任朱建锋先生向大家介绍了华工科技的基本情况。</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华工科技产业股份有限公司1999年成立于“中国光谷”腹地，2000年在深圳交易所上市，是集“研发、生产、销售、服务”为一体的高科技企业集团，2015年评定为国家级创新型企业。成立以来，公司坚持“以激光技术及其应用”为主业，投资发展传感器产业。经过多年的技术、产品积淀，形成了以激光加工技术为重要支撑的智能制造装备业务、以信息通信技术为重要支撑的光联接、无线联接业务，以敏感电子技术为重要支撑的传感器业务格局，聚焦工业基础装备、数字经济基础设施、智能制造、智慧家庭、新能源等赛道，开展多层次开放式创新，推动构建全连接、全感知、全智能世界。</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华工科技以“激光技术及其应用为主业”，涵盖能量激光、信息激光和传感器三大领域。</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在能量激光领域 ：公司致力于为工业制造领域提供广泛而完整的激光制造加工解决方案，发挥工业激光领域的领先地位和全产业链优势，全面布局激光智能装备、自动化和智能制造。是中国最大的激光设备及等离子切割设备制造商之一，国家重点高新技术企业、国际标准制定参与单位、国家标准制定的牵头组织和承担单位。</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在信息激光领域 ：公司拥有业界先进的端到端产品线和整体解决方案，致力于成为国际一流光电企业，服务全球顶级通信设备和数据应用商，智能终端业务立争打造个人、家庭智能融合通信终端的世界级企业。公司具备从芯片到器件、模块、子系统全系列产品的垂直整合能力，产品包括有源光器件、智能终端、无源光器件、光学零部件等，产品现已广泛应用于</w:t>
      </w:r>
      <w:r>
        <w:rPr>
          <w:rFonts w:hint="eastAsia" w:ascii="宋体" w:hAnsi="宋体" w:eastAsia="宋体" w:cs="宋体"/>
          <w:color w:val="000000"/>
          <w:sz w:val="24"/>
          <w:highlight w:val="none"/>
          <w:shd w:val="clear" w:color="auto" w:fill="FFFFFF"/>
        </w:rPr>
        <w:t>数字、模拟通信</w:t>
      </w:r>
      <w:r>
        <w:rPr>
          <w:rFonts w:hint="eastAsia" w:ascii="宋体" w:hAnsi="宋体" w:eastAsia="宋体" w:cs="宋体"/>
          <w:color w:val="000000"/>
          <w:sz w:val="24"/>
          <w:shd w:val="clear" w:color="auto" w:fill="FFFFFF"/>
        </w:rPr>
        <w:t>等重要领域，市场占有率处于行业领先地位。</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在传感器领域 ：公司致力于物联网用新型传感器的研发及产业化，传感器产品涵盖NTC、PTC和汽车电子系列传感器、控制器、加热器，产品广泛应用于家电、汽车、OA、医疗、消费类电子、</w:t>
      </w:r>
      <w:r>
        <w:rPr>
          <w:rFonts w:hint="eastAsia" w:ascii="宋体" w:hAnsi="宋体" w:eastAsia="宋体" w:cs="宋体"/>
          <w:color w:val="000000"/>
          <w:sz w:val="24"/>
          <w:highlight w:val="none"/>
          <w:shd w:val="clear" w:color="auto" w:fill="FFFFFF"/>
        </w:rPr>
        <w:t>航空航天</w:t>
      </w:r>
      <w:r>
        <w:rPr>
          <w:rFonts w:hint="eastAsia" w:ascii="宋体" w:hAnsi="宋体" w:eastAsia="宋体" w:cs="宋体"/>
          <w:color w:val="000000"/>
          <w:sz w:val="24"/>
          <w:shd w:val="clear" w:color="auto" w:fill="FFFFFF"/>
        </w:rPr>
        <w:t>等领域，自主掌握芯片制造和封装工艺的核心技术，是全国最大的高精度温度传感器制造商。</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现阶段，公司以及控股股东落实关于高校所属企业体制改革相关政策文件的要求进行校企改制，改革启动以来，资本市场给予了高度关注。此次改制，采用了市场化公开征集受让方方式实施，并确定了公开征集受让条件。经评审委员会根据公开征集流程及征集受让方案的的评审，最终确定了国恒基金为受让方。目前，公司控股股东产业集团与国恒基金于2020年12月24日签署了附生效条件的《股份转让协议》，改革进入实质性阶段。改革完成后，华工科技将持续释放发展动能，贯彻“价值为纲、创新至上、高效运营、资本协同”的战略主轴，实现规模和利润的跨越式增长。</w:t>
      </w:r>
    </w:p>
    <w:p>
      <w:pPr>
        <w:spacing w:line="360" w:lineRule="auto"/>
        <w:ind w:firstLine="480" w:firstLineChars="200"/>
        <w:rPr>
          <w:rFonts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b/>
          <w:color w:val="000000"/>
          <w:sz w:val="24"/>
          <w:szCs w:val="16"/>
          <w:shd w:val="clear" w:color="auto" w:fill="FFFFFF"/>
        </w:rPr>
      </w:pPr>
      <w:r>
        <w:rPr>
          <w:rFonts w:hint="eastAsia" w:cs="宋体" w:asciiTheme="minorEastAsia" w:hAnsiTheme="minorEastAsia" w:eastAsiaTheme="minorEastAsia"/>
          <w:b/>
          <w:color w:val="000000"/>
          <w:sz w:val="24"/>
          <w:szCs w:val="16"/>
          <w:shd w:val="clear" w:color="auto" w:fill="FFFFFF"/>
        </w:rPr>
        <w:t>二、公司副总裁、财务总监、董事会秘书刘含树先生补充介绍了公司的核心竞争力：</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第</w:t>
      </w:r>
      <w:r>
        <w:rPr>
          <w:rFonts w:hint="eastAsia" w:asciiTheme="minorEastAsia" w:hAnsiTheme="minorEastAsia" w:eastAsiaTheme="minorEastAsia"/>
          <w:sz w:val="24"/>
        </w:rPr>
        <w:t>一是全产业链布局，具备与国际同行竞争的实力。公司是行业内少有的具备“芯片-器件-系统-解决方案”全产业链布局的企业，已初步形成“上游增强下游，下游反哺上游”的良好局面，主要产品依托优良的性价比、突出的定制能力、全天候的服务响应、高效的交付保障，市场占有率逐年提升，位居国内行业前列，具备与国际一流对手同台竞争的实力。</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是依托研发平台建设，推动产业链价值提升。公司坚持发展高端制造、服务型制造，每年将不少于收入的5%投入研发，拥有20000多平米的研发、中试基地，在海外设有研发中心，与华中科技大学共建有激光加工国家工程研究中心、国家防伪工程研究中心、敏感陶瓷国家重点研究室等研发平台，2017-2019年公司国家级企业技术中心综合实力排名位列行业第一，通过产学研用纽带，公司牵头国家“863”计划项目、国家科技支撑计划项目、十三五国家重大科技计划专项等50余项，创造了多项国内行业“第一”，获得国家科技进步奖三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是发挥人才创新驱动的引擎作用，引领公司快速可持续发展。公司秉持“企业的前途在创新，创新的关键在投入，投入的重点是人才”的理念，坚持引进培养并举，打造行业内人才高地，成为湖北省人才兴企的示范样板。通过实施“猎鹰计划”，引进海外高层次人才30余人，行业领军人才10余人，通过人才链布局，华工科技人才结构实现了质和量的飞跃，研发人员占比一直保持在较高水平，对公司新产品输出和创新能力建设提供了良好保障。</w:t>
      </w:r>
    </w:p>
    <w:p>
      <w:pPr>
        <w:spacing w:line="360" w:lineRule="auto"/>
        <w:rPr>
          <w:rFonts w:asciiTheme="minorEastAsia" w:hAnsiTheme="minorEastAsia" w:eastAsiaTheme="minorEastAsia"/>
          <w:sz w:val="24"/>
        </w:rPr>
      </w:pPr>
    </w:p>
    <w:p>
      <w:pPr>
        <w:pStyle w:val="3"/>
        <w:spacing w:line="360" w:lineRule="auto"/>
      </w:pPr>
      <w:r>
        <w:rPr>
          <w:rFonts w:hint="eastAsia"/>
        </w:rPr>
        <w:t>　　　三</w:t>
      </w:r>
      <w:r>
        <w:rPr>
          <w:rFonts w:hint="eastAsia" w:asciiTheme="minorEastAsia" w:hAnsiTheme="minorEastAsia" w:eastAsiaTheme="minorEastAsia"/>
          <w:b/>
          <w:sz w:val="24"/>
        </w:rPr>
        <w:t>、互动交流环节</w:t>
      </w:r>
    </w:p>
    <w:p>
      <w:pPr>
        <w:pStyle w:val="3"/>
        <w:spacing w:line="360" w:lineRule="auto"/>
      </w:pPr>
      <w:r>
        <w:rPr>
          <w:rFonts w:hint="eastAsia"/>
        </w:rPr>
        <w:t>　　</w:t>
      </w:r>
      <w:r>
        <w:rPr>
          <w:rFonts w:hint="eastAsia" w:asciiTheme="minorEastAsia" w:hAnsiTheme="minorEastAsia" w:eastAsiaTheme="minorEastAsia"/>
          <w:b/>
          <w:sz w:val="24"/>
        </w:rPr>
        <w:t>提问：1、控股股东股权转让完成后，公司管理体制会有怎样的变化？</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华工科技经过21年的发展，既有我们的优势也存在一些不足，主要的两个方面是：第一，决策效率不高。作为校办的国有控股上市公司，我们的决策流程、决策链条过长，较大的影响了公司的决策效率，常常导致在重大决策的过程中遗憾的错失了窗口期。</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第二，中长期激励制度的缺失。目前全国的上市公司，大多已建立了中长期的激励制度，而华工科技20多年来却一直没有激励制度的安排，公司的发展依靠的是马新强董事长所带领的团队，他们具有产业报国的崇高理想抱负，但激励机制的缺失对公司核心骨干员工，核心技术人员的稳定有很大隐患，这也使我们无法更好的释放发展动能。</w:t>
      </w:r>
    </w:p>
    <w:p>
      <w:pPr>
        <w:spacing w:line="360" w:lineRule="auto"/>
        <w:ind w:firstLine="482" w:firstLineChars="201"/>
        <w:rPr>
          <w:rFonts w:hint="eastAsia" w:asciiTheme="minorEastAsia" w:hAnsiTheme="minorEastAsia" w:eastAsiaTheme="minorEastAsia"/>
          <w:sz w:val="24"/>
        </w:rPr>
      </w:pPr>
      <w:r>
        <w:rPr>
          <w:rFonts w:hint="eastAsia" w:asciiTheme="minorEastAsia" w:hAnsiTheme="minorEastAsia" w:eastAsiaTheme="minorEastAsia"/>
          <w:sz w:val="24"/>
        </w:rPr>
        <w:t>在校企改革大背景下，高校通过市场化方式退出控制权。华工科技管理团队积极探索公司的发展之路，，希望能在解决上述问题的同时实现企业更好的发展，此次改制既是国家改革的大势所趋，又是解决企业实际问题的重要契机。此次改制，采用了市场化公开征集受让方方式实施，并确定了公开征集受让条件。经评审委员会根据公开征集流程及征集受让方案的的评审，最终确定了国恒基金为受让方。国恒基金实际控制人武汉市国资充分尊重和认可华工团队在华工科技二十年高速发展中的引领带动作用，邀请华工科技管理团队和核心骨干员工参与国恒基金管理运作。华工团队向国恒基金、国恒管理（GP）增资入伙1.5亿元，作为国恒基金和国恒管理合伙人参与国恒基金管理运作，并作为国恒管理合伙人之一享有基金超额收益。运用基金的管理模式，创新管理机制，基金模式下设立执行委员会，具有最高决策权。执行委员会5名成员中，华工团队提名2名，在决策表决机制设计上充分尊重华工团队及其作为合伙人的意见，共同商议华工科技重要事项。进一步明晰华工科技与大股东、实际控制人之间的权责范围，明确权责清单，给予华工团队就华工科技重要事项的话语权和共同决策权。为进一步完善华工科技治理结构和管理方式，股转完成后，将维持华工科技董、监事会基本稳定，保持董、监事会人员数量和结构基本不变</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华工科技高管将由华工科技董事会按市场化方式聘任。</w:t>
      </w:r>
    </w:p>
    <w:p>
      <w:pPr>
        <w:spacing w:line="360" w:lineRule="auto"/>
        <w:ind w:firstLine="482" w:firstLineChars="201"/>
        <w:rPr>
          <w:rFonts w:asciiTheme="minorEastAsia" w:hAnsiTheme="minorEastAsia" w:eastAsiaTheme="minorEastAsia"/>
          <w:sz w:val="24"/>
        </w:rPr>
      </w:pPr>
      <w:bookmarkStart w:id="0" w:name="_GoBack"/>
      <w:bookmarkEnd w:id="0"/>
    </w:p>
    <w:p>
      <w:pPr>
        <w:pStyle w:val="3"/>
        <w:spacing w:line="360" w:lineRule="auto"/>
        <w:rPr>
          <w:rFonts w:eastAsiaTheme="minorEastAsia"/>
        </w:rPr>
      </w:pPr>
      <w:r>
        <w:rPr>
          <w:rFonts w:hint="eastAsia"/>
        </w:rPr>
        <w:t>　　</w:t>
      </w:r>
      <w:r>
        <w:rPr>
          <w:rFonts w:hint="eastAsia" w:asciiTheme="minorEastAsia" w:hAnsiTheme="minorEastAsia" w:eastAsiaTheme="minorEastAsia"/>
          <w:b/>
          <w:sz w:val="24"/>
        </w:rPr>
        <w:t>提问：2、控股股东股权转让完成后，公司整体业务布局有什么变化？</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光芯屏端网”是东湖高新区的主要产业集群，同时是武汉市发力数字经济的突破口和重点产业方向。“十三五”期间，东湖高新区重点发展“光芯屏端网”产业集群，光通信及激光、集成电路、新型显示、智能终端、数字经济等领域竞争优势不断加强，产业集群影响力大幅提升。经过多年发展，东湖高新区已经成长为全国科技创新高地。未来，华工科技将围绕推动构建全联接、全感知、全智能世界的目标，拓展、深耕全球大客户，横向拓展、纵向延伸，丰富产品品类，夯实产品、技术的差异化优势、领先优势，销售规模、利润保持中高速可持续稳定增长，进一步融入“光芯屏端网”产业集群。</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对于在过程中发现的具有发展前景的与公司主业紧密相关的业务，公司还将通过资本运作的方式，积极探索可行孵化、分拆等措施，最终通过集聚优化资源配置，来保障公司未来高质量发展。</w:t>
      </w:r>
    </w:p>
    <w:p>
      <w:pPr>
        <w:spacing w:line="360" w:lineRule="auto"/>
        <w:ind w:firstLine="482" w:firstLineChars="201"/>
        <w:rPr>
          <w:rFonts w:hint="eastAsia" w:asciiTheme="minorEastAsia" w:hAnsiTheme="minorEastAsia" w:eastAsiaTheme="minorEastAsia"/>
          <w:sz w:val="24"/>
        </w:rPr>
      </w:pPr>
      <w:r>
        <w:rPr>
          <w:rFonts w:hint="eastAsia" w:asciiTheme="minorEastAsia" w:hAnsiTheme="minorEastAsia" w:eastAsiaTheme="minorEastAsia"/>
          <w:sz w:val="24"/>
        </w:rPr>
        <w:t>同时，华中科技大学产业集团完成交割后将继续持有4</w:t>
      </w:r>
      <w:r>
        <w:rPr>
          <w:rFonts w:asciiTheme="minorEastAsia" w:hAnsiTheme="minorEastAsia" w:eastAsiaTheme="minorEastAsia"/>
          <w:sz w:val="24"/>
        </w:rPr>
        <w:t>.91</w:t>
      </w:r>
      <w:r>
        <w:rPr>
          <w:rFonts w:hint="eastAsia" w:asciiTheme="minorEastAsia" w:hAnsiTheme="minorEastAsia" w:eastAsiaTheme="minorEastAsia"/>
          <w:sz w:val="24"/>
        </w:rPr>
        <w:t>%股权，且武汉市国资与产业集团在股权转让协议中约定：国恒基金将协调武汉市政府、武汉市国资委及其控制的国有企业与学校及企业建立</w:t>
      </w:r>
      <w:r>
        <w:rPr>
          <w:rFonts w:asciiTheme="minorEastAsia" w:hAnsiTheme="minorEastAsia" w:eastAsiaTheme="minorEastAsia"/>
          <w:sz w:val="24"/>
        </w:rPr>
        <w:t>“</w:t>
      </w:r>
      <w:r>
        <w:rPr>
          <w:rFonts w:hint="eastAsia" w:asciiTheme="minorEastAsia" w:hAnsiTheme="minorEastAsia" w:eastAsiaTheme="minorEastAsia"/>
          <w:sz w:val="24"/>
        </w:rPr>
        <w:t>政、产、学、研、用</w:t>
      </w:r>
      <w:r>
        <w:rPr>
          <w:rFonts w:asciiTheme="minorEastAsia" w:hAnsiTheme="minorEastAsia" w:eastAsiaTheme="minorEastAsia"/>
          <w:sz w:val="24"/>
        </w:rPr>
        <w:t>”</w:t>
      </w:r>
      <w:r>
        <w:rPr>
          <w:rFonts w:hint="eastAsia" w:asciiTheme="minorEastAsia" w:hAnsiTheme="minorEastAsia" w:eastAsiaTheme="minorEastAsia"/>
          <w:sz w:val="24"/>
        </w:rPr>
        <w:t>一体化的校地合作体系，充分发挥武汉市和华科大在研究、行业、资本等方面的资源优势，通过必要的方式持续促进高校科技成果转化和开展校企合作等。</w:t>
      </w:r>
    </w:p>
    <w:p>
      <w:pPr>
        <w:spacing w:line="360" w:lineRule="auto"/>
        <w:ind w:firstLine="482" w:firstLineChars="201"/>
        <w:rPr>
          <w:rFonts w:asciiTheme="minorEastAsia" w:hAnsiTheme="minorEastAsia" w:eastAsiaTheme="minorEastAsia"/>
          <w:sz w:val="24"/>
        </w:rPr>
      </w:pPr>
    </w:p>
    <w:p>
      <w:pPr>
        <w:pStyle w:val="3"/>
        <w:spacing w:line="360" w:lineRule="auto"/>
        <w:rPr>
          <w:rFonts w:eastAsiaTheme="minorEastAsia"/>
        </w:rPr>
      </w:pPr>
      <w:r>
        <w:rPr>
          <w:rFonts w:hint="eastAsia"/>
        </w:rPr>
        <w:t>　　</w:t>
      </w:r>
      <w:r>
        <w:rPr>
          <w:rFonts w:hint="eastAsia" w:asciiTheme="minorEastAsia" w:hAnsiTheme="minorEastAsia" w:eastAsiaTheme="minorEastAsia"/>
          <w:b/>
          <w:sz w:val="24"/>
        </w:rPr>
        <w:t>提问：3、公司在光通信领域的未来布局？</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目前，公司光通信主要业务为有源、终端、光学以及无源，基于智慧生活、智慧园区、智慧交通等应用场景的整体解决方案能够有机的将这四个业务的产品联动起来，集中优势力量，更加完善产业布局，提高公司核心竞争力与综合实力。相比于同类企业公司具备三大竞争优势：一是高端光模块研发设计能力；二是市场卡位优势；三是拥有上游自研芯片技术。</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面对光模块市场日益白热化的竞争，公司近些年持续加大5G等前沿技术的研发投入，重视高端人才的引进与培养，通过集成创新、IPD管理方法，推动产品向中高端升级，推进自研芯片等核心技术开发，在应用技术层面不断突破，陆续推出5G、数据中心等系列产品，支撑业务发展。</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公司已推出全系列100G、400G产品，单通道可实现25Gbps/50Gbps/100Gbps的解决方案，同时布局硅光技术，研发更高速光模块解决方案，从而协助客户建设更为敏捷、高效、绿色的数据中心。华工科技通信板块积极布局“光联接+无线联接”光网一站式解决方案，从5G、数据中心用光模块，再到皮基站、光猫等终端产品。同时，在光学领域，公司推出了应用于手机摄像模组中的潜望棱镜。</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 xml:space="preserve">对于未来的展望，一方面光模块的产品将会向更高速率、更多调制方法、更低功率、更小的体积发展；另一方面积极布局路由器、5G CPE、工业互联网关等智能终端产品，实现企业5G专网和工业互联小站的发展，有效地满足各工业场景的通信需求。未来在掌握最新国际标准化发展动态的同时，我们也要协同产业链伙伴创制自己的标准，并且推动自主标准国际化，抢占技术竞争的高地，掌握市场的主导权。 </w:t>
      </w:r>
    </w:p>
    <w:p>
      <w:pPr>
        <w:spacing w:line="360" w:lineRule="auto"/>
        <w:ind w:firstLine="482" w:firstLineChars="201"/>
        <w:rPr>
          <w:rFonts w:asciiTheme="minorEastAsia" w:hAnsiTheme="minorEastAsia" w:eastAsiaTheme="minorEastAsia"/>
          <w:sz w:val="24"/>
        </w:rPr>
      </w:pPr>
    </w:p>
    <w:p>
      <w:pPr>
        <w:pStyle w:val="3"/>
        <w:spacing w:line="360" w:lineRule="auto"/>
        <w:rPr>
          <w:rFonts w:asciiTheme="minorEastAsia" w:hAnsiTheme="minorEastAsia" w:eastAsiaTheme="minorEastAsia"/>
          <w:b/>
          <w:sz w:val="24"/>
        </w:rPr>
      </w:pPr>
      <w:r>
        <w:rPr>
          <w:rFonts w:hint="eastAsia"/>
        </w:rPr>
        <w:t>　　</w:t>
      </w:r>
      <w:r>
        <w:rPr>
          <w:rFonts w:hint="eastAsia" w:asciiTheme="minorEastAsia" w:hAnsiTheme="minorEastAsia" w:eastAsiaTheme="minorEastAsia"/>
          <w:b/>
          <w:sz w:val="24"/>
        </w:rPr>
        <w:t>提问：4、公司在激光领域的未来布局？</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当前，全球范围内新一轮工业革命兴起，中国正由制造大国向制造强国转变，智能制造是重要抓手，华工科技去年成立智能制造总部，发挥软硬件整合能力，为中船重工旗下武昌船舶重工集团、中铁旗下宝桥集团及三一重工集团等数家中国制造标杆企业打造智能产线、智能工厂，助力企业转型升级，建立良性健康的智能制造生态圈。未来，华工科技将继续加大技术研发，着力培养综合性高端人才，推进智能制造整体解决方案在船舶、3C、新能源汽车、高铁及城轨、工业互联网等更多行业落地，逐浪数字经济。</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同时，在激光微纳加工方面，持续在新型显示面板、3C电子、5G通讯、新能源汽车等领域发力，在3C电子行业，在OLED柔性屏切割的基础之上拓展市场空间；在汽车行业，切入5G车联网应用场景，在极耳切割、隔离膜切割等加工制程中发挥作用，提升新能源汽车电池能量密度和加工精度；在通讯行业，顺应手机终端高度集成化、轻薄化的趋势，凸显在新材料和高精度加工方面的优势。打造国内一流，具有世界影响力的精密激光智造技术及装备产业化基地。</w:t>
      </w:r>
    </w:p>
    <w:p>
      <w:pPr>
        <w:spacing w:line="360" w:lineRule="auto"/>
        <w:rPr>
          <w:rFonts w:asciiTheme="minorEastAsia" w:hAnsiTheme="minorEastAsia" w:eastAsiaTheme="minorEastAsia"/>
          <w:b/>
          <w:bCs/>
          <w:sz w:val="24"/>
        </w:rPr>
      </w:pPr>
    </w:p>
    <w:p>
      <w:pPr>
        <w:pStyle w:val="3"/>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提问：5、近期下游制造业资本支出呈现上升趋势，这对公司的激光业务收入有何影响？</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2020年，疫情对公司激光业务还是有一定的冲击，但同比保持了比较稳定的增长，2021年随着制造业资本支出的提升，公司的营收应该能够实现比较大幅的增长。一方面，未来我们将通过激光设备的批量制造降低成本，同时提高品质和服务，寻求更加广阔的行业应用领域，拓展新客户。另一方面通过自身管理提质，持续输出稳定可靠的产品，得到了国际市场的认可，随着公司国际业务网络的不断完善、服务网点的不断扩张，公司国际业务的增长也是可期的。第三，公司提供“激光加自动化产线”，“激光加智能制造”整体解决方案的能力不断提升，围绕“激光加”打造智能化产线、样板工厂，服务于3C、工程机械、桥梁制造、钣金制造、船舶制造、汽车制造，航空航天以及军工等领域，随着国家实力的提升，也会大量应用到国产的激光设备，这一块的增长也是可期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709C9"/>
    <w:multiLevelType w:val="singleLevel"/>
    <w:tmpl w:val="9D7709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92543"/>
    <w:rsid w:val="002052B1"/>
    <w:rsid w:val="003758F3"/>
    <w:rsid w:val="003A126B"/>
    <w:rsid w:val="00444CDD"/>
    <w:rsid w:val="00470082"/>
    <w:rsid w:val="004A7BFF"/>
    <w:rsid w:val="0056595A"/>
    <w:rsid w:val="0078177C"/>
    <w:rsid w:val="00B02108"/>
    <w:rsid w:val="00C9279A"/>
    <w:rsid w:val="00E31FC0"/>
    <w:rsid w:val="013A165A"/>
    <w:rsid w:val="08EF2A33"/>
    <w:rsid w:val="0B4E6C7C"/>
    <w:rsid w:val="0B573446"/>
    <w:rsid w:val="0BF836CE"/>
    <w:rsid w:val="0D2C3FA7"/>
    <w:rsid w:val="12854EB9"/>
    <w:rsid w:val="1FA01A18"/>
    <w:rsid w:val="2C3C43A1"/>
    <w:rsid w:val="316761C2"/>
    <w:rsid w:val="3A514C56"/>
    <w:rsid w:val="3B9C555B"/>
    <w:rsid w:val="43057FCD"/>
    <w:rsid w:val="4E361EA6"/>
    <w:rsid w:val="56C36BF8"/>
    <w:rsid w:val="59BF5611"/>
    <w:rsid w:val="5ACA7186"/>
    <w:rsid w:val="6A965E7E"/>
    <w:rsid w:val="70D47CFD"/>
    <w:rsid w:val="71374325"/>
    <w:rsid w:val="71D66148"/>
    <w:rsid w:val="72E40A12"/>
    <w:rsid w:val="79FC0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Plain Text"/>
    <w:basedOn w:val="1"/>
    <w:qFormat/>
    <w:uiPriority w:val="0"/>
    <w:rPr>
      <w:rFonts w:ascii="宋体" w:hAnsi="Courier New"/>
    </w:rPr>
  </w:style>
  <w:style w:type="paragraph" w:styleId="4">
    <w:name w:val="Balloon Text"/>
    <w:basedOn w:val="1"/>
    <w:link w:val="1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annotation subject"/>
    <w:basedOn w:val="2"/>
    <w:next w:val="2"/>
    <w:link w:val="13"/>
    <w:uiPriority w:val="0"/>
    <w:rPr>
      <w:b/>
      <w:bCs/>
    </w:rPr>
  </w:style>
  <w:style w:type="character" w:styleId="9">
    <w:name w:val="Hyperlink"/>
    <w:basedOn w:val="8"/>
    <w:qFormat/>
    <w:uiPriority w:val="0"/>
    <w:rPr>
      <w:color w:val="0000FF"/>
      <w:u w:val="single"/>
    </w:rPr>
  </w:style>
  <w:style w:type="character" w:styleId="10">
    <w:name w:val="annotation reference"/>
    <w:basedOn w:val="8"/>
    <w:uiPriority w:val="0"/>
    <w:rPr>
      <w:sz w:val="21"/>
      <w:szCs w:val="21"/>
    </w:rPr>
  </w:style>
  <w:style w:type="character" w:customStyle="1" w:styleId="11">
    <w:name w:val="批注框文本 字符"/>
    <w:basedOn w:val="8"/>
    <w:link w:val="4"/>
    <w:qFormat/>
    <w:uiPriority w:val="0"/>
    <w:rPr>
      <w:rFonts w:ascii="Calibri" w:hAnsi="Calibri" w:eastAsia="微软雅黑"/>
      <w:kern w:val="2"/>
      <w:sz w:val="18"/>
      <w:szCs w:val="18"/>
    </w:rPr>
  </w:style>
  <w:style w:type="character" w:customStyle="1" w:styleId="12">
    <w:name w:val="批注文字 字符"/>
    <w:basedOn w:val="8"/>
    <w:link w:val="2"/>
    <w:uiPriority w:val="0"/>
    <w:rPr>
      <w:rFonts w:ascii="Calibri" w:hAnsi="Calibri" w:eastAsia="微软雅黑" w:cs="Times New Roman"/>
      <w:kern w:val="2"/>
      <w:sz w:val="21"/>
      <w:szCs w:val="24"/>
    </w:rPr>
  </w:style>
  <w:style w:type="character" w:customStyle="1" w:styleId="13">
    <w:name w:val="批注主题 字符"/>
    <w:basedOn w:val="12"/>
    <w:link w:val="6"/>
    <w:uiPriority w:val="0"/>
    <w:rPr>
      <w:rFonts w:ascii="Calibri" w:hAnsi="Calibri" w:eastAsia="微软雅黑"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BB91C-B6C7-4E94-889A-3C250D01C5E4}">
  <ds:schemaRefs/>
</ds:datastoreItem>
</file>

<file path=docProps/app.xml><?xml version="1.0" encoding="utf-8"?>
<Properties xmlns="http://schemas.openxmlformats.org/officeDocument/2006/extended-properties" xmlns:vt="http://schemas.openxmlformats.org/officeDocument/2006/docPropsVTypes">
  <Template>Normal.dotm</Template>
  <Pages>7</Pages>
  <Words>847</Words>
  <Characters>4834</Characters>
  <Lines>40</Lines>
  <Paragraphs>11</Paragraphs>
  <TotalTime>62</TotalTime>
  <ScaleCrop>false</ScaleCrop>
  <LinksUpToDate>false</LinksUpToDate>
  <CharactersWithSpaces>5670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2019-09-02T09:25:00Z</dcterms:created>
  <dc:creator>Sissi</dc:creator>
  <cp:lastModifiedBy>chenming</cp:lastModifiedBy>
  <cp:lastPrinted>2021-01-14T07:10:00Z</cp:lastPrinted>
  <dcterms:modified xsi:type="dcterms:W3CDTF">2021-01-14T10:01:12Z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