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证券代码：000988　                                证券简称：华工科技 </w:t>
      </w:r>
    </w:p>
    <w:p>
      <w:pPr>
        <w:spacing w:line="360" w:lineRule="auto"/>
        <w:jc w:val="center"/>
        <w:rPr>
          <w:rFonts w:ascii="黑体" w:eastAsia="黑体"/>
          <w:b/>
          <w:sz w:val="32"/>
          <w:szCs w:val="32"/>
        </w:rPr>
      </w:pPr>
      <w:r>
        <w:rPr>
          <w:rFonts w:hint="eastAsia" w:ascii="黑体" w:eastAsia="黑体"/>
          <w:b/>
          <w:sz w:val="32"/>
          <w:szCs w:val="32"/>
        </w:rPr>
        <w:t>华工科技产业股份有限公司</w:t>
      </w:r>
    </w:p>
    <w:p>
      <w:pPr>
        <w:spacing w:before="156" w:beforeLines="50" w:after="156" w:afterLines="50" w:line="400" w:lineRule="exact"/>
        <w:jc w:val="center"/>
        <w:rPr>
          <w:rFonts w:ascii="黑体" w:hAnsi="黑体" w:eastAsia="黑体"/>
          <w:b/>
          <w:bCs/>
          <w:iCs/>
          <w:color w:val="000000"/>
          <w:sz w:val="32"/>
          <w:szCs w:val="32"/>
        </w:rPr>
      </w:pPr>
      <w:r>
        <w:rPr>
          <w:rFonts w:hint="eastAsia" w:ascii="黑体" w:hAnsi="黑体" w:eastAsia="黑体"/>
          <w:b/>
          <w:bCs/>
          <w:iCs/>
          <w:color w:val="000000"/>
          <w:sz w:val="32"/>
          <w:szCs w:val="32"/>
        </w:rPr>
        <w:t>投资者关系活动记录表</w:t>
      </w:r>
    </w:p>
    <w:p>
      <w:pPr>
        <w:spacing w:line="400" w:lineRule="exac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 xml:space="preserve">编号：2021-02                                          日期：1月13日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iCs/>
                <w:color w:val="000000"/>
                <w:sz w:val="24"/>
              </w:rPr>
            </w:pPr>
            <w:r>
              <w:rPr>
                <w:rFonts w:hint="eastAsia" w:ascii="宋体" w:hAnsi="宋体" w:eastAsia="宋体" w:cs="宋体"/>
                <w:bCs/>
                <w:iCs/>
                <w:color w:val="000000"/>
                <w:sz w:val="24"/>
              </w:rPr>
              <w:t>投资者关系活动类别</w:t>
            </w:r>
          </w:p>
          <w:p>
            <w:pPr>
              <w:spacing w:line="360" w:lineRule="auto"/>
              <w:rPr>
                <w:rFonts w:ascii="宋体" w:hAnsi="宋体" w:eastAsia="宋体" w:cs="宋体"/>
                <w:bCs/>
                <w:iCs/>
                <w:color w:val="000000"/>
                <w:sz w:val="24"/>
              </w:rPr>
            </w:pPr>
          </w:p>
        </w:tc>
        <w:tc>
          <w:tcPr>
            <w:tcW w:w="661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rPr>
            </w:pPr>
            <w:r>
              <w:rPr>
                <w:rFonts w:hint="eastAsia" w:ascii="宋体" w:hAnsi="宋体" w:eastAsia="宋体" w:cs="宋体"/>
                <w:bCs/>
                <w:iCs/>
                <w:color w:val="000000"/>
                <w:sz w:val="24"/>
              </w:rPr>
              <w:sym w:font="Wingdings 2" w:char="0052"/>
            </w:r>
            <w:r>
              <w:rPr>
                <w:rFonts w:hint="eastAsia" w:ascii="宋体" w:hAnsi="宋体" w:eastAsia="宋体" w:cs="宋体"/>
                <w:sz w:val="24"/>
              </w:rPr>
              <w:t xml:space="preserve">特定对象调研       </w:t>
            </w:r>
            <w:r>
              <w:rPr>
                <w:rFonts w:hint="eastAsia" w:ascii="宋体" w:hAnsi="宋体" w:eastAsia="宋体" w:cs="宋体"/>
                <w:bCs/>
                <w:iCs/>
                <w:color w:val="000000"/>
                <w:sz w:val="24"/>
              </w:rPr>
              <w:t>□</w:t>
            </w:r>
            <w:r>
              <w:rPr>
                <w:rFonts w:hint="eastAsia" w:ascii="宋体" w:hAnsi="宋体" w:eastAsia="宋体" w:cs="宋体"/>
                <w:sz w:val="24"/>
              </w:rPr>
              <w:t>分析师会议</w:t>
            </w:r>
            <w:r>
              <w:rPr>
                <w:rFonts w:hint="eastAsia" w:ascii="宋体" w:hAnsi="宋体" w:eastAsia="宋体" w:cs="宋体"/>
                <w:bCs/>
                <w:iCs/>
                <w:color w:val="000000"/>
                <w:sz w:val="24"/>
              </w:rPr>
              <w:t xml:space="preserve">        □</w:t>
            </w:r>
            <w:r>
              <w:rPr>
                <w:rFonts w:hint="eastAsia" w:ascii="宋体" w:hAnsi="宋体" w:eastAsia="宋体" w:cs="宋体"/>
                <w:sz w:val="24"/>
              </w:rPr>
              <w:t>媒体采访</w:t>
            </w:r>
          </w:p>
          <w:p>
            <w:pPr>
              <w:spacing w:line="360" w:lineRule="auto"/>
              <w:rPr>
                <w:rFonts w:ascii="宋体" w:hAnsi="宋体" w:eastAsia="宋体" w:cs="宋体"/>
                <w:bCs/>
                <w:iCs/>
                <w:color w:val="000000"/>
                <w:sz w:val="24"/>
              </w:rPr>
            </w:pPr>
            <w:r>
              <w:rPr>
                <w:rFonts w:hint="eastAsia" w:ascii="宋体" w:hAnsi="宋体" w:eastAsia="宋体" w:cs="宋体"/>
                <w:bCs/>
                <w:iCs/>
                <w:color w:val="000000"/>
                <w:sz w:val="24"/>
              </w:rPr>
              <w:sym w:font="Wingdings 2" w:char="00A3"/>
            </w:r>
            <w:r>
              <w:rPr>
                <w:rFonts w:hint="eastAsia" w:ascii="宋体" w:hAnsi="宋体" w:eastAsia="宋体" w:cs="宋体"/>
                <w:sz w:val="24"/>
              </w:rPr>
              <w:t>业绩说明会</w:t>
            </w:r>
            <w:r>
              <w:rPr>
                <w:rFonts w:hint="eastAsia" w:ascii="宋体" w:hAnsi="宋体" w:eastAsia="宋体" w:cs="宋体"/>
                <w:bCs/>
                <w:iCs/>
                <w:color w:val="000000"/>
                <w:sz w:val="24"/>
              </w:rPr>
              <w:t xml:space="preserve">        □</w:t>
            </w:r>
            <w:r>
              <w:rPr>
                <w:rFonts w:hint="eastAsia" w:ascii="宋体" w:hAnsi="宋体" w:eastAsia="宋体" w:cs="宋体"/>
                <w:sz w:val="24"/>
              </w:rPr>
              <w:t xml:space="preserve">新闻发布会        </w:t>
            </w:r>
            <w:r>
              <w:rPr>
                <w:rFonts w:hint="eastAsia" w:ascii="宋体" w:hAnsi="宋体" w:eastAsia="宋体" w:cs="宋体"/>
                <w:bCs/>
                <w:iCs/>
                <w:color w:val="000000"/>
                <w:sz w:val="24"/>
              </w:rPr>
              <w:t>□</w:t>
            </w:r>
            <w:r>
              <w:rPr>
                <w:rFonts w:hint="eastAsia" w:ascii="宋体" w:hAnsi="宋体" w:eastAsia="宋体" w:cs="宋体"/>
                <w:sz w:val="24"/>
              </w:rPr>
              <w:t>路演活动</w:t>
            </w:r>
          </w:p>
          <w:p>
            <w:pPr>
              <w:tabs>
                <w:tab w:val="left" w:pos="3045"/>
                <w:tab w:val="center" w:pos="3199"/>
              </w:tabs>
              <w:spacing w:line="360" w:lineRule="auto"/>
              <w:rPr>
                <w:rFonts w:ascii="宋体" w:hAnsi="宋体" w:eastAsia="宋体" w:cs="宋体"/>
                <w:bCs/>
                <w:iCs/>
                <w:color w:val="000000"/>
                <w:sz w:val="24"/>
              </w:rPr>
            </w:pPr>
            <w:r>
              <w:rPr>
                <w:rFonts w:hint="eastAsia" w:ascii="宋体" w:hAnsi="宋体" w:eastAsia="宋体" w:cs="宋体"/>
                <w:bCs/>
                <w:iCs/>
                <w:color w:val="000000"/>
                <w:sz w:val="24"/>
              </w:rPr>
              <w:t>□</w:t>
            </w:r>
            <w:r>
              <w:rPr>
                <w:rFonts w:hint="eastAsia" w:ascii="宋体" w:hAnsi="宋体" w:eastAsia="宋体" w:cs="宋体"/>
                <w:sz w:val="24"/>
              </w:rPr>
              <w:t>现场参观</w:t>
            </w:r>
            <w:r>
              <w:rPr>
                <w:rFonts w:hint="eastAsia" w:ascii="宋体" w:hAnsi="宋体" w:eastAsia="宋体" w:cs="宋体"/>
                <w:bCs/>
                <w:iCs/>
                <w:color w:val="000000"/>
                <w:sz w:val="24"/>
              </w:rPr>
              <w:t xml:space="preserve">           □</w:t>
            </w:r>
            <w:r>
              <w:rPr>
                <w:rFonts w:hint="eastAsia" w:ascii="宋体" w:hAnsi="宋体" w:eastAsia="宋体" w:cs="宋体"/>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iCs/>
                <w:color w:val="000000"/>
                <w:sz w:val="24"/>
              </w:rPr>
            </w:pPr>
            <w:r>
              <w:rPr>
                <w:rFonts w:hint="eastAsia" w:ascii="宋体" w:hAnsi="宋体" w:eastAsia="宋体" w:cs="宋体"/>
                <w:bCs/>
                <w:iCs/>
                <w:color w:val="000000"/>
                <w:sz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cs="宋体"/>
                <w:bCs/>
                <w:iCs/>
                <w:color w:val="000000"/>
                <w:sz w:val="24"/>
                <w:lang w:val="en-US" w:eastAsia="zh-CN"/>
              </w:rPr>
            </w:pPr>
            <w:r>
              <w:rPr>
                <w:rFonts w:hint="eastAsia" w:ascii="宋体" w:hAnsi="宋体" w:eastAsia="宋体" w:cs="宋体"/>
                <w:bCs/>
                <w:iCs/>
                <w:color w:val="000000"/>
                <w:sz w:val="24"/>
              </w:rPr>
              <w:t>1、</w:t>
            </w:r>
            <w:r>
              <w:rPr>
                <w:rFonts w:hint="eastAsia" w:ascii="宋体" w:hAnsi="宋体" w:eastAsia="宋体" w:cs="宋体"/>
                <w:bCs/>
                <w:iCs/>
                <w:color w:val="000000"/>
                <w:sz w:val="24"/>
                <w:lang w:val="en-US" w:eastAsia="zh-CN"/>
              </w:rPr>
              <w:t>摩根士丹利 王卓然</w:t>
            </w:r>
          </w:p>
          <w:p>
            <w:pPr>
              <w:spacing w:line="360" w:lineRule="auto"/>
              <w:rPr>
                <w:rFonts w:ascii="宋体" w:hAnsi="宋体" w:eastAsia="宋体" w:cs="宋体"/>
                <w:bCs/>
                <w:iCs/>
                <w:color w:val="000000"/>
                <w:sz w:val="24"/>
              </w:rPr>
            </w:pPr>
            <w:r>
              <w:rPr>
                <w:rFonts w:hint="eastAsia" w:ascii="宋体" w:hAnsi="宋体" w:eastAsia="宋体" w:cs="宋体"/>
                <w:bCs/>
                <w:iCs/>
                <w:color w:val="000000"/>
                <w:sz w:val="24"/>
                <w:lang w:val="en-US" w:eastAsia="zh-CN"/>
              </w:rPr>
              <w:t>2、</w:t>
            </w:r>
            <w:r>
              <w:rPr>
                <w:rFonts w:hint="eastAsia" w:ascii="宋体" w:hAnsi="宋体" w:eastAsia="宋体" w:cs="宋体"/>
                <w:bCs/>
                <w:iCs/>
                <w:color w:val="000000"/>
                <w:sz w:val="24"/>
              </w:rPr>
              <w:t>LION GLOBAL INVESTORS Chang Seok Kim</w:t>
            </w:r>
          </w:p>
          <w:p>
            <w:pPr>
              <w:spacing w:line="360" w:lineRule="auto"/>
              <w:rPr>
                <w:rFonts w:ascii="宋体" w:hAnsi="宋体" w:eastAsia="宋体" w:cs="宋体"/>
                <w:bCs/>
                <w:iCs/>
                <w:color w:val="000000"/>
                <w:sz w:val="24"/>
              </w:rPr>
            </w:pPr>
            <w:r>
              <w:rPr>
                <w:rFonts w:hint="eastAsia" w:ascii="宋体" w:hAnsi="宋体" w:eastAsia="宋体" w:cs="宋体"/>
                <w:bCs/>
                <w:iCs/>
                <w:color w:val="000000"/>
                <w:sz w:val="24"/>
                <w:lang w:val="en-US" w:eastAsia="zh-CN"/>
              </w:rPr>
              <w:t>3</w:t>
            </w:r>
            <w:r>
              <w:rPr>
                <w:rFonts w:hint="eastAsia" w:ascii="宋体" w:hAnsi="宋体" w:eastAsia="宋体" w:cs="宋体"/>
                <w:bCs/>
                <w:iCs/>
                <w:color w:val="000000"/>
                <w:sz w:val="24"/>
              </w:rPr>
              <w:t>、MANULIFE INVESTMENT MANAGEMENT Doris Wang</w:t>
            </w:r>
          </w:p>
          <w:p>
            <w:pPr>
              <w:spacing w:line="360" w:lineRule="auto"/>
              <w:rPr>
                <w:rFonts w:ascii="宋体" w:hAnsi="宋体" w:eastAsia="宋体" w:cs="宋体"/>
                <w:bCs/>
                <w:iCs/>
                <w:color w:val="000000"/>
                <w:sz w:val="24"/>
              </w:rPr>
            </w:pPr>
            <w:r>
              <w:rPr>
                <w:rFonts w:hint="eastAsia" w:ascii="宋体" w:hAnsi="宋体" w:eastAsia="宋体" w:cs="宋体"/>
                <w:bCs/>
                <w:iCs/>
                <w:color w:val="000000"/>
                <w:sz w:val="24"/>
                <w:lang w:val="en-US" w:eastAsia="zh-CN"/>
              </w:rPr>
              <w:t>4</w:t>
            </w:r>
            <w:r>
              <w:rPr>
                <w:rFonts w:hint="eastAsia" w:ascii="宋体" w:hAnsi="宋体" w:eastAsia="宋体" w:cs="宋体"/>
                <w:bCs/>
                <w:iCs/>
                <w:color w:val="000000"/>
                <w:sz w:val="24"/>
              </w:rPr>
              <w:t>、MIRAE ASSET GLOBAL INVESTMENT MANAGEMENT Wei Wei Chua</w:t>
            </w:r>
          </w:p>
          <w:p>
            <w:pPr>
              <w:spacing w:line="360" w:lineRule="auto"/>
              <w:rPr>
                <w:rFonts w:ascii="宋体" w:hAnsi="宋体" w:eastAsia="宋体" w:cs="宋体"/>
                <w:bCs/>
                <w:iCs/>
                <w:color w:val="000000"/>
                <w:sz w:val="24"/>
              </w:rPr>
            </w:pPr>
            <w:r>
              <w:rPr>
                <w:rFonts w:hint="eastAsia" w:ascii="宋体" w:hAnsi="宋体" w:eastAsia="宋体" w:cs="宋体"/>
                <w:bCs/>
                <w:iCs/>
                <w:color w:val="000000"/>
                <w:sz w:val="24"/>
                <w:lang w:val="en-US" w:eastAsia="zh-CN"/>
              </w:rPr>
              <w:t>5</w:t>
            </w:r>
            <w:r>
              <w:rPr>
                <w:rFonts w:hint="eastAsia" w:ascii="宋体" w:hAnsi="宋体" w:eastAsia="宋体" w:cs="宋体"/>
                <w:bCs/>
                <w:iCs/>
                <w:color w:val="000000"/>
                <w:sz w:val="24"/>
              </w:rPr>
              <w:t>、OPTIMAS CAPITAL Yan Yan</w:t>
            </w:r>
          </w:p>
          <w:p>
            <w:pPr>
              <w:spacing w:line="360" w:lineRule="auto"/>
              <w:rPr>
                <w:rFonts w:ascii="宋体" w:hAnsi="宋体" w:eastAsia="宋体" w:cs="宋体"/>
                <w:bCs/>
                <w:iCs/>
                <w:color w:val="000000"/>
                <w:sz w:val="24"/>
              </w:rPr>
            </w:pPr>
            <w:r>
              <w:rPr>
                <w:rFonts w:hint="eastAsia" w:ascii="宋体" w:hAnsi="宋体" w:eastAsia="宋体" w:cs="宋体"/>
                <w:bCs/>
                <w:iCs/>
                <w:color w:val="000000"/>
                <w:sz w:val="24"/>
                <w:lang w:val="en-US" w:eastAsia="zh-CN"/>
              </w:rPr>
              <w:t>6</w:t>
            </w:r>
            <w:r>
              <w:rPr>
                <w:rFonts w:hint="eastAsia" w:ascii="宋体" w:hAnsi="宋体" w:eastAsia="宋体" w:cs="宋体"/>
                <w:bCs/>
                <w:iCs/>
                <w:color w:val="000000"/>
                <w:sz w:val="24"/>
              </w:rPr>
              <w:t>、OVERLOOK INVESTMENTS William Leung</w:t>
            </w:r>
          </w:p>
          <w:p>
            <w:pPr>
              <w:spacing w:line="360" w:lineRule="auto"/>
              <w:rPr>
                <w:rFonts w:ascii="宋体" w:hAnsi="宋体" w:eastAsia="宋体" w:cs="宋体"/>
                <w:bCs/>
                <w:iCs/>
                <w:color w:val="000000"/>
                <w:sz w:val="24"/>
              </w:rPr>
            </w:pPr>
            <w:r>
              <w:rPr>
                <w:rFonts w:hint="eastAsia" w:ascii="宋体" w:hAnsi="宋体" w:eastAsia="宋体" w:cs="宋体"/>
                <w:bCs/>
                <w:iCs/>
                <w:color w:val="000000"/>
                <w:sz w:val="24"/>
                <w:lang w:val="en-US" w:eastAsia="zh-CN"/>
              </w:rPr>
              <w:t>7</w:t>
            </w:r>
            <w:r>
              <w:rPr>
                <w:rFonts w:hint="eastAsia" w:ascii="宋体" w:hAnsi="宋体" w:eastAsia="宋体" w:cs="宋体"/>
                <w:bCs/>
                <w:iCs/>
                <w:color w:val="000000"/>
                <w:sz w:val="24"/>
              </w:rPr>
              <w:t>、SUMITOMO MITSUI DS AM(SMAM) Yvette Sun</w:t>
            </w:r>
          </w:p>
          <w:p>
            <w:pPr>
              <w:spacing w:line="360" w:lineRule="auto"/>
              <w:rPr>
                <w:rFonts w:ascii="宋体" w:hAnsi="宋体" w:eastAsia="宋体" w:cs="宋体"/>
                <w:bCs/>
                <w:iCs/>
                <w:color w:val="000000"/>
                <w:sz w:val="24"/>
              </w:rPr>
            </w:pPr>
            <w:r>
              <w:rPr>
                <w:rFonts w:hint="eastAsia" w:ascii="宋体" w:hAnsi="宋体" w:eastAsia="宋体" w:cs="宋体"/>
                <w:bCs/>
                <w:iCs/>
                <w:color w:val="000000"/>
                <w:sz w:val="24"/>
                <w:lang w:val="en-US" w:eastAsia="zh-CN"/>
              </w:rPr>
              <w:t>8</w:t>
            </w:r>
            <w:r>
              <w:rPr>
                <w:rFonts w:hint="eastAsia" w:ascii="宋体" w:hAnsi="宋体" w:eastAsia="宋体" w:cs="宋体"/>
                <w:bCs/>
                <w:iCs/>
                <w:color w:val="000000"/>
                <w:sz w:val="24"/>
              </w:rPr>
              <w:t>、T ROWE PRICE Wenli Zheng</w:t>
            </w:r>
          </w:p>
          <w:p>
            <w:pPr>
              <w:spacing w:line="360" w:lineRule="auto"/>
              <w:rPr>
                <w:rFonts w:ascii="宋体" w:hAnsi="宋体" w:eastAsia="宋体" w:cs="宋体"/>
                <w:bCs/>
                <w:iCs/>
                <w:color w:val="000000"/>
                <w:sz w:val="24"/>
              </w:rPr>
            </w:pPr>
            <w:r>
              <w:rPr>
                <w:rFonts w:hint="eastAsia" w:ascii="宋体" w:hAnsi="宋体" w:eastAsia="宋体" w:cs="宋体"/>
                <w:bCs/>
                <w:iCs/>
                <w:color w:val="000000"/>
                <w:sz w:val="24"/>
                <w:lang w:val="en-US" w:eastAsia="zh-CN"/>
              </w:rPr>
              <w:t>9</w:t>
            </w:r>
            <w:r>
              <w:rPr>
                <w:rFonts w:hint="eastAsia" w:ascii="宋体" w:hAnsi="宋体" w:eastAsia="宋体" w:cs="宋体"/>
                <w:bCs/>
                <w:iCs/>
                <w:color w:val="000000"/>
                <w:sz w:val="24"/>
              </w:rPr>
              <w:t>、TAIKANG INSURANCE GROUP Ray Li</w:t>
            </w:r>
          </w:p>
          <w:p>
            <w:pPr>
              <w:spacing w:line="360" w:lineRule="auto"/>
              <w:rPr>
                <w:rFonts w:ascii="宋体" w:hAnsi="宋体" w:eastAsia="宋体" w:cs="宋体"/>
                <w:bCs/>
                <w:iCs/>
                <w:kern w:val="0"/>
                <w:sz w:val="24"/>
              </w:rPr>
            </w:pPr>
            <w:r>
              <w:rPr>
                <w:rFonts w:hint="eastAsia" w:ascii="宋体" w:hAnsi="宋体" w:eastAsia="宋体" w:cs="宋体"/>
                <w:bCs/>
                <w:iCs/>
                <w:color w:val="000000"/>
                <w:sz w:val="24"/>
                <w:lang w:val="en-US" w:eastAsia="zh-CN"/>
              </w:rPr>
              <w:t>10</w:t>
            </w:r>
            <w:r>
              <w:rPr>
                <w:rFonts w:hint="eastAsia" w:ascii="宋体" w:hAnsi="宋体" w:eastAsia="宋体" w:cs="宋体"/>
                <w:bCs/>
                <w:iCs/>
                <w:color w:val="000000"/>
                <w:sz w:val="24"/>
              </w:rPr>
              <w:t>、TIGER PACIFIC CAPITAL Samuel Zhong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iCs/>
                <w:color w:val="000000"/>
                <w:sz w:val="24"/>
              </w:rPr>
            </w:pPr>
            <w:r>
              <w:rPr>
                <w:rFonts w:hint="eastAsia" w:ascii="宋体" w:hAnsi="宋体" w:eastAsia="宋体" w:cs="宋体"/>
                <w:bCs/>
                <w:iCs/>
                <w:color w:val="000000"/>
                <w:sz w:val="24"/>
              </w:rPr>
              <w:t>时间</w:t>
            </w:r>
          </w:p>
        </w:tc>
        <w:tc>
          <w:tcPr>
            <w:tcW w:w="661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iCs/>
                <w:color w:val="000000"/>
                <w:sz w:val="24"/>
              </w:rPr>
            </w:pPr>
            <w:r>
              <w:rPr>
                <w:rFonts w:hint="eastAsia" w:ascii="宋体" w:hAnsi="宋体" w:eastAsia="宋体" w:cs="宋体"/>
                <w:bCs/>
                <w:iCs/>
                <w:color w:val="000000"/>
                <w:sz w:val="24"/>
              </w:rPr>
              <w:t>2021年1月13日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iCs/>
                <w:color w:val="000000"/>
                <w:sz w:val="24"/>
              </w:rPr>
            </w:pPr>
            <w:r>
              <w:rPr>
                <w:rFonts w:hint="eastAsia" w:ascii="宋体" w:hAnsi="宋体" w:eastAsia="宋体" w:cs="宋体"/>
                <w:bCs/>
                <w:iCs/>
                <w:color w:val="000000"/>
                <w:sz w:val="24"/>
              </w:rPr>
              <w:t>地点</w:t>
            </w:r>
          </w:p>
        </w:tc>
        <w:tc>
          <w:tcPr>
            <w:tcW w:w="661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iCs/>
                <w:color w:val="000000"/>
                <w:sz w:val="24"/>
              </w:rPr>
            </w:pPr>
            <w:r>
              <w:rPr>
                <w:rFonts w:hint="eastAsia" w:ascii="宋体" w:hAnsi="宋体" w:eastAsia="宋体" w:cs="宋体"/>
                <w:bCs/>
                <w:iCs/>
                <w:kern w:val="0"/>
                <w:sz w:val="24"/>
              </w:rPr>
              <w:t>公司二楼会议室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Cs/>
                <w:iCs/>
                <w:color w:val="000000"/>
                <w:sz w:val="24"/>
              </w:rPr>
            </w:pPr>
            <w:r>
              <w:rPr>
                <w:rFonts w:hint="eastAsia" w:ascii="宋体" w:hAnsi="宋体" w:eastAsia="宋体" w:cs="宋体"/>
                <w:bCs/>
                <w:iCs/>
                <w:color w:val="000000"/>
                <w:sz w:val="24"/>
              </w:rPr>
              <w:t>上市公司接待人员姓名</w:t>
            </w:r>
          </w:p>
        </w:tc>
        <w:tc>
          <w:tcPr>
            <w:tcW w:w="661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ascii="宋体" w:hAnsi="宋体" w:eastAsia="宋体" w:cs="宋体"/>
                <w:bCs/>
                <w:iCs/>
                <w:color w:val="000000"/>
                <w:sz w:val="24"/>
              </w:rPr>
            </w:pPr>
            <w:r>
              <w:rPr>
                <w:rFonts w:hint="eastAsia" w:ascii="宋体" w:hAnsi="宋体" w:eastAsia="宋体" w:cs="宋体"/>
                <w:bCs/>
                <w:iCs/>
                <w:color w:val="000000"/>
                <w:sz w:val="24"/>
              </w:rPr>
              <w:t>华工科技 董事/副总经理/财务总监/董秘：刘含树</w:t>
            </w:r>
          </w:p>
          <w:p>
            <w:pPr>
              <w:numPr>
                <w:ilvl w:val="0"/>
                <w:numId w:val="1"/>
              </w:numPr>
              <w:spacing w:line="360" w:lineRule="auto"/>
              <w:rPr>
                <w:rFonts w:ascii="宋体" w:hAnsi="宋体" w:eastAsia="宋体" w:cs="宋体"/>
                <w:bCs/>
                <w:iCs/>
                <w:color w:val="000000"/>
                <w:sz w:val="24"/>
              </w:rPr>
            </w:pPr>
            <w:r>
              <w:rPr>
                <w:rFonts w:hint="eastAsia" w:ascii="宋体" w:hAnsi="宋体" w:eastAsia="宋体" w:cs="宋体"/>
                <w:bCs/>
                <w:iCs/>
                <w:color w:val="000000"/>
                <w:sz w:val="24"/>
              </w:rPr>
              <w:t>能量激光板块 总经理：邓家科</w:t>
            </w:r>
          </w:p>
          <w:p>
            <w:pPr>
              <w:numPr>
                <w:ilvl w:val="0"/>
                <w:numId w:val="1"/>
              </w:numPr>
              <w:spacing w:line="360" w:lineRule="auto"/>
              <w:rPr>
                <w:rFonts w:hint="eastAsia" w:ascii="宋体" w:hAnsi="宋体" w:eastAsia="宋体" w:cs="宋体"/>
                <w:bCs/>
                <w:iCs/>
                <w:color w:val="000000"/>
                <w:sz w:val="24"/>
              </w:rPr>
            </w:pPr>
            <w:r>
              <w:rPr>
                <w:rFonts w:hint="eastAsia" w:ascii="宋体" w:hAnsi="宋体" w:eastAsia="宋体" w:cs="宋体"/>
                <w:bCs/>
                <w:iCs/>
                <w:color w:val="000000"/>
                <w:sz w:val="24"/>
              </w:rPr>
              <w:t>光通信板块 总经理：胡长飞</w:t>
            </w:r>
          </w:p>
          <w:p>
            <w:pPr>
              <w:numPr>
                <w:ilvl w:val="0"/>
                <w:numId w:val="1"/>
              </w:numPr>
              <w:spacing w:line="360" w:lineRule="auto"/>
              <w:rPr>
                <w:rFonts w:hint="eastAsia" w:ascii="宋体" w:hAnsi="宋体" w:eastAsia="宋体" w:cs="宋体"/>
                <w:bCs/>
                <w:iCs/>
                <w:color w:val="000000"/>
                <w:sz w:val="24"/>
              </w:rPr>
            </w:pPr>
            <w:r>
              <w:rPr>
                <w:rFonts w:hint="eastAsia" w:ascii="宋体" w:hAnsi="宋体" w:eastAsia="宋体" w:cs="宋体"/>
                <w:bCs/>
                <w:iCs/>
                <w:color w:val="000000"/>
                <w:sz w:val="24"/>
                <w:lang w:val="en-US" w:eastAsia="zh-CN"/>
              </w:rPr>
              <w:t>投资公司 总经理：张丽华</w:t>
            </w:r>
          </w:p>
          <w:p>
            <w:pPr>
              <w:numPr>
                <w:ilvl w:val="0"/>
                <w:numId w:val="1"/>
              </w:numPr>
              <w:spacing w:line="360" w:lineRule="auto"/>
              <w:rPr>
                <w:rFonts w:ascii="宋体" w:hAnsi="宋体" w:eastAsia="宋体" w:cs="宋体"/>
                <w:bCs/>
                <w:iCs/>
                <w:color w:val="000000"/>
                <w:sz w:val="24"/>
              </w:rPr>
            </w:pPr>
            <w:r>
              <w:rPr>
                <w:rFonts w:hint="eastAsia" w:ascii="宋体" w:hAnsi="宋体" w:eastAsia="宋体" w:cs="宋体"/>
                <w:bCs/>
                <w:iCs/>
                <w:color w:val="000000"/>
                <w:sz w:val="24"/>
              </w:rPr>
              <w:t>华工科技 投资总监</w:t>
            </w:r>
            <w:r>
              <w:rPr>
                <w:rFonts w:hint="eastAsia" w:ascii="宋体" w:hAnsi="宋体" w:eastAsia="宋体" w:cs="宋体"/>
                <w:bCs/>
                <w:iCs/>
                <w:sz w:val="24"/>
              </w:rPr>
              <w:t>/董办主任</w:t>
            </w:r>
            <w:r>
              <w:rPr>
                <w:rFonts w:hint="eastAsia" w:ascii="宋体" w:hAnsi="宋体" w:eastAsia="宋体" w:cs="宋体"/>
                <w:bCs/>
                <w:iCs/>
                <w:color w:val="000000"/>
                <w:sz w:val="24"/>
              </w:rPr>
              <w:t>：朱建锋</w:t>
            </w:r>
          </w:p>
          <w:p>
            <w:pPr>
              <w:numPr>
                <w:ilvl w:val="0"/>
                <w:numId w:val="1"/>
              </w:numPr>
              <w:spacing w:line="360" w:lineRule="auto"/>
              <w:rPr>
                <w:rFonts w:ascii="宋体" w:hAnsi="宋体" w:eastAsia="宋体" w:cs="宋体"/>
                <w:bCs/>
                <w:iCs/>
                <w:color w:val="000000"/>
                <w:sz w:val="24"/>
              </w:rPr>
            </w:pPr>
            <w:r>
              <w:rPr>
                <w:rFonts w:hint="eastAsia" w:ascii="宋体" w:hAnsi="宋体" w:eastAsia="宋体" w:cs="宋体"/>
                <w:bCs/>
                <w:iCs/>
                <w:color w:val="000000"/>
                <w:sz w:val="24"/>
              </w:rPr>
              <w:t>华工科技 证券事务代表：姚永川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bCs/>
                <w:iCs/>
                <w:color w:val="000000"/>
                <w:sz w:val="24"/>
              </w:rPr>
            </w:pPr>
            <w:r>
              <w:rPr>
                <w:rFonts w:hint="eastAsia" w:ascii="宋体" w:hAnsi="宋体" w:eastAsia="宋体" w:cs="宋体"/>
                <w:bCs/>
                <w:iCs/>
                <w:color w:val="000000"/>
                <w:sz w:val="24"/>
              </w:rPr>
              <w:t>投资者关系活动主要内容介绍</w:t>
            </w:r>
          </w:p>
          <w:p>
            <w:pPr>
              <w:spacing w:line="360" w:lineRule="auto"/>
              <w:rPr>
                <w:rFonts w:ascii="宋体" w:hAnsi="宋体" w:eastAsia="宋体" w:cs="宋体"/>
                <w:bCs/>
                <w:iCs/>
                <w:color w:val="000000"/>
                <w:sz w:val="24"/>
              </w:rPr>
            </w:pPr>
          </w:p>
        </w:tc>
        <w:tc>
          <w:tcPr>
            <w:tcW w:w="661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eastAsia="宋体" w:cs="宋体"/>
                <w:b/>
                <w:bCs/>
                <w:iCs/>
                <w:color w:val="000000"/>
                <w:sz w:val="24"/>
              </w:rPr>
            </w:pPr>
            <w:r>
              <w:rPr>
                <w:rFonts w:hint="eastAsia" w:ascii="宋体" w:hAnsi="宋体" w:eastAsia="宋体" w:cs="宋体"/>
                <w:bCs/>
                <w:iCs/>
                <w:color w:val="000000"/>
                <w:sz w:val="24"/>
              </w:rPr>
              <w:t>接待过程中，公司接待人员严格按照有关制度规定，没有出现未公开重大信息泄露等情况。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08" w:type="dxa"/>
            <w:tcBorders>
              <w:top w:val="single" w:color="auto" w:sz="4" w:space="0"/>
              <w:left w:val="single" w:color="auto" w:sz="4" w:space="0"/>
              <w:right w:val="single" w:color="auto" w:sz="4" w:space="0"/>
            </w:tcBorders>
            <w:vAlign w:val="center"/>
          </w:tcPr>
          <w:p>
            <w:pPr>
              <w:spacing w:line="360" w:lineRule="auto"/>
              <w:rPr>
                <w:rFonts w:ascii="宋体" w:hAnsi="宋体" w:eastAsia="宋体" w:cs="宋体"/>
                <w:bCs/>
                <w:iCs/>
                <w:color w:val="000000"/>
                <w:sz w:val="24"/>
              </w:rPr>
            </w:pPr>
            <w:r>
              <w:rPr>
                <w:rFonts w:hint="eastAsia" w:ascii="宋体" w:hAnsi="宋体" w:eastAsia="宋体" w:cs="宋体"/>
                <w:bCs/>
                <w:iCs/>
                <w:color w:val="000000"/>
                <w:sz w:val="24"/>
              </w:rPr>
              <w:t>附件清单（如有）</w:t>
            </w:r>
          </w:p>
        </w:tc>
        <w:tc>
          <w:tcPr>
            <w:tcW w:w="6614" w:type="dxa"/>
            <w:tcBorders>
              <w:top w:val="single" w:color="auto" w:sz="4" w:space="0"/>
              <w:left w:val="single" w:color="auto" w:sz="4" w:space="0"/>
              <w:right w:val="single" w:color="auto" w:sz="4" w:space="0"/>
            </w:tcBorders>
          </w:tcPr>
          <w:p>
            <w:pPr>
              <w:spacing w:line="360" w:lineRule="auto"/>
              <w:rPr>
                <w:rFonts w:ascii="宋体" w:hAnsi="宋体" w:eastAsia="宋体" w:cs="宋体"/>
                <w:bCs/>
                <w:iCs/>
                <w:color w:val="000000"/>
                <w:sz w:val="24"/>
              </w:rPr>
            </w:pPr>
            <w:r>
              <w:rPr>
                <w:rFonts w:hint="eastAsia" w:ascii="宋体" w:hAnsi="宋体" w:eastAsia="宋体" w:cs="宋体"/>
                <w:bCs/>
                <w:iCs/>
                <w:color w:val="000000"/>
                <w:sz w:val="24"/>
              </w:rPr>
              <w:t>调研活动安排</w:t>
            </w:r>
          </w:p>
        </w:tc>
      </w:tr>
    </w:tbl>
    <w:p>
      <w:pPr>
        <w:spacing w:line="360" w:lineRule="auto"/>
        <w:rPr>
          <w:rFonts w:ascii="黑体" w:hAnsi="黑体" w:eastAsia="黑体" w:cs="宋体"/>
          <w:color w:val="000000"/>
          <w:sz w:val="32"/>
          <w:shd w:val="clear" w:color="auto" w:fill="FFFFFF"/>
        </w:rPr>
      </w:pPr>
    </w:p>
    <w:p>
      <w:pPr>
        <w:spacing w:line="360" w:lineRule="auto"/>
        <w:rPr>
          <w:rFonts w:ascii="黑体" w:hAnsi="黑体" w:eastAsia="黑体" w:cs="宋体"/>
          <w:color w:val="000000"/>
          <w:sz w:val="32"/>
          <w:shd w:val="clear" w:color="auto" w:fill="FFFFFF"/>
        </w:rPr>
        <w:sectPr>
          <w:pgSz w:w="11906" w:h="16838"/>
          <w:pgMar w:top="1440" w:right="1800" w:bottom="1440" w:left="1800" w:header="851" w:footer="992" w:gutter="0"/>
          <w:cols w:space="425" w:num="1"/>
          <w:docGrid w:type="lines" w:linePitch="312" w:charSpace="0"/>
        </w:sectPr>
      </w:pPr>
    </w:p>
    <w:p>
      <w:pPr>
        <w:spacing w:line="360" w:lineRule="auto"/>
        <w:rPr>
          <w:rFonts w:ascii="黑体" w:hAnsi="黑体" w:eastAsia="黑体" w:cs="宋体"/>
          <w:color w:val="000000"/>
          <w:sz w:val="32"/>
          <w:shd w:val="clear" w:color="auto" w:fill="FFFFFF"/>
        </w:rPr>
      </w:pPr>
      <w:r>
        <w:rPr>
          <w:rFonts w:hint="eastAsia" w:ascii="黑体" w:hAnsi="黑体" w:eastAsia="黑体" w:cs="宋体"/>
          <w:color w:val="000000"/>
          <w:sz w:val="32"/>
          <w:shd w:val="clear" w:color="auto" w:fill="FFFFFF"/>
        </w:rPr>
        <w:t>附件</w:t>
      </w:r>
    </w:p>
    <w:p>
      <w:pPr>
        <w:pStyle w:val="3"/>
        <w:spacing w:line="360" w:lineRule="auto"/>
      </w:pPr>
      <w:r>
        <w:rPr>
          <w:rFonts w:hint="eastAsia"/>
        </w:rPr>
        <w:t>　　　</w:t>
      </w:r>
      <w:r>
        <w:rPr>
          <w:rFonts w:hint="eastAsia" w:cs="宋体" w:asciiTheme="minorEastAsia" w:hAnsiTheme="minorEastAsia" w:eastAsiaTheme="minorEastAsia"/>
          <w:b/>
          <w:color w:val="000000"/>
          <w:sz w:val="24"/>
          <w:szCs w:val="16"/>
          <w:shd w:val="clear" w:color="auto" w:fill="FFFFFF"/>
        </w:rPr>
        <w:t>一、公司投资总监/董办主任朱建锋先生向大家介绍了华工科技的基本情况。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华工科技产业股份有限公司1999年成立于“中国光谷”腹地，2000年在深圳交易所上市，是集“研发、生产、销售、服务”为一体的高科技企业集团，2015年评定为国家级创新型企业。成立以来，公司坚持“以激光技术及其应用”为主业，投资发展传感器产业。经过多年的技术、产品积淀，形成了以激光加工技术为重要支撑的智能制造装备业务、以信息通信技术为重要支撑的光联接、无线联接业务，以敏感电子技术为重要支撑的传感器业务格局，聚焦工业基础装备、数字经济基础设施、智能制造、智慧家庭、新能源等赛道，开展多层次开放式创新，推动构建全连接、全感知、全智能世界。</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华工科技以“激光技术及其应用为主业”，涵盖能量激光、信息激光和传感器三大领域。</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在能量激光领域 ：公司致力于为工业制造领域提供广泛而完整的激光制造加工解决方案，发挥工业激光领域的领先地位和全产业链优势，全面布局激光智能装备、自动化和智能制造。是中国最大的激光设备及等离子切割设备制造商之一，国家重点高新技术企业、国际标准制定参与单位、国家标准制定的牵头组织和承担单位。</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在信息激光领域 ：公司拥有业界先进的端到端产品线和整体解决方案，致力于成为国际一流光电企业，服务全球顶级通信设备和数据应用商，智能终端业务立争打造个人、家庭智能融合通信终端的世界级企业。公司具备从芯片到器件、模块、子系统全系列产品的垂直整合能力，产品包括有源光器件、智能终端、无源光器件、光学零部件等，产品现已广泛应用于</w:t>
      </w:r>
      <w:r>
        <w:rPr>
          <w:rFonts w:hint="eastAsia" w:ascii="宋体" w:hAnsi="宋体" w:eastAsia="宋体" w:cs="宋体"/>
          <w:color w:val="000000"/>
          <w:sz w:val="24"/>
          <w:highlight w:val="none"/>
          <w:shd w:val="clear" w:color="auto" w:fill="FFFFFF"/>
        </w:rPr>
        <w:t>数字、模拟通信</w:t>
      </w:r>
      <w:r>
        <w:rPr>
          <w:rFonts w:hint="eastAsia" w:ascii="宋体" w:hAnsi="宋体" w:eastAsia="宋体" w:cs="宋体"/>
          <w:color w:val="000000"/>
          <w:sz w:val="24"/>
          <w:shd w:val="clear" w:color="auto" w:fill="FFFFFF"/>
        </w:rPr>
        <w:t>等重要领域，市场占有率处于行业领先地位。</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在传感器领域 ：公司致力于物联网用新型传感器的研发及产业化，传感器产品涵盖NTC、PTC和汽车电子系列传感器、控制器、加热器，产品广泛应用于家电、汽车、OA、医疗、消费类电子、</w:t>
      </w:r>
      <w:r>
        <w:rPr>
          <w:rFonts w:hint="eastAsia" w:ascii="宋体" w:hAnsi="宋体" w:eastAsia="宋体" w:cs="宋体"/>
          <w:color w:val="000000"/>
          <w:sz w:val="24"/>
          <w:highlight w:val="none"/>
          <w:shd w:val="clear" w:color="auto" w:fill="FFFFFF"/>
        </w:rPr>
        <w:t>航空航天</w:t>
      </w:r>
      <w:r>
        <w:rPr>
          <w:rFonts w:hint="eastAsia" w:ascii="宋体" w:hAnsi="宋体" w:eastAsia="宋体" w:cs="宋体"/>
          <w:color w:val="000000"/>
          <w:sz w:val="24"/>
          <w:shd w:val="clear" w:color="auto" w:fill="FFFFFF"/>
        </w:rPr>
        <w:t>等领域，自主掌握芯片制造和封装工艺的核心技术，是全国最大的高精度温度传感器制造商。</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现阶段，公司以及控股股东落实关于高校所属企业体制改革相关政策文件的要求进行校企改制，改革启动以来，资本市场给予了高度关注。此次改制，采用了市场化公开征集受让方方式实施，并确定了公开征集受让条件。经评审委员会根据公开征集流程及征集受让方案的的评审，最终确定了国恒基金为受让方。目前，公司控股股东产业集团与国恒基金于2020年12月24日签署了附生效条件的《股份转让协议》，改革进入实质性阶段。改革完成后，华工科技将持续释放发展动能，贯彻“价值为纲、创新至上、高效运营、资本协同”的战略主轴，实现规模和利润的跨越式增长。</w:t>
      </w:r>
    </w:p>
    <w:p>
      <w:pPr>
        <w:spacing w:line="360" w:lineRule="auto"/>
        <w:ind w:firstLine="480" w:firstLineChars="200"/>
        <w:rPr>
          <w:rFonts w:asciiTheme="minorEastAsia" w:hAnsiTheme="minorEastAsia" w:eastAsiaTheme="minorEastAsia"/>
          <w:sz w:val="24"/>
        </w:rPr>
      </w:pPr>
    </w:p>
    <w:p>
      <w:pPr>
        <w:spacing w:line="360" w:lineRule="auto"/>
        <w:ind w:firstLine="482" w:firstLineChars="200"/>
        <w:rPr>
          <w:rFonts w:cs="宋体" w:asciiTheme="minorEastAsia" w:hAnsiTheme="minorEastAsia" w:eastAsiaTheme="minorEastAsia"/>
          <w:b/>
          <w:color w:val="000000"/>
          <w:sz w:val="24"/>
          <w:szCs w:val="16"/>
          <w:shd w:val="clear" w:color="auto" w:fill="FFFFFF"/>
        </w:rPr>
      </w:pPr>
      <w:r>
        <w:rPr>
          <w:rFonts w:hint="eastAsia" w:cs="宋体" w:asciiTheme="minorEastAsia" w:hAnsiTheme="minorEastAsia" w:eastAsiaTheme="minorEastAsia"/>
          <w:b/>
          <w:color w:val="000000"/>
          <w:sz w:val="24"/>
          <w:szCs w:val="16"/>
          <w:shd w:val="clear" w:color="auto" w:fill="FFFFFF"/>
        </w:rPr>
        <w:t>二、公司副总裁、财务总监、董事会秘书刘含树先生补充介绍了公司的核心竞争力：</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第</w:t>
      </w:r>
      <w:r>
        <w:rPr>
          <w:rFonts w:hint="eastAsia" w:asciiTheme="minorEastAsia" w:hAnsiTheme="minorEastAsia" w:eastAsiaTheme="minorEastAsia"/>
          <w:sz w:val="24"/>
        </w:rPr>
        <w:t>一是全产业链布局，具备与国际同行竞争的实力。公司是行业内少有的具备“芯片-器件-系统-解决方案”全产业链布局的企业，已初步形成“上游增强下游，下游反哺上游”的良好局面，主要产品依托优良的性价比、突出的定制能力、全天候的服务响应、高效的交付保障，市场占有率逐年提升，位居国内行业前列，具备与国际一流对手同台竞争的实力。</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二是依托研发平台建设，推动产业链价值提升。公司坚持发展高端制造、服务型制造，每年将不少于收入的5%投入研发，拥有20000多平米的研发、中试基地，在海外设有研发中心，与华中科技大学共建有激光加工国家工程研究中心、国家防伪工程研究中心、敏感陶瓷国家重点研究室等研发平台，2017-2019年公司国家级企业技术中心综合实力排名位列行业第一，通过产学研用纽带，公司牵头国家“863”计划项目、国家科技支撑计划项目、十三五国家重大科技计划专项等50余项，创造了多项国内行业“第一”，获得国家科技进步奖三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三是发挥人才创新驱动的引擎作用，引领公司快速可持续发展。公司秉持“企业的前途在创新，创新的关键在投入，投入的重点是人才”的理念，坚持引进培养并举，打造行业内人才高地，成为湖北省人才兴企的示范样板。通过实施“猎鹰计划”，引进海外高层次人才30余人，行业领军人才10余人，通过人才链布局，华工科技人才结构实现了质和量的飞跃，研发人员占比一直保持在较高水平，对公司新产品输出和创新能力建设提供了良好保障。</w:t>
      </w:r>
    </w:p>
    <w:p>
      <w:pPr>
        <w:spacing w:line="360" w:lineRule="auto"/>
        <w:rPr>
          <w:rFonts w:asciiTheme="minorEastAsia" w:hAnsiTheme="minorEastAsia" w:eastAsiaTheme="minorEastAsia"/>
          <w:sz w:val="24"/>
        </w:rPr>
      </w:pPr>
    </w:p>
    <w:p>
      <w:pPr>
        <w:pStyle w:val="3"/>
        <w:spacing w:line="360" w:lineRule="auto"/>
      </w:pPr>
      <w:r>
        <w:rPr>
          <w:rFonts w:hint="eastAsia"/>
        </w:rPr>
        <w:t>　　　三</w:t>
      </w:r>
      <w:r>
        <w:rPr>
          <w:rFonts w:hint="eastAsia" w:asciiTheme="minorEastAsia" w:hAnsiTheme="minorEastAsia" w:eastAsiaTheme="minorEastAsia"/>
          <w:b/>
          <w:sz w:val="24"/>
        </w:rPr>
        <w:t>、互动交流环节</w:t>
      </w:r>
    </w:p>
    <w:p>
      <w:pPr>
        <w:pStyle w:val="3"/>
        <w:spacing w:line="360" w:lineRule="auto"/>
      </w:pPr>
      <w:r>
        <w:rPr>
          <w:rFonts w:hint="eastAsia"/>
        </w:rPr>
        <w:t>　　</w:t>
      </w:r>
      <w:r>
        <w:rPr>
          <w:rFonts w:hint="eastAsia" w:asciiTheme="minorEastAsia" w:hAnsiTheme="minorEastAsia" w:eastAsiaTheme="minorEastAsia"/>
          <w:b/>
          <w:sz w:val="24"/>
        </w:rPr>
        <w:t>提问：1、控股股东股权转让完成后，公司管理体制会有怎样的变化？</w:t>
      </w:r>
    </w:p>
    <w:p>
      <w:pPr>
        <w:spacing w:line="360" w:lineRule="auto"/>
        <w:ind w:firstLine="482" w:firstLineChars="201"/>
        <w:rPr>
          <w:rFonts w:asciiTheme="minorEastAsia" w:hAnsiTheme="minorEastAsia" w:eastAsiaTheme="minorEastAsia"/>
          <w:sz w:val="24"/>
        </w:rPr>
      </w:pPr>
      <w:r>
        <w:rPr>
          <w:rFonts w:hint="eastAsia" w:asciiTheme="minorEastAsia" w:hAnsiTheme="minorEastAsia" w:eastAsiaTheme="minorEastAsia"/>
          <w:sz w:val="24"/>
        </w:rPr>
        <w:t>答复：华工科技经过21年的发展，既有我们的优势也存在一些不足，主要的两个方面是：第一，决策效率不高。作为校办的国有控股上市公司，我们的决策流程、决策链条过长，较大的影响了公司的决策效率，常常导致在重大决策的过程中遗憾的错失了窗口期。</w:t>
      </w:r>
    </w:p>
    <w:p>
      <w:pPr>
        <w:spacing w:line="360" w:lineRule="auto"/>
        <w:ind w:firstLine="482" w:firstLineChars="201"/>
        <w:rPr>
          <w:rFonts w:asciiTheme="minorEastAsia" w:hAnsiTheme="minorEastAsia" w:eastAsiaTheme="minorEastAsia"/>
          <w:sz w:val="24"/>
        </w:rPr>
      </w:pPr>
      <w:r>
        <w:rPr>
          <w:rFonts w:hint="eastAsia" w:asciiTheme="minorEastAsia" w:hAnsiTheme="minorEastAsia" w:eastAsiaTheme="minorEastAsia"/>
          <w:sz w:val="24"/>
        </w:rPr>
        <w:t>第二，中长期激励制度的缺失。目前全国的上市公司，大多已建立了中长期的激励制度，而华工科技20多年来却一直没有激励制度的安排，公司的发展依靠的是马新强董事长所带领的团队，他们具有产业报国的崇高理想抱负，但激励机制的缺失对公司核心骨干员工，核心技术人员的稳定有很大隐患，这也使我们无法更好的释放发展动能。</w:t>
      </w:r>
    </w:p>
    <w:p>
      <w:pPr>
        <w:spacing w:line="360" w:lineRule="auto"/>
        <w:ind w:firstLine="482" w:firstLineChars="201"/>
        <w:rPr>
          <w:rFonts w:hint="eastAsia" w:asciiTheme="minorEastAsia" w:hAnsiTheme="minorEastAsia" w:eastAsiaTheme="minorEastAsia"/>
          <w:sz w:val="24"/>
        </w:rPr>
      </w:pPr>
      <w:r>
        <w:rPr>
          <w:rFonts w:hint="eastAsia" w:asciiTheme="minorEastAsia" w:hAnsiTheme="minorEastAsia" w:eastAsiaTheme="minorEastAsia"/>
          <w:sz w:val="24"/>
        </w:rPr>
        <w:t>在校企改革大背景下，高校通过市场化方式退出控制权。华工科技管理团队积极探索公司的发展之路，，希望能在解决上述问题的同时实现企业更好的发展，此次改制既是国家改革的大势所趋，又是解决企业实际问题的重要契机。此次改制，采用了市场化公开征集受让方方式实施，并确定了公开征集受让条件。经评审委员会根据公开征集流程及征集受让方案的的评审，最终确定了国恒基金为受让方。国恒基金实际控制人武汉市国资充分尊重和认可华工团队在华工科技二十年高速发展中的引领带动作用，邀请华工科技管理团队和核心骨干员工参与国恒基金管理运作。华工团队向国恒基金、国恒管理（GP）增资入伙1.5亿元，作为国恒基金和国恒管理合伙人参与国恒基金管理运作，并作为国恒管理合伙人之一享有基金超额收益。运用基金的管理模式，创新管理机制，基金模式下设立执行委员会，具有最高决策权。执行委员会5名成员中，华工团队提名2名，在决策表决机制设计上充分尊重华工团队及其作为合伙人的意见，共同商议华工科技重要事项。进一步明晰华工科技与大股东、实际控制人之间的权责范围，明确权责清单，给予华工团队就华工科技重要事项的话语权和共同决策权。为进一步完善华工科技治理结构和管理方式，股转完成后，将维持华工科技董、监事会基本稳定，保持董、监事会人员数量和结构基本不变</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华工科技高管将由华工科技董事会按市场化方式聘任。</w:t>
      </w:r>
    </w:p>
    <w:p>
      <w:pPr>
        <w:spacing w:line="360" w:lineRule="auto"/>
        <w:ind w:firstLine="482" w:firstLineChars="201"/>
        <w:rPr>
          <w:rFonts w:asciiTheme="minorEastAsia" w:hAnsiTheme="minorEastAsia" w:eastAsiaTheme="minorEastAsia"/>
          <w:sz w:val="24"/>
        </w:rPr>
      </w:pPr>
      <w:bookmarkStart w:id="0" w:name="_GoBack"/>
      <w:bookmarkEnd w:id="0"/>
    </w:p>
    <w:p>
      <w:pPr>
        <w:pStyle w:val="3"/>
        <w:spacing w:line="360" w:lineRule="auto"/>
        <w:rPr>
          <w:rFonts w:eastAsiaTheme="minorEastAsia"/>
        </w:rPr>
      </w:pPr>
      <w:r>
        <w:rPr>
          <w:rFonts w:hint="eastAsia"/>
        </w:rPr>
        <w:t>　　</w:t>
      </w:r>
      <w:r>
        <w:rPr>
          <w:rFonts w:hint="eastAsia" w:asciiTheme="minorEastAsia" w:hAnsiTheme="minorEastAsia" w:eastAsiaTheme="minorEastAsia"/>
          <w:b/>
          <w:sz w:val="24"/>
        </w:rPr>
        <w:t>提问：2、控股股东股权转让完成后，公司整体业务布局有什么变化？</w:t>
      </w:r>
    </w:p>
    <w:p>
      <w:pPr>
        <w:spacing w:line="360" w:lineRule="auto"/>
        <w:ind w:firstLine="482" w:firstLineChars="201"/>
        <w:rPr>
          <w:rFonts w:asciiTheme="minorEastAsia" w:hAnsiTheme="minorEastAsia" w:eastAsiaTheme="minorEastAsia"/>
          <w:sz w:val="24"/>
        </w:rPr>
      </w:pPr>
      <w:r>
        <w:rPr>
          <w:rFonts w:hint="eastAsia" w:asciiTheme="minorEastAsia" w:hAnsiTheme="minorEastAsia" w:eastAsiaTheme="minorEastAsia"/>
          <w:sz w:val="24"/>
        </w:rPr>
        <w:t>答复：“光芯屏端网”是东湖高新区的主要产业集群，同时是武汉市发力数字经济的突破口和重点产业方向。“十三五”期间，东湖高新区重点发展“光芯屏端网”产业集群，光通信及激光、集成电路、新型显示、智能终端、数字经济等领域竞争优势不断加强，产业集群影响力大幅提升。经过多年发展，东湖高新区已经成长为全国科技创新高地。未来，华工科技将围绕推动构建全联接、全感知、全智能世界的目标，拓展、深耕全球大客户，横向拓展、纵向延伸，丰富产品品类，夯实产品、技术的差异化优势、领先优势，销售规模、利润保持中高速可持续稳定增长，进一步融入“光芯屏端网”产业集群。</w:t>
      </w:r>
    </w:p>
    <w:p>
      <w:pPr>
        <w:spacing w:line="360" w:lineRule="auto"/>
        <w:ind w:firstLine="482" w:firstLineChars="201"/>
        <w:rPr>
          <w:rFonts w:asciiTheme="minorEastAsia" w:hAnsiTheme="minorEastAsia" w:eastAsiaTheme="minorEastAsia"/>
          <w:sz w:val="24"/>
        </w:rPr>
      </w:pPr>
      <w:r>
        <w:rPr>
          <w:rFonts w:hint="eastAsia" w:asciiTheme="minorEastAsia" w:hAnsiTheme="minorEastAsia" w:eastAsiaTheme="minorEastAsia"/>
          <w:sz w:val="24"/>
        </w:rPr>
        <w:t>对于在过程中发现的具有发展前景的与公司主业紧密相关的业务，公司还将通过资本运作的方式，积极探索可行孵化、分拆等措施，最终通过集聚优化资源配置，来保障公司未来高质量发展。</w:t>
      </w:r>
    </w:p>
    <w:p>
      <w:pPr>
        <w:spacing w:line="360" w:lineRule="auto"/>
        <w:ind w:firstLine="482" w:firstLineChars="201"/>
        <w:rPr>
          <w:rFonts w:hint="eastAsia" w:asciiTheme="minorEastAsia" w:hAnsiTheme="minorEastAsia" w:eastAsiaTheme="minorEastAsia"/>
          <w:sz w:val="24"/>
        </w:rPr>
      </w:pPr>
      <w:r>
        <w:rPr>
          <w:rFonts w:hint="eastAsia" w:asciiTheme="minorEastAsia" w:hAnsiTheme="minorEastAsia" w:eastAsiaTheme="minorEastAsia"/>
          <w:sz w:val="24"/>
        </w:rPr>
        <w:t>同时，华中科技大学产业集团完成交割后将继续持有4</w:t>
      </w:r>
      <w:r>
        <w:rPr>
          <w:rFonts w:asciiTheme="minorEastAsia" w:hAnsiTheme="minorEastAsia" w:eastAsiaTheme="minorEastAsia"/>
          <w:sz w:val="24"/>
        </w:rPr>
        <w:t>.91</w:t>
      </w:r>
      <w:r>
        <w:rPr>
          <w:rFonts w:hint="eastAsia" w:asciiTheme="minorEastAsia" w:hAnsiTheme="minorEastAsia" w:eastAsiaTheme="minorEastAsia"/>
          <w:sz w:val="24"/>
        </w:rPr>
        <w:t>%股权，且武汉市国资与产业集团在股权转让协议中约定：国恒基金将协调武汉市政府、武汉市国资委及其控制的国有企业与学校及企业建立</w:t>
      </w:r>
      <w:r>
        <w:rPr>
          <w:rFonts w:asciiTheme="minorEastAsia" w:hAnsiTheme="minorEastAsia" w:eastAsiaTheme="minorEastAsia"/>
          <w:sz w:val="24"/>
        </w:rPr>
        <w:t>“</w:t>
      </w:r>
      <w:r>
        <w:rPr>
          <w:rFonts w:hint="eastAsia" w:asciiTheme="minorEastAsia" w:hAnsiTheme="minorEastAsia" w:eastAsiaTheme="minorEastAsia"/>
          <w:sz w:val="24"/>
        </w:rPr>
        <w:t>政、产、学、研、用</w:t>
      </w:r>
      <w:r>
        <w:rPr>
          <w:rFonts w:asciiTheme="minorEastAsia" w:hAnsiTheme="minorEastAsia" w:eastAsiaTheme="minorEastAsia"/>
          <w:sz w:val="24"/>
        </w:rPr>
        <w:t>”</w:t>
      </w:r>
      <w:r>
        <w:rPr>
          <w:rFonts w:hint="eastAsia" w:asciiTheme="minorEastAsia" w:hAnsiTheme="minorEastAsia" w:eastAsiaTheme="minorEastAsia"/>
          <w:sz w:val="24"/>
        </w:rPr>
        <w:t>一体化的校地合作体系，充分发挥武汉市和华科大在研究、行业、资本等方面的资源优势，通过必要的方式持续促进高校科技成果转化和开展校企合作等。</w:t>
      </w:r>
    </w:p>
    <w:p>
      <w:pPr>
        <w:spacing w:line="360" w:lineRule="auto"/>
        <w:ind w:firstLine="482" w:firstLineChars="201"/>
        <w:rPr>
          <w:rFonts w:asciiTheme="minorEastAsia" w:hAnsiTheme="minorEastAsia" w:eastAsiaTheme="minorEastAsia"/>
          <w:sz w:val="24"/>
        </w:rPr>
      </w:pPr>
    </w:p>
    <w:p>
      <w:pPr>
        <w:pStyle w:val="3"/>
        <w:spacing w:line="360" w:lineRule="auto"/>
        <w:rPr>
          <w:rFonts w:eastAsiaTheme="minorEastAsia"/>
        </w:rPr>
      </w:pPr>
      <w:r>
        <w:rPr>
          <w:rFonts w:hint="eastAsia"/>
        </w:rPr>
        <w:t>　　</w:t>
      </w:r>
      <w:r>
        <w:rPr>
          <w:rFonts w:hint="eastAsia" w:asciiTheme="minorEastAsia" w:hAnsiTheme="minorEastAsia" w:eastAsiaTheme="minorEastAsia"/>
          <w:b/>
          <w:sz w:val="24"/>
        </w:rPr>
        <w:t>提问：3、公司在光通信领域的未来布局？</w:t>
      </w:r>
    </w:p>
    <w:p>
      <w:pPr>
        <w:spacing w:line="360" w:lineRule="auto"/>
        <w:ind w:firstLine="482" w:firstLineChars="201"/>
        <w:rPr>
          <w:rFonts w:asciiTheme="minorEastAsia" w:hAnsiTheme="minorEastAsia" w:eastAsiaTheme="minorEastAsia"/>
          <w:sz w:val="24"/>
        </w:rPr>
      </w:pPr>
      <w:r>
        <w:rPr>
          <w:rFonts w:hint="eastAsia" w:asciiTheme="minorEastAsia" w:hAnsiTheme="minorEastAsia" w:eastAsiaTheme="minorEastAsia"/>
          <w:sz w:val="24"/>
        </w:rPr>
        <w:t>答复：目前，公司光通信主要业务为有源、终端、光学以及无源，基于智慧生活、智慧园区、智慧交通等应用场景的整体解决方案能够有机的将这四个业务的产品联动起来，集中优势力量，更加完善产业布局，提高公司核心竞争力与综合实力。相比于同类企业公司具备三大竞争优势：一是高端光模块研发设计能力；二是市场卡位优势；三是拥有上游自研芯片技术。</w:t>
      </w:r>
    </w:p>
    <w:p>
      <w:pPr>
        <w:spacing w:line="360" w:lineRule="auto"/>
        <w:ind w:firstLine="482" w:firstLineChars="201"/>
        <w:rPr>
          <w:rFonts w:asciiTheme="minorEastAsia" w:hAnsiTheme="minorEastAsia" w:eastAsiaTheme="minorEastAsia"/>
          <w:sz w:val="24"/>
        </w:rPr>
      </w:pPr>
      <w:r>
        <w:rPr>
          <w:rFonts w:hint="eastAsia" w:asciiTheme="minorEastAsia" w:hAnsiTheme="minorEastAsia" w:eastAsiaTheme="minorEastAsia"/>
          <w:sz w:val="24"/>
        </w:rPr>
        <w:t>面对光模块市场日益白热化的竞争，公司近些年持续加大5G等前沿技术的研发投入，重视高端人才的引进与培养，通过集成创新、IPD管理方法，推动产品向中高端升级，推进自研芯片等核心技术开发，在应用技术层面不断突破，陆续推出5G、数据中心等系列产品，支撑业务发展。</w:t>
      </w:r>
    </w:p>
    <w:p>
      <w:pPr>
        <w:spacing w:line="360" w:lineRule="auto"/>
        <w:ind w:firstLine="482" w:firstLineChars="201"/>
        <w:rPr>
          <w:rFonts w:asciiTheme="minorEastAsia" w:hAnsiTheme="minorEastAsia" w:eastAsiaTheme="minorEastAsia"/>
          <w:sz w:val="24"/>
        </w:rPr>
      </w:pPr>
      <w:r>
        <w:rPr>
          <w:rFonts w:hint="eastAsia" w:asciiTheme="minorEastAsia" w:hAnsiTheme="minorEastAsia" w:eastAsiaTheme="minorEastAsia"/>
          <w:sz w:val="24"/>
        </w:rPr>
        <w:t>公司已推出全系列100G、400G产品，单通道可实现25Gbps/50Gbps/100Gbps的解决方案，同时布局硅光技术，研发更高速光模块解决方案，从而协助客户建设更为敏捷、高效、绿色的数据中心。华工科技通信板块积极布局“光联接+无线联接”光网一站式解决方案，从5G、数据中心用光模块，再到皮基站、光猫等终端产品。同时，在光学领域，公司推出了应用于手机摄像模组中的潜望棱镜。</w:t>
      </w:r>
    </w:p>
    <w:p>
      <w:pPr>
        <w:spacing w:line="360" w:lineRule="auto"/>
        <w:ind w:firstLine="482" w:firstLineChars="201"/>
        <w:rPr>
          <w:rFonts w:asciiTheme="minorEastAsia" w:hAnsiTheme="minorEastAsia" w:eastAsiaTheme="minorEastAsia"/>
          <w:sz w:val="24"/>
        </w:rPr>
      </w:pPr>
      <w:r>
        <w:rPr>
          <w:rFonts w:hint="eastAsia" w:asciiTheme="minorEastAsia" w:hAnsiTheme="minorEastAsia" w:eastAsiaTheme="minorEastAsia"/>
          <w:sz w:val="24"/>
        </w:rPr>
        <w:t xml:space="preserve">对于未来的展望，一方面光模块的产品将会向更高速率、更多调制方法、更低功率、更小的体积发展；另一方面积极布局路由器、5G CPE、工业互联网关等智能终端产品，实现企业5G专网和工业互联小站的发展，有效地满足各工业场景的通信需求。未来在掌握最新国际标准化发展动态的同时，我们也要协同产业链伙伴创制自己的标准，并且推动自主标准国际化，抢占技术竞争的高地，掌握市场的主导权。 </w:t>
      </w:r>
    </w:p>
    <w:p>
      <w:pPr>
        <w:spacing w:line="360" w:lineRule="auto"/>
        <w:ind w:firstLine="482" w:firstLineChars="201"/>
        <w:rPr>
          <w:rFonts w:asciiTheme="minorEastAsia" w:hAnsiTheme="minorEastAsia" w:eastAsiaTheme="minorEastAsia"/>
          <w:sz w:val="24"/>
        </w:rPr>
      </w:pPr>
    </w:p>
    <w:p>
      <w:pPr>
        <w:pStyle w:val="3"/>
        <w:spacing w:line="360" w:lineRule="auto"/>
        <w:rPr>
          <w:rFonts w:asciiTheme="minorEastAsia" w:hAnsiTheme="minorEastAsia" w:eastAsiaTheme="minorEastAsia"/>
          <w:b/>
          <w:sz w:val="24"/>
        </w:rPr>
      </w:pPr>
      <w:r>
        <w:rPr>
          <w:rFonts w:hint="eastAsia"/>
        </w:rPr>
        <w:t>　　</w:t>
      </w:r>
      <w:r>
        <w:rPr>
          <w:rFonts w:hint="eastAsia" w:asciiTheme="minorEastAsia" w:hAnsiTheme="minorEastAsia" w:eastAsiaTheme="minorEastAsia"/>
          <w:b/>
          <w:sz w:val="24"/>
        </w:rPr>
        <w:t>提问：4、公司在激光领域的未来布局？</w:t>
      </w:r>
    </w:p>
    <w:p>
      <w:pPr>
        <w:spacing w:line="360" w:lineRule="auto"/>
        <w:ind w:firstLine="482" w:firstLineChars="201"/>
        <w:rPr>
          <w:rFonts w:asciiTheme="minorEastAsia" w:hAnsiTheme="minorEastAsia" w:eastAsiaTheme="minorEastAsia"/>
          <w:sz w:val="24"/>
        </w:rPr>
      </w:pPr>
      <w:r>
        <w:rPr>
          <w:rFonts w:hint="eastAsia" w:asciiTheme="minorEastAsia" w:hAnsiTheme="minorEastAsia" w:eastAsiaTheme="minorEastAsia"/>
          <w:sz w:val="24"/>
        </w:rPr>
        <w:t>答复：当前，全球范围内新一轮工业革命兴起，中国正由制造大国向制造强国转变，智能制造是重要抓手，华工科技去年成立智能制造总部，发挥软硬件整合能力，为中船重工旗下武昌船舶重工集团、中铁旗下宝桥集团及三一重工集团等数家中国制造标杆企业打造智能产线、智能工厂，助力企业转型升级，建立良性健康的智能制造生态圈。未来，华工科技将继续加大技术研发，着力培养综合性高端人才，推进智能制造整体解决方案在船舶、3C、新能源汽车、高铁及城轨、工业互联网等更多行业落地，逐浪数字经济。</w:t>
      </w:r>
    </w:p>
    <w:p>
      <w:pPr>
        <w:spacing w:line="360" w:lineRule="auto"/>
        <w:ind w:firstLine="482" w:firstLineChars="201"/>
        <w:rPr>
          <w:rFonts w:asciiTheme="minorEastAsia" w:hAnsiTheme="minorEastAsia" w:eastAsiaTheme="minorEastAsia"/>
          <w:sz w:val="24"/>
        </w:rPr>
      </w:pPr>
      <w:r>
        <w:rPr>
          <w:rFonts w:hint="eastAsia" w:asciiTheme="minorEastAsia" w:hAnsiTheme="minorEastAsia" w:eastAsiaTheme="minorEastAsia"/>
          <w:sz w:val="24"/>
        </w:rPr>
        <w:t>同时，在激光微纳加工方面，持续在新型显示面板、3C电子、5G通讯、新能源汽车等领域发力，在3C电子行业，在OLED柔性屏切割的基础之上拓展市场空间；在汽车行业，切入5G车联网应用场景，在极耳切割、隔离膜切割等加工制程中发挥作用，提升新能源汽车电池能量密度和加工精度；在通讯行业，顺应手机终端高度集成化、轻薄化的趋势，凸显在新材料和高精度加工方面的优势。打造国内一流，具有世界影响力的精密激光智造技术及装备产业化基地。</w:t>
      </w:r>
    </w:p>
    <w:p>
      <w:pPr>
        <w:spacing w:line="360" w:lineRule="auto"/>
        <w:rPr>
          <w:rFonts w:asciiTheme="minorEastAsia" w:hAnsiTheme="minorEastAsia" w:eastAsiaTheme="minorEastAsia"/>
          <w:b/>
          <w:bCs/>
          <w:sz w:val="24"/>
        </w:rPr>
      </w:pPr>
    </w:p>
    <w:p>
      <w:pPr>
        <w:pStyle w:val="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提问：5、近期下游制造业资本支出呈现上升趋势，这对公司的激光业务收入有何影响？</w:t>
      </w:r>
    </w:p>
    <w:p>
      <w:pPr>
        <w:spacing w:line="360" w:lineRule="auto"/>
        <w:ind w:firstLine="482" w:firstLineChars="201"/>
        <w:rPr>
          <w:rFonts w:asciiTheme="minorEastAsia" w:hAnsiTheme="minorEastAsia" w:eastAsiaTheme="minorEastAsia"/>
          <w:sz w:val="24"/>
        </w:rPr>
      </w:pPr>
      <w:r>
        <w:rPr>
          <w:rFonts w:hint="eastAsia" w:asciiTheme="minorEastAsia" w:hAnsiTheme="minorEastAsia" w:eastAsiaTheme="minorEastAsia"/>
          <w:sz w:val="24"/>
        </w:rPr>
        <w:t>答复：2020年，疫情对公司激光业务还是有一定的冲击，但同比保持了比较稳定的增长，2021年随着制造业资本支出的提升，公司的营收应该能够实现比较大幅的增长。一方面，未来我们将通过激光设备的批量制造降低成本，同时提高品质和服务，寻求更加广阔的行业应用领域，拓展新客户。另一方面通过自身管理提质，持续输出稳定可靠的产品，得到了国际市场的认可，随着公司国际业务网络的不断完善、服务网点的不断扩张，公司国际业务的增长也是可期的。第三，公司提供“激光加自动化产线”，“激光加智能制造”整体解决方案的能力不断提升，围绕“激光加”打造智能化产线、样板工厂，服务于3C、工程机械、桥梁制造、钣金制造、船舶制造、汽车制造，航空航天以及军工等领域，随着国家实力的提升，也会大量应用到国产的激光设备，这一块的增长也是可期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709C9"/>
    <w:multiLevelType w:val="singleLevel"/>
    <w:tmpl w:val="9D7709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92543"/>
    <w:rsid w:val="002052B1"/>
    <w:rsid w:val="003758F3"/>
    <w:rsid w:val="003A126B"/>
    <w:rsid w:val="00444CDD"/>
    <w:rsid w:val="00470082"/>
    <w:rsid w:val="004A7BFF"/>
    <w:rsid w:val="0056595A"/>
    <w:rsid w:val="0078177C"/>
    <w:rsid w:val="00B02108"/>
    <w:rsid w:val="00C9279A"/>
    <w:rsid w:val="00E31FC0"/>
    <w:rsid w:val="013A165A"/>
    <w:rsid w:val="08EF2A33"/>
    <w:rsid w:val="0B4E6C7C"/>
    <w:rsid w:val="0B573446"/>
    <w:rsid w:val="0BF836CE"/>
    <w:rsid w:val="0D2C3FA7"/>
    <w:rsid w:val="12854EB9"/>
    <w:rsid w:val="1FA01A18"/>
    <w:rsid w:val="2C3C43A1"/>
    <w:rsid w:val="316761C2"/>
    <w:rsid w:val="3A514C56"/>
    <w:rsid w:val="3B9C555B"/>
    <w:rsid w:val="43057FCD"/>
    <w:rsid w:val="4E361EA6"/>
    <w:rsid w:val="56C36BF8"/>
    <w:rsid w:val="59BF5611"/>
    <w:rsid w:val="5ACA7186"/>
    <w:rsid w:val="6A965E7E"/>
    <w:rsid w:val="70D47CFD"/>
    <w:rsid w:val="71374325"/>
    <w:rsid w:val="71D66148"/>
    <w:rsid w:val="72E40A12"/>
    <w:rsid w:val="79FC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Plain Text"/>
    <w:basedOn w:val="1"/>
    <w:qFormat/>
    <w:uiPriority w:val="0"/>
    <w:rPr>
      <w:rFonts w:ascii="宋体" w:hAnsi="Courier New"/>
    </w:rPr>
  </w:style>
  <w:style w:type="paragraph" w:styleId="4">
    <w:name w:val="Balloon Text"/>
    <w:basedOn w:val="1"/>
    <w:link w:val="11"/>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annotation subject"/>
    <w:basedOn w:val="2"/>
    <w:next w:val="2"/>
    <w:link w:val="13"/>
    <w:uiPriority w:val="0"/>
    <w:rPr>
      <w:b/>
      <w:bCs/>
    </w:rPr>
  </w:style>
  <w:style w:type="character" w:styleId="9">
    <w:name w:val="Hyperlink"/>
    <w:basedOn w:val="8"/>
    <w:qFormat/>
    <w:uiPriority w:val="0"/>
    <w:rPr>
      <w:color w:val="0000FF"/>
      <w:u w:val="single"/>
    </w:rPr>
  </w:style>
  <w:style w:type="character" w:styleId="10">
    <w:name w:val="annotation reference"/>
    <w:basedOn w:val="8"/>
    <w:uiPriority w:val="0"/>
    <w:rPr>
      <w:sz w:val="21"/>
      <w:szCs w:val="21"/>
    </w:rPr>
  </w:style>
  <w:style w:type="character" w:customStyle="1" w:styleId="11">
    <w:name w:val="批注框文本 字符"/>
    <w:basedOn w:val="8"/>
    <w:link w:val="4"/>
    <w:qFormat/>
    <w:uiPriority w:val="0"/>
    <w:rPr>
      <w:rFonts w:ascii="Calibri" w:hAnsi="Calibri" w:eastAsia="微软雅黑"/>
      <w:kern w:val="2"/>
      <w:sz w:val="18"/>
      <w:szCs w:val="18"/>
    </w:rPr>
  </w:style>
  <w:style w:type="character" w:customStyle="1" w:styleId="12">
    <w:name w:val="批注文字 字符"/>
    <w:basedOn w:val="8"/>
    <w:link w:val="2"/>
    <w:uiPriority w:val="0"/>
    <w:rPr>
      <w:rFonts w:ascii="Calibri" w:hAnsi="Calibri" w:eastAsia="微软雅黑" w:cs="Times New Roman"/>
      <w:kern w:val="2"/>
      <w:sz w:val="21"/>
      <w:szCs w:val="24"/>
    </w:rPr>
  </w:style>
  <w:style w:type="character" w:customStyle="1" w:styleId="13">
    <w:name w:val="批注主题 字符"/>
    <w:basedOn w:val="12"/>
    <w:link w:val="6"/>
    <w:uiPriority w:val="0"/>
    <w:rPr>
      <w:rFonts w:ascii="Calibri" w:hAnsi="Calibri" w:eastAsia="微软雅黑" w:cs="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BB91C-B6C7-4E94-889A-3C250D01C5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847</Words>
  <Characters>4834</Characters>
  <Lines>40</Lines>
  <Paragraphs>11</Paragraphs>
  <TotalTime>62</TotalTime>
  <ScaleCrop>false</ScaleCrop>
  <LinksUpToDate>false</LinksUpToDate>
  <CharactersWithSpaces>5670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2019-09-02T09:25:00Z</dcterms:created>
  <dc:creator>Sissi</dc:creator>
  <cp:lastModifiedBy>chenming</cp:lastModifiedBy>
  <cp:lastPrinted>2021-01-14T07:10:00Z</cp:lastPrinted>
  <dcterms:modified xsi:type="dcterms:W3CDTF">2021-01-14T10:01:12Z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