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bCs/>
          <w:iCs/>
          <w:sz w:val="24"/>
        </w:rPr>
      </w:pPr>
      <w:r>
        <w:rPr>
          <w:bCs/>
          <w:iCs/>
          <w:sz w:val="24"/>
        </w:rPr>
        <w:t>证券代码：</w:t>
      </w:r>
      <w:r>
        <w:rPr>
          <w:rFonts w:hint="eastAsia"/>
          <w:bCs/>
          <w:iCs/>
          <w:sz w:val="24"/>
        </w:rPr>
        <w:t>300031</w:t>
      </w:r>
      <w:r>
        <w:rPr>
          <w:bCs/>
          <w:iCs/>
          <w:sz w:val="24"/>
        </w:rPr>
        <w:t xml:space="preserve">                                    证券简称：</w:t>
      </w:r>
      <w:r>
        <w:rPr>
          <w:rFonts w:hint="eastAsia"/>
          <w:bCs/>
          <w:iCs/>
          <w:sz w:val="24"/>
        </w:rPr>
        <w:t>宝通科技</w:t>
      </w:r>
    </w:p>
    <w:p>
      <w:pPr>
        <w:spacing w:before="156" w:beforeLines="50" w:after="156" w:afterLines="50" w:line="360" w:lineRule="auto"/>
        <w:jc w:val="center"/>
        <w:outlineLvl w:val="0"/>
        <w:rPr>
          <w:b/>
          <w:bCs/>
          <w:iCs/>
          <w:sz w:val="32"/>
          <w:szCs w:val="32"/>
        </w:rPr>
      </w:pPr>
      <w:r>
        <w:rPr>
          <w:rFonts w:hint="eastAsia"/>
          <w:b/>
          <w:bCs/>
          <w:iCs/>
          <w:sz w:val="32"/>
          <w:szCs w:val="32"/>
        </w:rPr>
        <w:t>无锡宝通科技</w:t>
      </w:r>
      <w:r>
        <w:rPr>
          <w:b/>
          <w:bCs/>
          <w:iCs/>
          <w:sz w:val="32"/>
          <w:szCs w:val="32"/>
        </w:rPr>
        <w:t>股份有限公司投资者关系活动记录表</w:t>
      </w:r>
    </w:p>
    <w:p>
      <w:pPr>
        <w:spacing w:before="156" w:beforeLines="50" w:after="156" w:afterLines="50" w:line="360" w:lineRule="auto"/>
        <w:rPr>
          <w:bCs/>
          <w:iCs/>
          <w:sz w:val="24"/>
        </w:rPr>
      </w:pPr>
      <w:r>
        <w:rPr>
          <w:bCs/>
          <w:iCs/>
          <w:sz w:val="24"/>
        </w:rPr>
        <w:t xml:space="preserve">                                                     编号</w:t>
      </w:r>
      <w:r>
        <w:rPr>
          <w:rFonts w:hint="eastAsia"/>
          <w:bCs/>
          <w:iCs/>
          <w:sz w:val="24"/>
        </w:rPr>
        <w:t>：20210119</w:t>
      </w:r>
    </w:p>
    <w:tbl>
      <w:tblPr>
        <w:tblStyle w:val="7"/>
        <w:tblW w:w="0" w:type="auto"/>
        <w:tblInd w:w="-1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sz w:val="24"/>
              </w:rPr>
            </w:pPr>
            <w:r>
              <w:rPr>
                <w:bCs/>
                <w:iCs/>
                <w:sz w:val="24"/>
              </w:rPr>
              <w:t>投资者关系活动类别</w:t>
            </w:r>
          </w:p>
          <w:p>
            <w:pPr>
              <w:spacing w:line="360" w:lineRule="auto"/>
              <w:rPr>
                <w:bCs/>
                <w:iCs/>
                <w:sz w:val="24"/>
              </w:rPr>
            </w:pPr>
          </w:p>
        </w:tc>
        <w:tc>
          <w:tcPr>
            <w:tcW w:w="7740" w:type="dxa"/>
            <w:tcBorders>
              <w:top w:val="single" w:color="auto" w:sz="4" w:space="0"/>
              <w:left w:val="single" w:color="auto" w:sz="4" w:space="0"/>
              <w:bottom w:val="single" w:color="auto" w:sz="4" w:space="0"/>
              <w:right w:val="single" w:color="auto" w:sz="4" w:space="0"/>
            </w:tcBorders>
          </w:tcPr>
          <w:p>
            <w:pPr>
              <w:spacing w:line="360" w:lineRule="auto"/>
              <w:rPr>
                <w:bCs/>
                <w:iCs/>
                <w:sz w:val="24"/>
              </w:rPr>
            </w:pPr>
            <w:r>
              <w:rPr>
                <w:rFonts w:hint="eastAsia"/>
                <w:bCs/>
                <w:iCs/>
                <w:sz w:val="24"/>
                <w:lang w:eastAsia="zh-CN"/>
              </w:rPr>
              <w:t>☑</w:t>
            </w:r>
            <w:r>
              <w:rPr>
                <w:sz w:val="24"/>
              </w:rPr>
              <w:t xml:space="preserve">特定对象调研       </w:t>
            </w:r>
            <w:r>
              <w:rPr>
                <w:bCs/>
                <w:iCs/>
                <w:sz w:val="24"/>
              </w:rPr>
              <w:t>□</w:t>
            </w:r>
            <w:r>
              <w:rPr>
                <w:sz w:val="24"/>
              </w:rPr>
              <w:t>分析师会议</w:t>
            </w:r>
          </w:p>
          <w:p>
            <w:pPr>
              <w:spacing w:line="360" w:lineRule="auto"/>
              <w:rPr>
                <w:bCs/>
                <w:iCs/>
                <w:sz w:val="24"/>
              </w:rPr>
            </w:pPr>
            <w:r>
              <w:rPr>
                <w:bCs/>
                <w:iCs/>
                <w:sz w:val="24"/>
              </w:rPr>
              <w:t>□</w:t>
            </w:r>
            <w:r>
              <w:rPr>
                <w:sz w:val="24"/>
              </w:rPr>
              <w:t xml:space="preserve">媒体采访            </w:t>
            </w:r>
            <w:r>
              <w:rPr>
                <w:bCs/>
                <w:iCs/>
                <w:sz w:val="24"/>
              </w:rPr>
              <w:t>□</w:t>
            </w:r>
            <w:r>
              <w:rPr>
                <w:sz w:val="24"/>
              </w:rPr>
              <w:t>业绩说明会</w:t>
            </w:r>
          </w:p>
          <w:p>
            <w:pPr>
              <w:spacing w:line="360" w:lineRule="auto"/>
              <w:rPr>
                <w:bCs/>
                <w:iCs/>
                <w:sz w:val="24"/>
              </w:rPr>
            </w:pPr>
            <w:r>
              <w:rPr>
                <w:bCs/>
                <w:iCs/>
                <w:sz w:val="24"/>
              </w:rPr>
              <w:t>□</w:t>
            </w:r>
            <w:r>
              <w:rPr>
                <w:sz w:val="24"/>
              </w:rPr>
              <w:t xml:space="preserve">新闻发布会          </w:t>
            </w:r>
            <w:r>
              <w:rPr>
                <w:rFonts w:hint="eastAsia"/>
                <w:bCs/>
                <w:iCs/>
                <w:sz w:val="24"/>
                <w:lang w:eastAsia="zh-CN"/>
              </w:rPr>
              <w:t>☑</w:t>
            </w:r>
            <w:r>
              <w:rPr>
                <w:sz w:val="24"/>
              </w:rPr>
              <w:t>路演活动</w:t>
            </w:r>
          </w:p>
          <w:p>
            <w:pPr>
              <w:tabs>
                <w:tab w:val="left" w:pos="3045"/>
                <w:tab w:val="center" w:pos="3199"/>
              </w:tabs>
              <w:spacing w:line="360" w:lineRule="auto"/>
              <w:rPr>
                <w:bCs/>
                <w:iCs/>
                <w:sz w:val="24"/>
              </w:rPr>
            </w:pPr>
            <w:r>
              <w:rPr>
                <w:bCs/>
                <w:iCs/>
                <w:sz w:val="24"/>
              </w:rPr>
              <w:t>□</w:t>
            </w:r>
            <w:r>
              <w:rPr>
                <w:sz w:val="24"/>
              </w:rPr>
              <w:t>现场参观</w:t>
            </w:r>
            <w:r>
              <w:rPr>
                <w:bCs/>
                <w:iCs/>
                <w:sz w:val="24"/>
              </w:rPr>
              <w:tab/>
            </w:r>
          </w:p>
          <w:p>
            <w:pPr>
              <w:tabs>
                <w:tab w:val="left" w:pos="3045"/>
                <w:tab w:val="center" w:pos="3199"/>
              </w:tabs>
              <w:spacing w:line="360" w:lineRule="auto"/>
              <w:rPr>
                <w:bCs/>
                <w:iCs/>
                <w:sz w:val="24"/>
              </w:rPr>
            </w:pPr>
            <w:r>
              <w:rPr>
                <w:bCs/>
                <w:iCs/>
                <w:sz w:val="24"/>
              </w:rPr>
              <w:t>□</w:t>
            </w:r>
            <w:r>
              <w:rPr>
                <w:rFonts w:hAnsi="宋体"/>
                <w:sz w:val="24"/>
              </w:rPr>
              <w:t>投资者接待日活动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sz w:val="24"/>
              </w:rPr>
            </w:pPr>
            <w:r>
              <w:rPr>
                <w:bCs/>
                <w:iCs/>
                <w:sz w:val="24"/>
              </w:rPr>
              <w:t>参与单位名称及人员姓名</w:t>
            </w:r>
          </w:p>
        </w:tc>
        <w:tc>
          <w:tcPr>
            <w:tcW w:w="7740" w:type="dxa"/>
            <w:tcBorders>
              <w:top w:val="single" w:color="auto" w:sz="4" w:space="0"/>
              <w:left w:val="single" w:color="auto" w:sz="4" w:space="0"/>
              <w:bottom w:val="single" w:color="auto" w:sz="4" w:space="0"/>
              <w:right w:val="single" w:color="auto" w:sz="4" w:space="0"/>
            </w:tcBorders>
          </w:tcPr>
          <w:p>
            <w:pPr>
              <w:spacing w:line="360" w:lineRule="auto"/>
              <w:rPr>
                <w:bCs/>
                <w:iCs/>
                <w:sz w:val="24"/>
              </w:rPr>
            </w:pPr>
            <w:r>
              <w:rPr>
                <w:rFonts w:hint="eastAsia"/>
                <w:bCs/>
                <w:iCs/>
                <w:sz w:val="24"/>
              </w:rPr>
              <w:t>招商证券、东吴证券、诺德基金、中国太保、财通基金、中银基金、中欧基金、汇丰晋信基金、国华人寿、东海基金、东吴人寿、中庚基金、东方资管、信诚基金、天治基金、海通资管、中道资本、东方证券、国金证券等30余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sz w:val="24"/>
              </w:rPr>
            </w:pPr>
            <w:r>
              <w:rPr>
                <w:bCs/>
                <w:iCs/>
                <w:sz w:val="24"/>
              </w:rPr>
              <w:t>时间</w:t>
            </w:r>
          </w:p>
        </w:tc>
        <w:tc>
          <w:tcPr>
            <w:tcW w:w="7740" w:type="dxa"/>
            <w:tcBorders>
              <w:top w:val="single" w:color="auto" w:sz="4" w:space="0"/>
              <w:left w:val="single" w:color="auto" w:sz="4" w:space="0"/>
              <w:bottom w:val="single" w:color="auto" w:sz="4" w:space="0"/>
              <w:right w:val="single" w:color="auto" w:sz="4" w:space="0"/>
            </w:tcBorders>
          </w:tcPr>
          <w:p>
            <w:pPr>
              <w:spacing w:line="360" w:lineRule="auto"/>
              <w:rPr>
                <w:bCs/>
                <w:iCs/>
                <w:sz w:val="24"/>
              </w:rPr>
            </w:pPr>
            <w:r>
              <w:rPr>
                <w:rFonts w:hint="eastAsia"/>
                <w:bCs/>
                <w:iCs/>
                <w:sz w:val="24"/>
              </w:rPr>
              <w:t>2021年01月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sz w:val="24"/>
              </w:rPr>
            </w:pPr>
            <w:r>
              <w:rPr>
                <w:bCs/>
                <w:iCs/>
                <w:sz w:val="24"/>
              </w:rPr>
              <w:t>地点</w:t>
            </w:r>
          </w:p>
        </w:tc>
        <w:tc>
          <w:tcPr>
            <w:tcW w:w="7740" w:type="dxa"/>
            <w:tcBorders>
              <w:top w:val="single" w:color="auto" w:sz="4" w:space="0"/>
              <w:left w:val="single" w:color="auto" w:sz="4" w:space="0"/>
              <w:bottom w:val="single" w:color="auto" w:sz="4" w:space="0"/>
              <w:right w:val="single" w:color="auto" w:sz="4" w:space="0"/>
            </w:tcBorders>
          </w:tcPr>
          <w:p>
            <w:pPr>
              <w:spacing w:line="360" w:lineRule="auto"/>
              <w:rPr>
                <w:bCs/>
                <w:iCs/>
                <w:sz w:val="24"/>
              </w:rPr>
            </w:pPr>
            <w:r>
              <w:rPr>
                <w:rFonts w:hint="eastAsia"/>
                <w:bCs/>
                <w:iCs/>
                <w:sz w:val="24"/>
              </w:rPr>
              <w:t>无锡、上海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sz w:val="24"/>
              </w:rPr>
            </w:pPr>
            <w:r>
              <w:rPr>
                <w:bCs/>
                <w:iCs/>
                <w:sz w:val="24"/>
              </w:rPr>
              <w:t>上市公司接待人员姓名</w:t>
            </w:r>
          </w:p>
        </w:tc>
        <w:tc>
          <w:tcPr>
            <w:tcW w:w="7740" w:type="dxa"/>
            <w:tcBorders>
              <w:top w:val="single" w:color="auto" w:sz="4" w:space="0"/>
              <w:left w:val="single" w:color="auto" w:sz="4" w:space="0"/>
              <w:bottom w:val="single" w:color="auto" w:sz="4" w:space="0"/>
              <w:right w:val="single" w:color="auto" w:sz="4" w:space="0"/>
            </w:tcBorders>
          </w:tcPr>
          <w:p>
            <w:pPr>
              <w:spacing w:line="360" w:lineRule="auto"/>
              <w:rPr>
                <w:bCs/>
                <w:iCs/>
                <w:sz w:val="24"/>
              </w:rPr>
            </w:pPr>
            <w:r>
              <w:rPr>
                <w:rFonts w:hint="eastAsia"/>
                <w:bCs/>
                <w:iCs/>
                <w:sz w:val="24"/>
              </w:rPr>
              <w:t>副总经理 张利乾、IR总监常兆亮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bCs/>
                <w:iCs/>
                <w:sz w:val="24"/>
              </w:rPr>
            </w:pPr>
            <w:r>
              <w:rPr>
                <w:bCs/>
                <w:iCs/>
                <w:sz w:val="24"/>
              </w:rPr>
              <w:t>投资者关系活动主要内容介绍</w:t>
            </w:r>
          </w:p>
          <w:p>
            <w:pPr>
              <w:spacing w:line="480" w:lineRule="atLeast"/>
              <w:rPr>
                <w:bCs/>
                <w:iCs/>
                <w:sz w:val="24"/>
              </w:rPr>
            </w:pPr>
          </w:p>
        </w:tc>
        <w:tc>
          <w:tcPr>
            <w:tcW w:w="7740" w:type="dxa"/>
            <w:tcBorders>
              <w:top w:val="single" w:color="auto" w:sz="4" w:space="0"/>
              <w:left w:val="single" w:color="auto" w:sz="4" w:space="0"/>
              <w:bottom w:val="single" w:color="auto" w:sz="4" w:space="0"/>
              <w:right w:val="single" w:color="auto" w:sz="4" w:space="0"/>
            </w:tcBorders>
          </w:tcPr>
          <w:p>
            <w:pPr>
              <w:numPr>
                <w:ilvl w:val="0"/>
                <w:numId w:val="1"/>
              </w:numPr>
              <w:spacing w:before="156" w:beforeLines="50" w:after="156" w:afterLines="50" w:line="360" w:lineRule="auto"/>
              <w:rPr>
                <w:b/>
                <w:iCs/>
                <w:sz w:val="24"/>
              </w:rPr>
            </w:pPr>
            <w:r>
              <w:rPr>
                <w:rFonts w:hint="eastAsia"/>
                <w:b/>
                <w:iCs/>
                <w:sz w:val="24"/>
              </w:rPr>
              <w:t xml:space="preserve">公司经营情况介绍 </w:t>
            </w:r>
          </w:p>
          <w:p>
            <w:pPr>
              <w:spacing w:before="156" w:beforeLines="50" w:after="156" w:afterLines="50" w:line="360" w:lineRule="auto"/>
              <w:rPr>
                <w:bCs/>
                <w:iCs/>
                <w:sz w:val="24"/>
              </w:rPr>
            </w:pPr>
            <w:r>
              <w:rPr>
                <w:rFonts w:hint="eastAsia"/>
                <w:bCs/>
                <w:iCs/>
                <w:sz w:val="24"/>
              </w:rPr>
              <w:t>2020年1-12月，公司实现归母净利润为39,655.48万元—42,705.90万元</w:t>
            </w:r>
            <w:r>
              <w:rPr>
                <w:rFonts w:hint="eastAsia"/>
                <w:bCs/>
                <w:iCs/>
                <w:sz w:val="24"/>
              </w:rPr>
              <w:t>，较2019年同比上升30%-40%。公司2020年前三季度实现归母净利润为31,620.80万元，第四</w:t>
            </w:r>
            <w:bookmarkStart w:id="0" w:name="_GoBack"/>
            <w:bookmarkEnd w:id="0"/>
            <w:r>
              <w:rPr>
                <w:rFonts w:hint="eastAsia"/>
                <w:bCs/>
                <w:iCs/>
                <w:sz w:val="24"/>
              </w:rPr>
              <w:t>季度预计实现归母净利润为8,034.68万</w:t>
            </w:r>
            <w:r>
              <w:rPr>
                <w:rFonts w:hint="eastAsia" w:ascii="Arial" w:hAnsi="Arial" w:cs="宋体"/>
                <w:color w:val="000000"/>
                <w:kern w:val="0"/>
                <w:szCs w:val="21"/>
              </w:rPr>
              <w:t>—11,085.1万，同比增长11%—53%</w:t>
            </w:r>
            <w:r>
              <w:rPr>
                <w:rFonts w:hint="eastAsia"/>
                <w:bCs/>
                <w:iCs/>
                <w:sz w:val="24"/>
              </w:rPr>
              <w:t>。公司业绩的增长主要得益于公司原有游戏</w:t>
            </w:r>
            <w:r>
              <w:rPr>
                <w:rFonts w:hint="eastAsia"/>
                <w:sz w:val="24"/>
              </w:rPr>
              <w:t>产品收入稳定及工业互联网利润贡献，双主业的良好发展态势为公司业绩的增长提供了有效保障。</w:t>
            </w:r>
          </w:p>
          <w:p>
            <w:pPr>
              <w:spacing w:before="156" w:beforeLines="50" w:after="156" w:afterLines="50" w:line="360" w:lineRule="auto"/>
              <w:rPr>
                <w:b/>
                <w:bCs/>
                <w:sz w:val="24"/>
              </w:rPr>
            </w:pPr>
            <w:r>
              <w:rPr>
                <w:rFonts w:hint="eastAsia"/>
                <w:b/>
                <w:bCs/>
                <w:sz w:val="24"/>
              </w:rPr>
              <w:t>1、公司移动互联网业务</w:t>
            </w:r>
          </w:p>
          <w:p>
            <w:pPr>
              <w:spacing w:before="156" w:beforeLines="50" w:after="156" w:afterLines="50" w:line="360" w:lineRule="auto"/>
              <w:rPr>
                <w:sz w:val="24"/>
              </w:rPr>
            </w:pPr>
            <w:r>
              <w:rPr>
                <w:rFonts w:hint="eastAsia"/>
                <w:sz w:val="24"/>
              </w:rPr>
              <w:t>该板块主要为移动网络游戏的海外区域化发行与运营、全球研运一体和自主游戏内容研发，分别由子公司易幻网络、海南高图及成都聚获开展实施。</w:t>
            </w:r>
          </w:p>
          <w:p>
            <w:pPr>
              <w:spacing w:line="360" w:lineRule="auto"/>
              <w:rPr>
                <w:rFonts w:ascii="宋体" w:hAnsi="宋体" w:cs="宋体"/>
                <w:sz w:val="24"/>
              </w:rPr>
            </w:pPr>
            <w:r>
              <w:rPr>
                <w:rFonts w:hint="eastAsia"/>
                <w:sz w:val="24"/>
              </w:rPr>
              <w:t>（1）易幻网络：是公司于2016年收购进军移动互联网业务板块的全资子公司，该公司主要是一家区域化发行与运营，</w:t>
            </w:r>
            <w:r>
              <w:rPr>
                <w:rFonts w:hint="eastAsia" w:ascii="宋体" w:hAnsi="宋体" w:cs="宋体"/>
                <w:sz w:val="24"/>
              </w:rPr>
              <w:t>易幻网络自成立以来，共计海外发行游戏超过400款，在行业内部自发形成了较好的口碑。公司拥有十几种语言并在全球超过130个国家和地区的用户数据。</w:t>
            </w:r>
            <w:r>
              <w:rPr>
                <w:rFonts w:hint="eastAsia" w:ascii="宋体" w:hAnsi="宋体" w:cs="宋体"/>
                <w:bCs/>
                <w:iCs/>
                <w:sz w:val="24"/>
              </w:rPr>
              <w:t>公司运营7年，海外市场拥有亿级用户量，易幻网络拥有自己的开发工具，模拟产生新的用户画像，分析用户行为，公司具备自动优化、大数据系统，应用到实际价值非常大</w:t>
            </w:r>
            <w:r>
              <w:rPr>
                <w:rFonts w:hint="eastAsia" w:ascii="宋体" w:hAnsi="宋体" w:cs="宋体"/>
                <w:sz w:val="24"/>
              </w:rPr>
              <w:t>。</w:t>
            </w:r>
          </w:p>
          <w:p>
            <w:pPr>
              <w:spacing w:before="156" w:beforeLines="50" w:after="156" w:afterLines="50" w:line="360" w:lineRule="auto"/>
              <w:rPr>
                <w:sz w:val="24"/>
              </w:rPr>
            </w:pPr>
            <w:r>
              <w:rPr>
                <w:rFonts w:hint="eastAsia"/>
                <w:sz w:val="24"/>
              </w:rPr>
              <w:t>（2）海南高图：成立于2018年底，近两年团队规模不断发展壮大，目前已发展成为</w:t>
            </w:r>
            <w:r>
              <w:rPr>
                <w:rFonts w:hint="eastAsia" w:ascii="宋体" w:hAnsi="宋体" w:cs="宋体"/>
                <w:bCs/>
                <w:iCs/>
                <w:sz w:val="24"/>
              </w:rPr>
              <w:t>170余人，</w:t>
            </w:r>
            <w:r>
              <w:rPr>
                <w:rFonts w:hint="eastAsia" w:ascii="宋体" w:hAnsi="宋体" w:cs="宋体"/>
                <w:sz w:val="24"/>
              </w:rPr>
              <w:t>易幻网络原CEO杜潇潇现在担任海南高图CEO，团队成员中有部分为原易幻人员，其他人员主要通过社会招聘。海南高图自成立以来，已上线3款产品，目前正在运营的产品为</w:t>
            </w:r>
            <w:r>
              <w:rPr>
                <w:rFonts w:hint="eastAsia" w:ascii="宋体" w:hAnsi="宋体" w:cs="宋体"/>
                <w:kern w:val="0"/>
                <w:sz w:val="24"/>
              </w:rPr>
              <w:t>《King's Throne: Game of Lust》、《War And Magic》，</w:t>
            </w:r>
            <w:r>
              <w:rPr>
                <w:rFonts w:hint="eastAsia"/>
                <w:bCs/>
                <w:iCs/>
                <w:sz w:val="24"/>
              </w:rPr>
              <w:t>海南高图自研产品《WTS》计划于2021年上半年进行规模化推广，目前该款产品也已于2020年11月18日上线，2021年海南高图已储备2-3款自研（定制）新品上线与测试。</w:t>
            </w:r>
          </w:p>
          <w:p>
            <w:pPr>
              <w:spacing w:before="156" w:beforeLines="50" w:after="156" w:afterLines="50" w:line="360" w:lineRule="auto"/>
              <w:rPr>
                <w:bCs/>
                <w:iCs/>
                <w:sz w:val="24"/>
              </w:rPr>
            </w:pPr>
            <w:r>
              <w:rPr>
                <w:rFonts w:hint="eastAsia"/>
                <w:sz w:val="24"/>
              </w:rPr>
              <w:t>（3）成都聚获：成立于2018年底，</w:t>
            </w:r>
            <w:r>
              <w:rPr>
                <w:rFonts w:hint="eastAsia"/>
                <w:bCs/>
                <w:iCs/>
                <w:sz w:val="24"/>
              </w:rPr>
              <w:t>研发项目组70余人，国内目前顶尖的机甲画师团队。成都聚获专注于二次元游戏产品的研发，其自研产品《终末阵线：伊诺贝塔》为公司首款自研产品，该产品国内将由B站代理，预计2021年上半年上线。</w:t>
            </w:r>
          </w:p>
          <w:p>
            <w:pPr>
              <w:numPr>
                <w:ilvl w:val="0"/>
                <w:numId w:val="2"/>
              </w:numPr>
              <w:spacing w:before="156" w:beforeLines="50" w:after="156" w:afterLines="50" w:line="360" w:lineRule="auto"/>
              <w:rPr>
                <w:b/>
                <w:iCs/>
                <w:sz w:val="24"/>
              </w:rPr>
            </w:pPr>
            <w:r>
              <w:rPr>
                <w:rFonts w:hint="eastAsia"/>
                <w:b/>
                <w:iCs/>
                <w:sz w:val="24"/>
              </w:rPr>
              <w:t>工业互联网业务</w:t>
            </w:r>
          </w:p>
          <w:p>
            <w:pPr>
              <w:spacing w:before="156" w:beforeLines="50" w:after="156" w:afterLines="50" w:line="360" w:lineRule="auto"/>
              <w:rPr>
                <w:bCs/>
                <w:iCs/>
                <w:sz w:val="24"/>
              </w:rPr>
            </w:pPr>
            <w:r>
              <w:rPr>
                <w:bCs/>
                <w:iCs/>
                <w:sz w:val="24"/>
              </w:rPr>
              <w:t>公司在 “高端化、国际化”发展战略的指引下，该业务板块国际贸易收入实现了同比大幅增长，海外业务占比同比增长超过100%。公司数字化输送带系列产品销售量占比上升显著</w:t>
            </w:r>
            <w:r>
              <w:rPr>
                <w:rFonts w:hint="eastAsia"/>
                <w:bCs/>
                <w:iCs/>
                <w:sz w:val="24"/>
              </w:rPr>
              <w:t>，目前该业务板块连续三年的复合增长率为30%以上，呈现了快速增长的态势。一方面，公司不断开拓优质客户，国际化市场份额快速提升。同时，继续投入资源加快商业模式创新和产品创新，</w:t>
            </w:r>
            <w:r>
              <w:rPr>
                <w:rFonts w:hint="eastAsia"/>
                <w:sz w:val="24"/>
              </w:rPr>
              <w:t>优化产品结构，公司数字化输送带系列产品销售量占比上升显著，新技术、新产品为公司经营业绩持续增长贡献利润。另一方面，公司结合自身的专业特长，通过“数、网、智”等布局加速工业散货物料智能输送的智能化和数字化发展步伐，推动工业散货物料智能输送全栈式总包服务在煤矿、港口、钢铁等基础行业更多场景落地，不断迭代公司智能输送全栈式服务的软件和硬件能力，逐步确立智能化和数字化发展路径。目前</w:t>
            </w:r>
            <w:r>
              <w:rPr>
                <w:rFonts w:hint="eastAsia"/>
                <w:bCs/>
                <w:iCs/>
                <w:sz w:val="24"/>
              </w:rPr>
              <w:t>，公司通过</w:t>
            </w:r>
            <w:r>
              <w:rPr>
                <w:rFonts w:hint="eastAsia"/>
                <w:bCs/>
                <w:iCs/>
                <w:sz w:val="24"/>
                <w:lang w:val="en-US" w:eastAsia="zh-CN"/>
              </w:rPr>
              <w:t>产业基金</w:t>
            </w:r>
            <w:r>
              <w:rPr>
                <w:rFonts w:hint="eastAsia"/>
                <w:bCs/>
                <w:iCs/>
                <w:sz w:val="24"/>
              </w:rPr>
              <w:t>及</w:t>
            </w:r>
            <w:r>
              <w:rPr>
                <w:rFonts w:hint="eastAsia"/>
                <w:bCs/>
                <w:iCs/>
                <w:sz w:val="24"/>
                <w:lang w:val="en-US" w:eastAsia="zh-CN"/>
              </w:rPr>
              <w:t>参股</w:t>
            </w:r>
            <w:r>
              <w:rPr>
                <w:rFonts w:hint="eastAsia"/>
                <w:bCs/>
                <w:iCs/>
                <w:sz w:val="24"/>
              </w:rPr>
              <w:t>投资</w:t>
            </w:r>
            <w:r>
              <w:rPr>
                <w:rFonts w:hint="eastAsia"/>
                <w:bCs/>
                <w:iCs/>
                <w:sz w:val="24"/>
                <w:lang w:val="en-US" w:eastAsia="zh-CN"/>
              </w:rPr>
              <w:t>的方式</w:t>
            </w:r>
            <w:r>
              <w:rPr>
                <w:rFonts w:hint="eastAsia"/>
                <w:bCs/>
                <w:iCs/>
                <w:sz w:val="24"/>
              </w:rPr>
              <w:t>，投资布局</w:t>
            </w:r>
            <w:r>
              <w:rPr>
                <w:rFonts w:hint="eastAsia"/>
                <w:bCs/>
                <w:iCs/>
                <w:sz w:val="24"/>
                <w:lang w:val="en-US" w:eastAsia="zh-CN"/>
              </w:rPr>
              <w:t>了</w:t>
            </w:r>
            <w:r>
              <w:rPr>
                <w:rFonts w:hint="eastAsia"/>
                <w:bCs/>
                <w:iCs/>
                <w:sz w:val="24"/>
              </w:rPr>
              <w:t>无人驾驶、VR/AR</w:t>
            </w:r>
            <w:r>
              <w:rPr>
                <w:rFonts w:hint="eastAsia"/>
                <w:bCs/>
                <w:iCs/>
                <w:sz w:val="24"/>
                <w:lang w:eastAsia="zh-CN"/>
              </w:rPr>
              <w:t>、</w:t>
            </w:r>
            <w:r>
              <w:rPr>
                <w:rFonts w:hint="eastAsia"/>
                <w:bCs/>
                <w:iCs/>
                <w:sz w:val="24"/>
                <w:lang w:val="en-US" w:eastAsia="zh-CN"/>
              </w:rPr>
              <w:t>工业自动化</w:t>
            </w:r>
            <w:r>
              <w:rPr>
                <w:rFonts w:hint="eastAsia"/>
                <w:bCs/>
                <w:iCs/>
                <w:sz w:val="24"/>
              </w:rPr>
              <w:t>等前瞻技术应用，全面构建工业散货物料输送数字化生态圈，</w:t>
            </w:r>
            <w:r>
              <w:rPr>
                <w:rFonts w:hint="eastAsia"/>
                <w:bCs/>
                <w:iCs/>
                <w:sz w:val="24"/>
                <w:lang w:val="en-US" w:eastAsia="zh-CN"/>
              </w:rPr>
              <w:t>实现生态圈联盟企业的</w:t>
            </w:r>
            <w:r>
              <w:rPr>
                <w:rFonts w:hint="eastAsia"/>
                <w:bCs/>
                <w:iCs/>
                <w:sz w:val="24"/>
              </w:rPr>
              <w:t>协同发展</w:t>
            </w:r>
            <w:r>
              <w:rPr>
                <w:rFonts w:hint="eastAsia"/>
                <w:bCs/>
                <w:iCs/>
                <w:sz w:val="24"/>
                <w:lang w:eastAsia="zh-CN"/>
              </w:rPr>
              <w:t>，</w:t>
            </w:r>
            <w:r>
              <w:rPr>
                <w:rFonts w:hint="eastAsia"/>
                <w:bCs/>
                <w:iCs/>
                <w:sz w:val="24"/>
              </w:rPr>
              <w:t>为现代工业散货物料输送行业提供更为安全可靠、节能高效、绿色环保的产品与服务，加速实现工业散货物料智能输送全栈式服务新征程。</w:t>
            </w:r>
          </w:p>
          <w:p>
            <w:pPr>
              <w:spacing w:before="156" w:beforeLines="50" w:after="156" w:afterLines="50" w:line="360" w:lineRule="auto"/>
              <w:rPr>
                <w:b/>
                <w:iCs/>
                <w:sz w:val="24"/>
              </w:rPr>
            </w:pPr>
            <w:r>
              <w:rPr>
                <w:rFonts w:hint="eastAsia"/>
                <w:b/>
                <w:iCs/>
                <w:sz w:val="24"/>
              </w:rPr>
              <w:t>二、</w:t>
            </w:r>
            <w:r>
              <w:rPr>
                <w:rFonts w:hint="eastAsia" w:ascii="宋体" w:hAnsi="宋体" w:cs="宋体"/>
                <w:b/>
                <w:iCs/>
                <w:sz w:val="24"/>
              </w:rPr>
              <w:t>游戏业务自研进展情况？</w:t>
            </w:r>
          </w:p>
          <w:p>
            <w:pPr>
              <w:spacing w:before="156" w:beforeLines="50" w:after="156" w:afterLines="50" w:line="360" w:lineRule="auto"/>
              <w:rPr>
                <w:bCs/>
                <w:iCs/>
                <w:sz w:val="24"/>
              </w:rPr>
            </w:pPr>
            <w:r>
              <w:rPr>
                <w:rFonts w:hint="eastAsia"/>
                <w:bCs/>
                <w:iCs/>
                <w:sz w:val="24"/>
              </w:rPr>
              <w:t>1、公司目前的首款自研产品为子公司成都聚获研发，产品为《终末阵线：伊诺贝塔》，该产品目前正在进行第二轮的测试，目前整个游戏人物、场景、声优等的质量与美感均得到了非常大提升。</w:t>
            </w:r>
          </w:p>
          <w:p>
            <w:pPr>
              <w:spacing w:before="156" w:beforeLines="50" w:after="156" w:afterLines="50" w:line="360" w:lineRule="auto"/>
              <w:rPr>
                <w:bCs/>
                <w:iCs/>
                <w:sz w:val="24"/>
              </w:rPr>
            </w:pPr>
            <w:r>
              <w:rPr>
                <w:rFonts w:hint="eastAsia"/>
                <w:bCs/>
                <w:iCs/>
                <w:sz w:val="24"/>
              </w:rPr>
              <w:t>2、海南高图自研产品《WTS》计划于2021年上半年进行规模化推广，目前该款产品也已于2020年11月18日上线，2021年海南高图已储备2-3款自研（定制）新品上线与测试。</w:t>
            </w:r>
          </w:p>
          <w:p>
            <w:pPr>
              <w:spacing w:before="156" w:beforeLines="50" w:after="156" w:afterLines="50" w:line="360" w:lineRule="auto"/>
              <w:rPr>
                <w:bCs/>
                <w:iCs/>
                <w:sz w:val="24"/>
              </w:rPr>
            </w:pPr>
            <w:r>
              <w:rPr>
                <w:rFonts w:hint="eastAsia"/>
                <w:bCs/>
                <w:iCs/>
                <w:sz w:val="24"/>
              </w:rPr>
              <w:t>3、2021年，移动游戏业务板块是非常值得大家期待的，相信随着新游戏的上线、自研产品的</w:t>
            </w:r>
            <w:r>
              <w:rPr>
                <w:bCs/>
                <w:iCs/>
                <w:sz w:val="24"/>
              </w:rPr>
              <w:t>拓展</w:t>
            </w:r>
            <w:r>
              <w:rPr>
                <w:rFonts w:hint="eastAsia"/>
                <w:bCs/>
                <w:iCs/>
                <w:sz w:val="24"/>
              </w:rPr>
              <w:t>以及原有产品的长线流水收入贡献，公司业绩可实现持续增长。</w:t>
            </w:r>
          </w:p>
          <w:p>
            <w:pPr>
              <w:spacing w:before="156" w:beforeLines="50" w:after="156" w:afterLines="50" w:line="360" w:lineRule="auto"/>
              <w:rPr>
                <w:bCs/>
                <w:iCs/>
                <w:sz w:val="24"/>
              </w:rPr>
            </w:pPr>
            <w:r>
              <w:rPr>
                <w:rFonts w:hint="eastAsia"/>
                <w:b/>
                <w:iCs/>
                <w:sz w:val="24"/>
              </w:rPr>
              <w:t>三、工业互联网场景应用推广及未来发展规划</w:t>
            </w:r>
          </w:p>
          <w:p>
            <w:pPr>
              <w:spacing w:before="156" w:beforeLines="50" w:after="156" w:afterLines="50" w:line="360" w:lineRule="auto"/>
              <w:rPr>
                <w:bCs/>
                <w:iCs/>
                <w:sz w:val="24"/>
              </w:rPr>
            </w:pPr>
            <w:r>
              <w:rPr>
                <w:rFonts w:hint="eastAsia"/>
                <w:bCs/>
                <w:iCs/>
                <w:sz w:val="24"/>
              </w:rPr>
              <w:t>公司工业互联网平台主要是基于工业散货物料输送进行建设，协同产业联盟构建数字化开发平台、数字矿山无人矿卡数字等平台，通过边缘计算、IoT接入平台、数字化开放协助、智能硬件设备技术手段，致力于打造智能输送工业互联生态圈。目前工业互联网应用场景已经在钢铁、煤炭、港口等基础行业进行适配使用，今年，公司将继续拓展下游客户的应用场景，夯实智能产品软件和硬件，为大规模应用奠定基础。公司希望通过对外投资布局，与优质客户合作，共同推动产业升级，助推产业智能化建设。</w:t>
            </w:r>
          </w:p>
          <w:p>
            <w:pPr>
              <w:spacing w:before="156" w:beforeLines="50" w:after="156" w:afterLines="50" w:line="360" w:lineRule="auto"/>
              <w:rPr>
                <w:bCs/>
                <w:iCs/>
                <w:sz w:val="24"/>
              </w:rPr>
            </w:pPr>
            <w:r>
              <w:rPr>
                <w:rFonts w:hint="eastAsia"/>
                <w:bCs/>
                <w:iCs/>
                <w:sz w:val="24"/>
              </w:rPr>
              <w:t>公司</w:t>
            </w:r>
            <w:r>
              <w:rPr>
                <w:rFonts w:hint="eastAsia"/>
                <w:bCs/>
                <w:iCs/>
                <w:sz w:val="24"/>
                <w:lang w:val="en-US" w:eastAsia="zh-CN"/>
              </w:rPr>
              <w:t>秉承</w:t>
            </w:r>
            <w:r>
              <w:rPr>
                <w:rFonts w:hint="eastAsia"/>
                <w:bCs/>
                <w:iCs/>
                <w:sz w:val="24"/>
              </w:rPr>
              <w:t>“成为全球领先的智能输送服务商”企业</w:t>
            </w:r>
            <w:r>
              <w:rPr>
                <w:rFonts w:hint="eastAsia"/>
                <w:bCs/>
                <w:iCs/>
                <w:sz w:val="24"/>
                <w:lang w:val="en-US" w:eastAsia="zh-CN"/>
              </w:rPr>
              <w:t>愿景</w:t>
            </w:r>
            <w:r>
              <w:rPr>
                <w:rFonts w:hint="eastAsia"/>
                <w:bCs/>
                <w:iCs/>
                <w:sz w:val="24"/>
              </w:rPr>
              <w:t>，致力于打造资源节约、环境友好、安全智能的工业散货物料输送系统，公司将融合5G、工业大数据、无人驾驶、人工智能等新技术，提升对现有技术的更迭，构建工业散货物料输送数字化生态圈，为现代工业散货物料输送行业提供更为安全可靠、节能高效、绿色环保的产品与服务，实现工业散货物料智能输送全栈式服务，推动矿产、钢铁、建材、港口等产业的智慧化、智能化发展与进步，立志成为全球领先的智能输送全栈服务商。</w:t>
            </w:r>
          </w:p>
          <w:p>
            <w:pPr>
              <w:spacing w:before="156" w:beforeLines="50" w:after="156" w:afterLines="50" w:line="360" w:lineRule="auto"/>
              <w:rPr>
                <w:b/>
                <w:iCs/>
                <w:sz w:val="24"/>
              </w:rPr>
            </w:pPr>
            <w:r>
              <w:rPr>
                <w:rFonts w:hint="eastAsia"/>
                <w:b/>
                <w:iCs/>
                <w:sz w:val="24"/>
              </w:rPr>
              <w:t>四、公司双主业发展及治理</w:t>
            </w:r>
          </w:p>
          <w:p>
            <w:pPr>
              <w:pStyle w:val="11"/>
              <w:spacing w:before="156" w:beforeLines="50" w:after="156" w:afterLines="50" w:line="360" w:lineRule="auto"/>
              <w:rPr>
                <w:rFonts w:ascii="Calibri" w:hAnsi="Calibri" w:eastAsia="宋体" w:cs="Times New Roman"/>
                <w:b w:val="0"/>
                <w:bCs w:val="0"/>
                <w:iCs/>
                <w:sz w:val="24"/>
                <w:szCs w:val="24"/>
              </w:rPr>
            </w:pPr>
            <w:r>
              <w:rPr>
                <w:rFonts w:hint="eastAsia" w:ascii="Calibri" w:hAnsi="Calibri" w:eastAsia="宋体" w:cs="Times New Roman"/>
                <w:b w:val="0"/>
                <w:bCs w:val="0"/>
                <w:iCs/>
                <w:sz w:val="24"/>
                <w:szCs w:val="24"/>
              </w:rPr>
              <w:t>公司双业务的业务发展格局态势良好，未来几年发展格局会得到延续。两块业务独立经营，虽然在具体产品上没有太大的协同。但是，我们相信产品可以不同，但是内在的人文、信念与机制却是一致的。目前，公司董事会成员除了独立董事，内部董事主要由5人，其中2人来着移动互联网领域。公司已经在文化、管理、技术、技术资源、管理机制、激励机制以及人力资源均有互补与融合。未来公司工业互联网业务会投入更多的资源在智能输送全栈式服务上，打造一个以技术与服务输出为主的技术型产业，而非单一的生产制造型产业，公司相信在该领域拥有非常大的机会与价值。</w:t>
            </w:r>
          </w:p>
          <w:p>
            <w:pPr>
              <w:pStyle w:val="11"/>
              <w:spacing w:before="156" w:beforeLines="50" w:after="156" w:afterLines="50" w:line="360" w:lineRule="auto"/>
              <w:rPr>
                <w:rFonts w:ascii="Calibri" w:hAnsi="Calibri" w:eastAsia="宋体" w:cs="Times New Roman"/>
                <w:iCs/>
                <w:sz w:val="24"/>
                <w:szCs w:val="24"/>
              </w:rPr>
            </w:pPr>
            <w:r>
              <w:rPr>
                <w:rFonts w:hint="eastAsia" w:ascii="Calibri" w:hAnsi="Calibri" w:eastAsia="宋体" w:cs="Times New Roman"/>
                <w:iCs/>
                <w:sz w:val="24"/>
                <w:szCs w:val="24"/>
              </w:rPr>
              <w:t>五、公司未来发展展望</w:t>
            </w:r>
          </w:p>
          <w:p>
            <w:pPr>
              <w:pStyle w:val="11"/>
              <w:spacing w:before="156" w:beforeLines="50" w:after="156" w:afterLines="50" w:line="360" w:lineRule="auto"/>
              <w:rPr>
                <w:rFonts w:ascii="Calibri" w:hAnsi="Calibri" w:eastAsia="宋体" w:cs="Times New Roman"/>
                <w:b w:val="0"/>
                <w:bCs w:val="0"/>
                <w:iCs/>
                <w:sz w:val="24"/>
                <w:szCs w:val="24"/>
              </w:rPr>
            </w:pPr>
            <w:r>
              <w:rPr>
                <w:rFonts w:hint="eastAsia" w:ascii="Calibri" w:hAnsi="Calibri" w:eastAsia="宋体" w:cs="Times New Roman"/>
                <w:b w:val="0"/>
                <w:bCs w:val="0"/>
                <w:iCs/>
                <w:sz w:val="24"/>
                <w:szCs w:val="24"/>
              </w:rPr>
              <w:t>目前，公司的双主业发展态势良好，两大业务板块经营指标持续向好增长。“移动互联网+工业互联网”双网协同发展的格局将延续，公司将密切跟踪行业政策发展动向，深入剖析公司发展机遇与挑战，全力推进业务转型升级和盈利模式创新发展，优化精简治理结构。同时，公司将秉承“仁爱诚信、合作分享”的核心价值理念，系统推进企业文化建设，统一思想，统一目标，统一部署，确保公司经营业绩高质量、稳步增长。</w:t>
            </w:r>
            <w:r>
              <w:rPr>
                <w:rFonts w:ascii="Calibri" w:hAnsi="Calibri" w:eastAsia="宋体" w:cs="Times New Roman"/>
                <w:b w:val="0"/>
                <w:bCs w:val="0"/>
                <w:iCs/>
                <w:sz w:val="24"/>
                <w:szCs w:val="24"/>
              </w:rPr>
              <w:t>在移动互联网业务方面，公司秉承“传播世界优秀文化与数字文明”的使命，聚焦全球移动游戏发行和运营，深化区域化发行与全球研运一体业务双轮驱动，公司深化全球化战略发展布局，深耕韩国、东南亚以及港澳台，</w:t>
            </w:r>
            <w:r>
              <w:rPr>
                <w:rFonts w:hint="eastAsia" w:ascii="Calibri" w:hAnsi="Calibri" w:eastAsia="宋体" w:cs="Times New Roman"/>
                <w:b w:val="0"/>
                <w:bCs w:val="0"/>
                <w:iCs/>
                <w:sz w:val="24"/>
                <w:szCs w:val="24"/>
              </w:rPr>
              <w:t>进一步拓展</w:t>
            </w:r>
            <w:r>
              <w:rPr>
                <w:rFonts w:ascii="Calibri" w:hAnsi="Calibri" w:eastAsia="宋体" w:cs="Times New Roman"/>
                <w:b w:val="0"/>
                <w:bCs w:val="0"/>
                <w:iCs/>
                <w:sz w:val="24"/>
                <w:szCs w:val="24"/>
              </w:rPr>
              <w:t>欧美、日本</w:t>
            </w:r>
            <w:r>
              <w:rPr>
                <w:rFonts w:hint="eastAsia" w:ascii="Calibri" w:hAnsi="Calibri" w:eastAsia="宋体" w:cs="Times New Roman"/>
                <w:b w:val="0"/>
                <w:bCs w:val="0"/>
                <w:iCs/>
                <w:sz w:val="24"/>
                <w:szCs w:val="24"/>
              </w:rPr>
              <w:t>、中国</w:t>
            </w:r>
            <w:r>
              <w:rPr>
                <w:rFonts w:ascii="Calibri" w:hAnsi="Calibri" w:eastAsia="宋体" w:cs="Times New Roman"/>
                <w:b w:val="0"/>
                <w:bCs w:val="0"/>
                <w:iCs/>
                <w:sz w:val="24"/>
                <w:szCs w:val="24"/>
              </w:rPr>
              <w:t>等一级市场，满足多元用户需求；在工业互联网业务方面，</w:t>
            </w:r>
            <w:r>
              <w:rPr>
                <w:rFonts w:hint="eastAsia" w:ascii="Calibri" w:hAnsi="Calibri" w:eastAsia="宋体" w:cs="Times New Roman"/>
                <w:b w:val="0"/>
                <w:bCs w:val="0"/>
                <w:iCs/>
                <w:sz w:val="24"/>
                <w:szCs w:val="24"/>
              </w:rPr>
              <w:t>公司</w:t>
            </w:r>
            <w:r>
              <w:rPr>
                <w:rFonts w:ascii="Calibri" w:hAnsi="Calibri" w:eastAsia="宋体" w:cs="Times New Roman"/>
                <w:b w:val="0"/>
                <w:bCs w:val="0"/>
                <w:iCs/>
                <w:sz w:val="24"/>
                <w:szCs w:val="24"/>
              </w:rPr>
              <w:t>坚定</w:t>
            </w:r>
            <w:r>
              <w:rPr>
                <w:rFonts w:hint="eastAsia" w:ascii="Calibri" w:hAnsi="Calibri" w:eastAsia="宋体" w:cs="Times New Roman"/>
                <w:b w:val="0"/>
                <w:bCs w:val="0"/>
                <w:iCs/>
                <w:sz w:val="24"/>
                <w:szCs w:val="24"/>
              </w:rPr>
              <w:t>“</w:t>
            </w:r>
            <w:r>
              <w:rPr>
                <w:rFonts w:ascii="Calibri" w:hAnsi="Calibri" w:eastAsia="宋体" w:cs="Times New Roman"/>
                <w:b w:val="0"/>
                <w:bCs w:val="0"/>
                <w:iCs/>
                <w:sz w:val="24"/>
                <w:szCs w:val="24"/>
              </w:rPr>
              <w:t>智能化、信息化</w:t>
            </w:r>
            <w:r>
              <w:rPr>
                <w:rFonts w:hint="eastAsia" w:ascii="Calibri" w:hAnsi="Calibri" w:eastAsia="宋体" w:cs="Times New Roman"/>
                <w:b w:val="0"/>
                <w:bCs w:val="0"/>
                <w:iCs/>
                <w:sz w:val="24"/>
                <w:szCs w:val="24"/>
              </w:rPr>
              <w:t>”</w:t>
            </w:r>
            <w:r>
              <w:rPr>
                <w:rFonts w:ascii="Calibri" w:hAnsi="Calibri" w:eastAsia="宋体" w:cs="Times New Roman"/>
                <w:b w:val="0"/>
                <w:bCs w:val="0"/>
                <w:iCs/>
                <w:sz w:val="24"/>
                <w:szCs w:val="24"/>
              </w:rPr>
              <w:t>的发展方向，始终保持在行业前端及领先地位。公司将结合自身的技术、研发、人才等多方面积累，通过“数、网、智”等技术手段，积极推进智能输送在线监测系统的场景应用，开启工业散货智能输送全栈式服务新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3060"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bCs/>
                <w:iCs/>
                <w:sz w:val="24"/>
              </w:rPr>
            </w:pPr>
            <w:r>
              <w:rPr>
                <w:bCs/>
                <w:iCs/>
                <w:sz w:val="24"/>
              </w:rPr>
              <w:t>附件清单（如有）</w:t>
            </w:r>
          </w:p>
        </w:tc>
        <w:tc>
          <w:tcPr>
            <w:tcW w:w="7740" w:type="dxa"/>
            <w:tcBorders>
              <w:top w:val="single" w:color="auto" w:sz="4" w:space="0"/>
              <w:left w:val="single" w:color="auto" w:sz="4" w:space="0"/>
              <w:bottom w:val="single" w:color="auto" w:sz="4" w:space="0"/>
              <w:right w:val="single" w:color="auto" w:sz="4" w:space="0"/>
            </w:tcBorders>
            <w:vAlign w:val="center"/>
          </w:tcPr>
          <w:p>
            <w:pPr>
              <w:spacing w:line="480" w:lineRule="atLeast"/>
              <w:rPr>
                <w:bCs/>
                <w:iCs/>
                <w:sz w:val="24"/>
              </w:rPr>
            </w:pPr>
            <w:r>
              <w:rPr>
                <w:bCs/>
                <w:iCs/>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3060"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bCs/>
                <w:iCs/>
                <w:sz w:val="24"/>
              </w:rPr>
            </w:pPr>
            <w:r>
              <w:rPr>
                <w:bCs/>
                <w:iCs/>
                <w:sz w:val="24"/>
              </w:rPr>
              <w:t>日期</w:t>
            </w:r>
          </w:p>
        </w:tc>
        <w:tc>
          <w:tcPr>
            <w:tcW w:w="7740"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hint="default" w:eastAsia="宋体"/>
                <w:bCs/>
                <w:iCs/>
                <w:sz w:val="24"/>
                <w:lang w:val="en-US" w:eastAsia="zh-CN"/>
              </w:rPr>
            </w:pPr>
            <w:r>
              <w:rPr>
                <w:bCs/>
                <w:iCs/>
                <w:sz w:val="24"/>
              </w:rPr>
              <w:t>20</w:t>
            </w:r>
            <w:r>
              <w:rPr>
                <w:rFonts w:hint="eastAsia"/>
                <w:bCs/>
                <w:iCs/>
                <w:sz w:val="24"/>
              </w:rPr>
              <w:t>21</w:t>
            </w:r>
            <w:r>
              <w:rPr>
                <w:bCs/>
                <w:iCs/>
                <w:sz w:val="24"/>
              </w:rPr>
              <w:t>年</w:t>
            </w:r>
            <w:r>
              <w:rPr>
                <w:rFonts w:hint="eastAsia"/>
                <w:bCs/>
                <w:iCs/>
                <w:sz w:val="24"/>
              </w:rPr>
              <w:t>1</w:t>
            </w:r>
            <w:r>
              <w:rPr>
                <w:bCs/>
                <w:iCs/>
                <w:sz w:val="24"/>
              </w:rPr>
              <w:t>月</w:t>
            </w:r>
            <w:r>
              <w:rPr>
                <w:rFonts w:hint="eastAsia"/>
                <w:bCs/>
                <w:iCs/>
                <w:sz w:val="24"/>
                <w:lang w:val="en-US" w:eastAsia="zh-CN"/>
              </w:rPr>
              <w:t>19日</w:t>
            </w:r>
          </w:p>
        </w:tc>
      </w:tr>
    </w:tbl>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545C7C"/>
    <w:multiLevelType w:val="singleLevel"/>
    <w:tmpl w:val="BD545C7C"/>
    <w:lvl w:ilvl="0" w:tentative="0">
      <w:start w:val="1"/>
      <w:numFmt w:val="chineseCounting"/>
      <w:suff w:val="nothing"/>
      <w:lvlText w:val="%1、"/>
      <w:lvlJc w:val="left"/>
      <w:rPr>
        <w:rFonts w:hint="eastAsia"/>
      </w:rPr>
    </w:lvl>
  </w:abstractNum>
  <w:abstractNum w:abstractNumId="1">
    <w:nsid w:val="0667826C"/>
    <w:multiLevelType w:val="singleLevel"/>
    <w:tmpl w:val="0667826C"/>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BE1EC0"/>
    <w:rsid w:val="00000211"/>
    <w:rsid w:val="001358B3"/>
    <w:rsid w:val="001C1860"/>
    <w:rsid w:val="002243D6"/>
    <w:rsid w:val="002E5622"/>
    <w:rsid w:val="003B7F04"/>
    <w:rsid w:val="006D4D64"/>
    <w:rsid w:val="00873935"/>
    <w:rsid w:val="008D7DB6"/>
    <w:rsid w:val="009F224A"/>
    <w:rsid w:val="00A11D02"/>
    <w:rsid w:val="00A4557B"/>
    <w:rsid w:val="00A9238D"/>
    <w:rsid w:val="00BE158C"/>
    <w:rsid w:val="00D8001B"/>
    <w:rsid w:val="00F83FEB"/>
    <w:rsid w:val="05BE1EC0"/>
    <w:rsid w:val="1D597163"/>
    <w:rsid w:val="2689203E"/>
    <w:rsid w:val="2BAA3CE4"/>
    <w:rsid w:val="30574631"/>
    <w:rsid w:val="3772094B"/>
    <w:rsid w:val="3BBA0D82"/>
    <w:rsid w:val="3FC730B7"/>
    <w:rsid w:val="4B945D1B"/>
    <w:rsid w:val="5CC91508"/>
    <w:rsid w:val="5F37294F"/>
    <w:rsid w:val="608072C8"/>
    <w:rsid w:val="64B305C1"/>
    <w:rsid w:val="69551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paragraph" w:styleId="6">
    <w:name w:val="Title"/>
    <w:basedOn w:val="1"/>
    <w:next w:val="1"/>
    <w:qFormat/>
    <w:uiPriority w:val="10"/>
    <w:pPr>
      <w:spacing w:before="240" w:after="60" w:line="360" w:lineRule="exact"/>
      <w:ind w:firstLine="200" w:firstLineChars="200"/>
      <w:jc w:val="center"/>
      <w:outlineLvl w:val="0"/>
    </w:pPr>
    <w:rPr>
      <w:rFonts w:asciiTheme="majorHAnsi" w:hAnsiTheme="majorHAnsi" w:eastAsiaTheme="majorEastAsia" w:cstheme="majorBidi"/>
      <w:b/>
      <w:bCs/>
      <w:sz w:val="32"/>
      <w:szCs w:val="32"/>
    </w:rPr>
  </w:style>
  <w:style w:type="character" w:customStyle="1" w:styleId="9">
    <w:name w:val="页眉 Char"/>
    <w:basedOn w:val="8"/>
    <w:link w:val="4"/>
    <w:qFormat/>
    <w:uiPriority w:val="0"/>
    <w:rPr>
      <w:rFonts w:ascii="Calibri" w:hAnsi="Calibri"/>
      <w:kern w:val="2"/>
      <w:sz w:val="18"/>
      <w:szCs w:val="18"/>
    </w:rPr>
  </w:style>
  <w:style w:type="character" w:customStyle="1" w:styleId="10">
    <w:name w:val="页脚 Char"/>
    <w:basedOn w:val="8"/>
    <w:link w:val="3"/>
    <w:qFormat/>
    <w:uiPriority w:val="0"/>
    <w:rPr>
      <w:rFonts w:ascii="Calibri" w:hAnsi="Calibri"/>
      <w:kern w:val="2"/>
      <w:sz w:val="18"/>
      <w:szCs w:val="18"/>
    </w:rPr>
  </w:style>
  <w:style w:type="paragraph" w:customStyle="1" w:styleId="11">
    <w:name w:val="CMS纪要提问标题"/>
    <w:basedOn w:val="6"/>
    <w:qFormat/>
    <w:uiPriority w:val="0"/>
    <w:pPr>
      <w:spacing w:before="0" w:after="0" w:line="400" w:lineRule="exact"/>
      <w:ind w:firstLine="0" w:firstLineChars="0"/>
      <w:jc w:val="left"/>
      <w:outlineLvl w:val="2"/>
    </w:pPr>
    <w:rPr>
      <w:rFonts w:ascii="Times New Roman" w:hAnsi="Times New Roman" w:eastAsia="楷体"/>
      <w:sz w:val="21"/>
    </w:rPr>
  </w:style>
  <w:style w:type="character" w:customStyle="1" w:styleId="12">
    <w:name w:val="批注框文本 Char"/>
    <w:basedOn w:val="8"/>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525</Words>
  <Characters>2993</Characters>
  <Lines>24</Lines>
  <Paragraphs>7</Paragraphs>
  <TotalTime>2</TotalTime>
  <ScaleCrop>false</ScaleCrop>
  <LinksUpToDate>false</LinksUpToDate>
  <CharactersWithSpaces>3511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2021-01-19T07:17:00Z</dcterms:created>
  <dc:creator>lenient</dc:creator>
  <cp:lastModifiedBy>张家琪01</cp:lastModifiedBy>
  <dcterms:modified xsi:type="dcterms:W3CDTF">2021-01-19T08:59:21Z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