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ascii="宋体" w:hAnsi="宋体"/>
          <w:bCs/>
          <w:iCs/>
          <w:color w:val="000000"/>
          <w:sz w:val="24"/>
        </w:rPr>
      </w:pPr>
      <w:r>
        <w:rPr>
          <w:rFonts w:hint="eastAsia" w:ascii="宋体" w:hAnsi="宋体"/>
          <w:bCs/>
          <w:iCs/>
          <w:color w:val="000000"/>
          <w:sz w:val="24"/>
        </w:rPr>
        <w:t>证券代码：300075                                  证券简称：数字政通</w:t>
      </w:r>
    </w:p>
    <w:p>
      <w:pPr>
        <w:spacing w:before="156" w:beforeLines="50" w:after="156" w:afterLines="50" w:line="400" w:lineRule="exact"/>
        <w:rPr>
          <w:rFonts w:hint="eastAsia" w:ascii="宋体" w:hAnsi="宋体"/>
          <w:bCs/>
          <w:iCs/>
          <w:color w:val="000000"/>
          <w:sz w:val="24"/>
        </w:rPr>
      </w:pP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北京数字政通科技股份有限公司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rFonts w:hint="eastAsia" w:ascii="宋体" w:hAnsi="宋体"/>
          <w:bCs/>
          <w:iCs/>
          <w:color w:val="000000"/>
          <w:sz w:val="24"/>
        </w:rPr>
      </w:pPr>
      <w:r>
        <w:rPr>
          <w:rFonts w:hint="eastAsia" w:ascii="宋体" w:hAnsi="宋体"/>
          <w:bCs/>
          <w:iCs/>
          <w:color w:val="000000"/>
          <w:sz w:val="24"/>
        </w:rPr>
        <w:t xml:space="preserve">                                                       编号：2021-001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宋体" w:hAnsi="宋体"/>
                <w:bCs/>
                <w:iCs/>
                <w:color w:val="000000"/>
                <w:sz w:val="24"/>
              </w:rPr>
            </w:pPr>
            <w:r>
              <w:rPr>
                <w:rFonts w:hint="eastAsia" w:ascii="宋体" w:hAnsi="宋体"/>
                <w:bCs/>
                <w:iCs/>
                <w:color w:val="000000"/>
                <w:sz w:val="24"/>
              </w:rPr>
              <w:t>投资者关系活动类别</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bookmarkStart w:id="0" w:name="_GoBack"/>
            <w:bookmarkEnd w:id="0"/>
          </w:p>
          <w:p>
            <w:pPr>
              <w:tabs>
                <w:tab w:val="center" w:pos="3199"/>
              </w:tabs>
              <w:spacing w:line="480" w:lineRule="atLeast"/>
              <w:rPr>
                <w:rFonts w:ascii="宋体" w:hAnsi="宋体"/>
                <w:bCs/>
                <w:iCs/>
                <w:color w:val="000000"/>
                <w:sz w:val="24"/>
                <w:u w:val="single"/>
              </w:rPr>
            </w:pPr>
            <w:r>
              <w:rPr>
                <w:rFonts w:hint="eastAsia" w:ascii="宋体" w:hAnsi="宋体"/>
                <w:bCs/>
                <w:iCs/>
                <w:color w:val="000000"/>
                <w:sz w:val="24"/>
              </w:rPr>
              <w:t>□</w:t>
            </w:r>
            <w:r>
              <w:rPr>
                <w:rFonts w:hint="eastAsia" w:ascii="宋体" w:hAnsi="宋体"/>
                <w:sz w:val="28"/>
                <w:szCs w:val="28"/>
              </w:rPr>
              <w:t xml:space="preserve">其他  </w:t>
            </w:r>
            <w:r>
              <w:rPr>
                <w:rFonts w:hint="eastAsia" w:ascii="宋体" w:hAnsi="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宋体" w:hAnsi="宋体" w:eastAsia="宋体"/>
                <w:bCs/>
                <w:iCs/>
                <w:color w:val="000000"/>
                <w:sz w:val="24"/>
                <w:lang w:eastAsia="zh-CN"/>
              </w:rPr>
            </w:pPr>
            <w:r>
              <w:rPr>
                <w:rFonts w:hint="eastAsia" w:ascii="宋体" w:hAnsi="宋体"/>
                <w:bCs/>
                <w:iCs/>
                <w:color w:val="000000"/>
                <w:sz w:val="24"/>
              </w:rPr>
              <w:t>国泰君安资管</w:t>
            </w:r>
            <w:r>
              <w:rPr>
                <w:rFonts w:hint="eastAsia" w:ascii="宋体" w:hAnsi="宋体"/>
                <w:bCs/>
                <w:iCs/>
                <w:color w:val="000000"/>
                <w:sz w:val="24"/>
                <w:lang w:eastAsia="zh-CN"/>
              </w:rPr>
              <w:t>景健、诺德基金周高华、方正证券刘海川、大正投资张璟、上海钧犀实业贾凯、嘉实基金刘杰、中信证券自营李建伟、湖南轻盐雷宇、东吴基金蔡秋实、兴全基金赵梓焜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ascii="宋体" w:hAnsi="宋体"/>
                <w:bCs/>
                <w:iCs/>
                <w:color w:val="000000"/>
                <w:sz w:val="24"/>
              </w:rPr>
            </w:pPr>
            <w:r>
              <w:rPr>
                <w:rFonts w:hint="eastAsia" w:ascii="宋体" w:hAnsi="宋体"/>
                <w:bCs/>
                <w:iCs/>
                <w:color w:val="000000"/>
                <w:sz w:val="24"/>
              </w:rPr>
              <w:t>2021年1月21日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ascii="宋体" w:hAnsi="宋体"/>
                <w:bCs/>
                <w:iCs/>
                <w:color w:val="000000"/>
                <w:sz w:val="24"/>
              </w:rPr>
            </w:pPr>
            <w:r>
              <w:rPr>
                <w:rFonts w:hint="eastAsia" w:ascii="宋体" w:hAnsi="宋体"/>
                <w:bCs/>
                <w:iCs/>
                <w:color w:val="000000"/>
                <w:sz w:val="24"/>
              </w:rPr>
              <w:t>电话会议调研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rPr>
                <w:rFonts w:hint="eastAsia" w:ascii="宋体" w:hAnsi="宋体"/>
                <w:bCs/>
                <w:iCs/>
                <w:sz w:val="24"/>
              </w:rPr>
            </w:pPr>
            <w:r>
              <w:rPr>
                <w:rFonts w:hint="eastAsia" w:ascii="宋体" w:hAnsi="宋体"/>
                <w:bCs/>
                <w:iCs/>
                <w:sz w:val="24"/>
              </w:rPr>
              <w:t>董事会秘书邱鲁闽先生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jc w:val="center"/>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rPr>
                <w:rFonts w:ascii="宋体" w:hAnsi="宋体"/>
                <w:sz w:val="24"/>
              </w:rPr>
            </w:pPr>
            <w:r>
              <w:rPr>
                <w:rFonts w:hint="eastAsia" w:ascii="宋体" w:hAnsi="宋体"/>
                <w:sz w:val="24"/>
              </w:rPr>
              <w:t>本次电话会议，针对投资者的主要关注问题，包括公司2020年经营情况、商誉是否存在减值风险以及公司未来的发展前景进行说明。</w:t>
            </w:r>
          </w:p>
          <w:p>
            <w:pPr>
              <w:spacing w:line="360" w:lineRule="auto"/>
              <w:ind w:firstLine="420"/>
              <w:rPr>
                <w:rFonts w:ascii="宋体" w:hAnsi="宋体"/>
                <w:sz w:val="24"/>
              </w:rPr>
            </w:pPr>
            <w:r>
              <w:rPr>
                <w:rFonts w:hint="eastAsia" w:ascii="宋体" w:hAnsi="宋体"/>
                <w:sz w:val="24"/>
              </w:rPr>
              <w:t>首先是2020年度的经营情况，由于疫情影响，公司2020年半年报业绩下滑，三季报也没有达到预期的目标</w:t>
            </w:r>
            <w:r>
              <w:rPr>
                <w:rFonts w:ascii="宋体" w:hAnsi="宋体"/>
                <w:sz w:val="24"/>
              </w:rPr>
              <w:t>，公司经营承受了很大的压力，</w:t>
            </w:r>
            <w:r>
              <w:rPr>
                <w:rFonts w:hint="eastAsia" w:ascii="宋体" w:hAnsi="宋体"/>
                <w:sz w:val="24"/>
              </w:rPr>
              <w:t>但在这样的情况下，公司始终没有放弃，</w:t>
            </w:r>
            <w:r>
              <w:rPr>
                <w:rFonts w:ascii="宋体" w:hAnsi="宋体"/>
                <w:sz w:val="24"/>
              </w:rPr>
              <w:t>上下齐心，共同努力，取得了较好的效果。</w:t>
            </w:r>
            <w:r>
              <w:rPr>
                <w:rFonts w:hint="eastAsia" w:ascii="宋体" w:hAnsi="宋体"/>
                <w:sz w:val="24"/>
              </w:rPr>
              <w:t>总结全年情况来看</w:t>
            </w:r>
            <w:r>
              <w:rPr>
                <w:rFonts w:ascii="宋体" w:hAnsi="宋体"/>
                <w:sz w:val="24"/>
              </w:rPr>
              <w:t>，第四季度</w:t>
            </w:r>
            <w:r>
              <w:rPr>
                <w:rFonts w:hint="eastAsia" w:ascii="宋体" w:hAnsi="宋体"/>
                <w:sz w:val="24"/>
              </w:rPr>
              <w:t>订单额较2019年同比</w:t>
            </w:r>
            <w:r>
              <w:rPr>
                <w:rFonts w:ascii="宋体" w:hAnsi="宋体"/>
                <w:sz w:val="24"/>
              </w:rPr>
              <w:t>有较</w:t>
            </w:r>
            <w:r>
              <w:rPr>
                <w:rFonts w:hint="eastAsia" w:ascii="宋体" w:hAnsi="宋体"/>
                <w:sz w:val="24"/>
              </w:rPr>
              <w:t>大幅上升，</w:t>
            </w:r>
            <w:r>
              <w:rPr>
                <w:rFonts w:ascii="宋体" w:hAnsi="宋体"/>
                <w:sz w:val="24"/>
              </w:rPr>
              <w:t>对全年的业绩实现形成了有力的保证，目前年报数据还没有出来，但结合新签订单和老订单确认收入的情况来看，公司管理层有信心实现业绩增长，完成董事会制定的经营目标。同时，</w:t>
            </w:r>
            <w:r>
              <w:rPr>
                <w:rFonts w:hint="eastAsia" w:ascii="宋体" w:hAnsi="宋体"/>
                <w:sz w:val="24"/>
              </w:rPr>
              <w:t>受疫情因素影响，2020年</w:t>
            </w:r>
            <w:r>
              <w:rPr>
                <w:rFonts w:ascii="宋体" w:hAnsi="宋体"/>
                <w:sz w:val="24"/>
              </w:rPr>
              <w:t>确实也存在一部分</w:t>
            </w:r>
            <w:r>
              <w:rPr>
                <w:rFonts w:hint="eastAsia" w:ascii="宋体" w:hAnsi="宋体"/>
                <w:sz w:val="24"/>
              </w:rPr>
              <w:t>订单延期</w:t>
            </w:r>
            <w:r>
              <w:rPr>
                <w:rFonts w:ascii="宋体" w:hAnsi="宋体"/>
                <w:sz w:val="24"/>
              </w:rPr>
              <w:t>的问题</w:t>
            </w:r>
            <w:r>
              <w:rPr>
                <w:rFonts w:hint="eastAsia" w:ascii="宋体" w:hAnsi="宋体"/>
                <w:sz w:val="24"/>
              </w:rPr>
              <w:t>，有</w:t>
            </w:r>
            <w:r>
              <w:rPr>
                <w:rFonts w:ascii="宋体" w:hAnsi="宋体"/>
                <w:sz w:val="24"/>
              </w:rPr>
              <w:t>些</w:t>
            </w:r>
            <w:r>
              <w:rPr>
                <w:rFonts w:hint="eastAsia" w:ascii="宋体" w:hAnsi="宋体"/>
                <w:sz w:val="24"/>
              </w:rPr>
              <w:t>订单</w:t>
            </w:r>
            <w:r>
              <w:rPr>
                <w:rFonts w:ascii="宋体" w:hAnsi="宋体"/>
                <w:sz w:val="24"/>
              </w:rPr>
              <w:t>虽经努力到年底也没有签回来，顺延到2021年，这些订单将对2021年上半年的业绩形成一定的支撑</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2020年公司进一步加强回款催收考核，这使得公司2020年的经营净现金流</w:t>
            </w:r>
            <w:r>
              <w:rPr>
                <w:rFonts w:ascii="宋体" w:hAnsi="宋体"/>
                <w:sz w:val="24"/>
              </w:rPr>
              <w:t>继续优化，有可能继续实现较高</w:t>
            </w:r>
            <w:r>
              <w:rPr>
                <w:rFonts w:hint="eastAsia" w:ascii="宋体" w:hAnsi="宋体"/>
                <w:sz w:val="24"/>
              </w:rPr>
              <w:t>水平。加之定增项目的顺利实施，公司的现金</w:t>
            </w:r>
            <w:r>
              <w:rPr>
                <w:rFonts w:ascii="宋体" w:hAnsi="宋体"/>
                <w:sz w:val="24"/>
              </w:rPr>
              <w:t>储备</w:t>
            </w:r>
            <w:r>
              <w:rPr>
                <w:rFonts w:hint="eastAsia" w:ascii="宋体" w:hAnsi="宋体"/>
                <w:sz w:val="24"/>
              </w:rPr>
              <w:t>也达到了</w:t>
            </w:r>
            <w:r>
              <w:rPr>
                <w:rFonts w:ascii="宋体" w:hAnsi="宋体"/>
                <w:sz w:val="24"/>
              </w:rPr>
              <w:t>相当水平，</w:t>
            </w:r>
            <w:r>
              <w:rPr>
                <w:rFonts w:hint="eastAsia" w:ascii="宋体" w:hAnsi="宋体"/>
                <w:sz w:val="24"/>
              </w:rPr>
              <w:t>这些都为公司未来拿到更大的订单、承接更大的项目奠定了重要的基础。</w:t>
            </w:r>
          </w:p>
          <w:p>
            <w:pPr>
              <w:spacing w:line="360" w:lineRule="auto"/>
              <w:ind w:firstLine="420"/>
              <w:rPr>
                <w:rFonts w:ascii="宋体" w:hAnsi="宋体"/>
                <w:sz w:val="24"/>
              </w:rPr>
            </w:pPr>
            <w:r>
              <w:rPr>
                <w:rFonts w:hint="eastAsia" w:ascii="宋体" w:hAnsi="宋体"/>
                <w:sz w:val="24"/>
              </w:rPr>
              <w:t>另外，投资者关注的商誉问题，</w:t>
            </w:r>
            <w:r>
              <w:rPr>
                <w:rFonts w:ascii="宋体" w:hAnsi="宋体"/>
                <w:sz w:val="24"/>
              </w:rPr>
              <w:t>我个人认为</w:t>
            </w:r>
            <w:r>
              <w:rPr>
                <w:rFonts w:hint="eastAsia" w:ascii="宋体" w:hAnsi="宋体"/>
                <w:sz w:val="24"/>
              </w:rPr>
              <w:t>是没必要担心的。数字政通在商誉减值处理上一直严格按照财务规则执行。并且，目前商誉仅占净资产的20%</w:t>
            </w:r>
            <w:r>
              <w:rPr>
                <w:rFonts w:ascii="宋体" w:hAnsi="宋体"/>
                <w:sz w:val="24"/>
              </w:rPr>
              <w:t>左右</w:t>
            </w:r>
            <w:r>
              <w:rPr>
                <w:rFonts w:hint="eastAsia" w:ascii="宋体" w:hAnsi="宋体"/>
                <w:sz w:val="24"/>
              </w:rPr>
              <w:t>，份额不大，且2020年</w:t>
            </w:r>
            <w:r>
              <w:rPr>
                <w:rFonts w:ascii="宋体" w:hAnsi="宋体"/>
                <w:sz w:val="24"/>
              </w:rPr>
              <w:t>主要形成商誉的</w:t>
            </w:r>
            <w:r>
              <w:rPr>
                <w:rFonts w:hint="eastAsia" w:ascii="宋体" w:hAnsi="宋体"/>
                <w:sz w:val="24"/>
              </w:rPr>
              <w:t>金迪公司</w:t>
            </w:r>
            <w:r>
              <w:rPr>
                <w:rFonts w:ascii="宋体" w:hAnsi="宋体"/>
                <w:sz w:val="24"/>
              </w:rPr>
              <w:t>资产质量继续保持优良发展态势，在手订单充裕，市场前景广阔，公司核心竞争力不断加强，所以</w:t>
            </w:r>
            <w:r>
              <w:rPr>
                <w:rFonts w:hint="eastAsia" w:ascii="宋体" w:hAnsi="宋体"/>
                <w:sz w:val="24"/>
              </w:rPr>
              <w:t>公司内部财务人员</w:t>
            </w:r>
            <w:r>
              <w:rPr>
                <w:rFonts w:ascii="宋体" w:hAnsi="宋体"/>
                <w:sz w:val="24"/>
              </w:rPr>
              <w:t>的基本</w:t>
            </w:r>
            <w:r>
              <w:rPr>
                <w:rFonts w:hint="eastAsia" w:ascii="宋体" w:hAnsi="宋体"/>
                <w:sz w:val="24"/>
              </w:rPr>
              <w:t>判断</w:t>
            </w:r>
            <w:r>
              <w:rPr>
                <w:rFonts w:ascii="宋体" w:hAnsi="宋体"/>
                <w:sz w:val="24"/>
              </w:rPr>
              <w:t>是目前</w:t>
            </w:r>
            <w:r>
              <w:rPr>
                <w:rFonts w:hint="eastAsia" w:ascii="宋体" w:hAnsi="宋体"/>
                <w:sz w:val="24"/>
              </w:rPr>
              <w:t>商誉不存在减值风险。</w:t>
            </w:r>
          </w:p>
          <w:p>
            <w:pPr>
              <w:spacing w:line="360" w:lineRule="auto"/>
              <w:ind w:firstLine="480" w:firstLineChars="200"/>
              <w:rPr>
                <w:rFonts w:ascii="宋体" w:hAnsi="宋体"/>
                <w:sz w:val="24"/>
              </w:rPr>
            </w:pPr>
            <w:r>
              <w:rPr>
                <w:rFonts w:hint="eastAsia" w:ascii="宋体" w:hAnsi="宋体"/>
                <w:sz w:val="24"/>
              </w:rPr>
              <w:t>对于公司的发展前景。数字政通从一个单纯的软件和应用服务开发商，正在逐渐转型升级，目前公司的业务重点主要分为两个模块：智慧城市软件开发</w:t>
            </w:r>
            <w:r>
              <w:rPr>
                <w:rFonts w:ascii="宋体" w:hAnsi="宋体"/>
                <w:sz w:val="24"/>
              </w:rPr>
              <w:t>解决方案</w:t>
            </w:r>
            <w:r>
              <w:rPr>
                <w:rFonts w:hint="eastAsia" w:ascii="宋体" w:hAnsi="宋体"/>
                <w:sz w:val="24"/>
              </w:rPr>
              <w:t>、智慧城市运营和服务</w:t>
            </w:r>
            <w:r>
              <w:rPr>
                <w:rFonts w:ascii="宋体" w:hAnsi="宋体"/>
                <w:sz w:val="24"/>
              </w:rPr>
              <w:t>。</w:t>
            </w:r>
          </w:p>
          <w:p>
            <w:pPr>
              <w:spacing w:line="360" w:lineRule="auto"/>
              <w:ind w:firstLine="480" w:firstLineChars="200"/>
              <w:rPr>
                <w:rFonts w:ascii="宋体" w:hAnsi="宋体"/>
                <w:sz w:val="24"/>
              </w:rPr>
            </w:pPr>
            <w:r>
              <w:rPr>
                <w:rFonts w:ascii="宋体" w:hAnsi="宋体"/>
                <w:sz w:val="24"/>
              </w:rPr>
              <w:t>在软件和解决方案方面，公司目前主推两个大的产品，一个是城市管理综合服务平台，国家相关部委有明确的政策要求，</w:t>
            </w:r>
            <w:r>
              <w:rPr>
                <w:rFonts w:hint="eastAsia" w:ascii="宋体" w:hAnsi="宋体"/>
                <w:sz w:val="24"/>
              </w:rPr>
              <w:t>2021年</w:t>
            </w:r>
            <w:r>
              <w:rPr>
                <w:rFonts w:ascii="宋体" w:hAnsi="宋体"/>
                <w:sz w:val="24"/>
              </w:rPr>
              <w:t>预计</w:t>
            </w:r>
            <w:r>
              <w:rPr>
                <w:rFonts w:hint="eastAsia" w:ascii="宋体" w:hAnsi="宋体"/>
                <w:sz w:val="24"/>
              </w:rPr>
              <w:t>不少于100个城市要上这样的平台，每个平台</w:t>
            </w:r>
            <w:r>
              <w:rPr>
                <w:rFonts w:ascii="宋体" w:hAnsi="宋体"/>
                <w:sz w:val="24"/>
              </w:rPr>
              <w:t>的投资在数百到数</w:t>
            </w:r>
            <w:r>
              <w:rPr>
                <w:rFonts w:hint="eastAsia" w:ascii="宋体" w:hAnsi="宋体"/>
                <w:sz w:val="24"/>
              </w:rPr>
              <w:t>千万元</w:t>
            </w:r>
            <w:r>
              <w:rPr>
                <w:rFonts w:ascii="宋体" w:hAnsi="宋体"/>
                <w:sz w:val="24"/>
              </w:rPr>
              <w:t>之间</w:t>
            </w:r>
            <w:r>
              <w:rPr>
                <w:rFonts w:hint="eastAsia" w:ascii="宋体" w:hAnsi="宋体"/>
                <w:sz w:val="24"/>
              </w:rPr>
              <w:t>，</w:t>
            </w:r>
            <w:r>
              <w:rPr>
                <w:rFonts w:ascii="宋体" w:hAnsi="宋体"/>
                <w:sz w:val="24"/>
              </w:rPr>
              <w:t>公司市占率很高，</w:t>
            </w:r>
            <w:r>
              <w:rPr>
                <w:rFonts w:hint="eastAsia" w:ascii="宋体" w:hAnsi="宋体"/>
                <w:sz w:val="24"/>
              </w:rPr>
              <w:t>所以这一块的市场前景是无需担心的。2020若不是受疫情影响，许多项目可能早已落地，</w:t>
            </w:r>
            <w:r>
              <w:rPr>
                <w:rFonts w:ascii="宋体" w:hAnsi="宋体"/>
                <w:sz w:val="24"/>
              </w:rPr>
              <w:t>现在虽有推迟，</w:t>
            </w:r>
            <w:r>
              <w:rPr>
                <w:rFonts w:hint="eastAsia" w:ascii="宋体" w:hAnsi="宋体"/>
                <w:sz w:val="24"/>
              </w:rPr>
              <w:t>但是这些项目未来还是会落地的。</w:t>
            </w:r>
          </w:p>
          <w:p>
            <w:pPr>
              <w:spacing w:line="360" w:lineRule="auto"/>
              <w:ind w:firstLine="480" w:firstLineChars="200"/>
              <w:rPr>
                <w:rFonts w:ascii="宋体" w:hAnsi="宋体"/>
                <w:sz w:val="24"/>
              </w:rPr>
            </w:pPr>
            <w:r>
              <w:rPr>
                <w:rFonts w:ascii="宋体" w:hAnsi="宋体"/>
                <w:sz w:val="24"/>
              </w:rPr>
              <w:t>第二是</w:t>
            </w:r>
            <w:r>
              <w:rPr>
                <w:rFonts w:hint="eastAsia" w:ascii="宋体" w:hAnsi="宋体"/>
                <w:sz w:val="24"/>
              </w:rPr>
              <w:t>市域社会治理，基层是市域社会治理的新目标，国家许多重要会议也一直强调这一点。</w:t>
            </w:r>
            <w:r>
              <w:rPr>
                <w:rFonts w:ascii="宋体" w:hAnsi="宋体"/>
                <w:sz w:val="24"/>
              </w:rPr>
              <w:t>比如</w:t>
            </w:r>
            <w:r>
              <w:rPr>
                <w:rFonts w:hint="eastAsia" w:ascii="宋体" w:hAnsi="宋体"/>
                <w:sz w:val="24"/>
              </w:rPr>
              <w:t>公司</w:t>
            </w:r>
            <w:r>
              <w:rPr>
                <w:rFonts w:ascii="宋体" w:hAnsi="宋体"/>
                <w:sz w:val="24"/>
              </w:rPr>
              <w:t>公告</w:t>
            </w:r>
            <w:r>
              <w:rPr>
                <w:rFonts w:hint="eastAsia" w:ascii="宋体" w:hAnsi="宋体"/>
                <w:sz w:val="24"/>
              </w:rPr>
              <w:t>上半年拿到了四川宜宾的项目，下半年拿到了</w:t>
            </w:r>
            <w:r>
              <w:rPr>
                <w:rFonts w:ascii="宋体" w:hAnsi="宋体"/>
                <w:sz w:val="24"/>
              </w:rPr>
              <w:t>山东</w:t>
            </w:r>
            <w:r>
              <w:rPr>
                <w:rFonts w:hint="eastAsia" w:ascii="宋体" w:hAnsi="宋体"/>
                <w:sz w:val="24"/>
              </w:rPr>
              <w:t>聊城的项目</w:t>
            </w:r>
            <w:r>
              <w:rPr>
                <w:rFonts w:ascii="宋体" w:hAnsi="宋体"/>
                <w:sz w:val="24"/>
              </w:rPr>
              <w:t>，都是比较典型的案例</w:t>
            </w:r>
            <w:r>
              <w:rPr>
                <w:rFonts w:hint="eastAsia" w:ascii="宋体" w:hAnsi="宋体"/>
                <w:sz w:val="24"/>
              </w:rPr>
              <w:t>。这一块</w:t>
            </w:r>
            <w:r>
              <w:rPr>
                <w:rFonts w:ascii="宋体" w:hAnsi="宋体"/>
                <w:sz w:val="24"/>
              </w:rPr>
              <w:t>现在</w:t>
            </w:r>
            <w:r>
              <w:rPr>
                <w:rFonts w:hint="eastAsia" w:ascii="宋体" w:hAnsi="宋体"/>
                <w:sz w:val="24"/>
              </w:rPr>
              <w:t>是各地政府的信息化投资重点，未来有机会通过这一块业务，提高公司收入、扩大市场体量</w:t>
            </w:r>
            <w:r>
              <w:rPr>
                <w:rFonts w:ascii="宋体" w:hAnsi="宋体"/>
                <w:sz w:val="24"/>
              </w:rPr>
              <w:t>。</w:t>
            </w:r>
          </w:p>
          <w:p>
            <w:pPr>
              <w:spacing w:line="360" w:lineRule="auto"/>
              <w:ind w:firstLine="480" w:firstLineChars="200"/>
              <w:rPr>
                <w:rFonts w:ascii="宋体" w:hAnsi="宋体"/>
                <w:sz w:val="24"/>
              </w:rPr>
            </w:pPr>
            <w:r>
              <w:rPr>
                <w:rFonts w:ascii="宋体" w:hAnsi="宋体"/>
                <w:sz w:val="24"/>
              </w:rPr>
              <w:t>关于</w:t>
            </w:r>
            <w:r>
              <w:rPr>
                <w:rFonts w:hint="eastAsia" w:ascii="宋体" w:hAnsi="宋体"/>
                <w:sz w:val="24"/>
              </w:rPr>
              <w:t>运营和服务业务。一个是城市地下管网业务，对于这一块业务，</w:t>
            </w:r>
            <w:r>
              <w:rPr>
                <w:rFonts w:ascii="宋体" w:hAnsi="宋体"/>
                <w:sz w:val="24"/>
              </w:rPr>
              <w:t>各地市场需求扩张的很快，</w:t>
            </w:r>
            <w:r>
              <w:rPr>
                <w:rFonts w:hint="eastAsia" w:ascii="宋体" w:hAnsi="宋体"/>
                <w:sz w:val="24"/>
                <w:lang w:eastAsia="zh-CN"/>
              </w:rPr>
              <w:t>需求</w:t>
            </w:r>
            <w:r>
              <w:rPr>
                <w:rFonts w:ascii="宋体" w:hAnsi="宋体"/>
                <w:sz w:val="24"/>
              </w:rPr>
              <w:t>很高，</w:t>
            </w:r>
            <w:r>
              <w:rPr>
                <w:rFonts w:hint="eastAsia" w:ascii="宋体" w:hAnsi="宋体"/>
                <w:sz w:val="24"/>
              </w:rPr>
              <w:t>2021年的增长确定性是很强的。二是数据采集业务，2020年上半年配合各地疫情防控，参与流调、入户调查等，各地政府对于我司的本地化服务给予了很高的评价。公司也在通过加强研发增加技术手段。视频、无人机、大数据分析、智能化对比、机器学习等，这一领域公司的竞争力是很强的，处于第一梯队。公司将通过将人力占比较重的数据采集逐渐转化为技术型，不断提高进入壁垒。</w:t>
            </w:r>
          </w:p>
          <w:p>
            <w:pPr>
              <w:spacing w:line="360" w:lineRule="auto"/>
              <w:ind w:firstLine="480" w:firstLineChars="200"/>
              <w:rPr>
                <w:rFonts w:ascii="宋体" w:hAnsi="宋体"/>
                <w:sz w:val="24"/>
              </w:rPr>
            </w:pPr>
            <w:r>
              <w:rPr>
                <w:rFonts w:hint="eastAsia" w:ascii="宋体" w:hAnsi="宋体"/>
                <w:sz w:val="24"/>
              </w:rPr>
              <w:t>公司的管理团队和一线团队都对2021年抱有十足的期待和信</w:t>
            </w:r>
            <w:r>
              <w:rPr>
                <w:rFonts w:ascii="宋体" w:hAnsi="宋体"/>
                <w:sz w:val="24"/>
              </w:rPr>
              <w:t>心</w:t>
            </w:r>
            <w:r>
              <w:rPr>
                <w:rFonts w:hint="eastAsia" w:ascii="宋体" w:hAnsi="宋体"/>
                <w:sz w:val="24"/>
              </w:rPr>
              <w:t>，希望能在2021年把该拿的项目拿下来，把市场打开，在资本市场实现价值的同步。</w:t>
            </w:r>
          </w:p>
          <w:p>
            <w:pPr>
              <w:spacing w:line="360" w:lineRule="auto"/>
              <w:ind w:firstLine="482" w:firstLineChars="200"/>
              <w:rPr>
                <w:rFonts w:ascii="宋体" w:hAnsi="宋体"/>
                <w:b/>
                <w:sz w:val="24"/>
              </w:rPr>
            </w:pPr>
            <w:r>
              <w:rPr>
                <w:rFonts w:hint="eastAsia" w:ascii="宋体" w:hAnsi="宋体"/>
                <w:b/>
                <w:sz w:val="24"/>
              </w:rPr>
              <w:t>问答环节</w:t>
            </w:r>
          </w:p>
          <w:p>
            <w:pPr>
              <w:spacing w:line="360" w:lineRule="auto"/>
              <w:ind w:firstLine="480" w:firstLineChars="200"/>
              <w:rPr>
                <w:rFonts w:ascii="宋体" w:hAnsi="宋体"/>
                <w:sz w:val="24"/>
              </w:rPr>
            </w:pPr>
            <w:r>
              <w:rPr>
                <w:rFonts w:hint="eastAsia" w:ascii="宋体" w:hAnsi="宋体"/>
                <w:sz w:val="24"/>
              </w:rPr>
              <w:t>1.问：卫健委提到：返乡人员返乡后应采取网格化管理，这与公司业务是否有关？</w:t>
            </w:r>
          </w:p>
          <w:p>
            <w:pPr>
              <w:spacing w:line="360" w:lineRule="auto"/>
              <w:ind w:firstLine="480" w:firstLineChars="200"/>
              <w:rPr>
                <w:rFonts w:ascii="宋体" w:hAnsi="宋体"/>
                <w:sz w:val="24"/>
              </w:rPr>
            </w:pPr>
            <w:r>
              <w:rPr>
                <w:rFonts w:hint="eastAsia" w:ascii="宋体" w:hAnsi="宋体"/>
                <w:sz w:val="24"/>
                <w:lang w:eastAsia="zh-CN"/>
              </w:rPr>
              <w:t>答</w:t>
            </w:r>
            <w:r>
              <w:rPr>
                <w:rFonts w:hint="eastAsia" w:ascii="宋体" w:hAnsi="宋体"/>
                <w:sz w:val="24"/>
              </w:rPr>
              <w:t>：公司2020上半年做的网格化疫情防控，在全国各地部署了疫情防控系统。上面提到的市域社会治理就是希望能把一网统管、一网通办作为一个常态化的东西。卫健委的决定说明疫情防控是个长期的问题，以后会不断出现反复，这对于百姓生活影响很大，对社会造成的损失也很大，所以以后网格化管理将会变成一个常态。以前网格化管理都是应用在城市，以后连乡镇、农村也要实现。其实在东部地区，像浙江、江苏等省份已经下沉到乡镇了，下一步就是把其他区域的做起来，卫健委所提的就是市域社会治理现代化里要求的。网格化要做的就是提供更多的服务，为居民生活保障、满足其基本需求。现在城市里有社区志愿者，如何将其延伸到全国，未来政府如何补足等，都是网格化管理要解决的。一方面需要政府执政管理时贴近群众需要，再一个就是信息化管理，搜集老百姓需要什么、反馈如何、哪里需要补给等信息。这个政策对于数字政通的业务发展当然是有正向影响的。若是有相关需求，公司希望将应用于城市的网格化模式通过市域社会治理部署到更多地方，这是一块非常大的市场。</w:t>
            </w:r>
          </w:p>
          <w:p>
            <w:pPr>
              <w:spacing w:line="360" w:lineRule="auto"/>
              <w:ind w:firstLine="480" w:firstLineChars="200"/>
              <w:rPr>
                <w:rFonts w:ascii="宋体" w:hAnsi="宋体"/>
                <w:sz w:val="24"/>
              </w:rPr>
            </w:pPr>
            <w:r>
              <w:rPr>
                <w:rFonts w:hint="eastAsia" w:ascii="宋体" w:hAnsi="宋体"/>
                <w:sz w:val="24"/>
              </w:rPr>
              <w:t>2.问：目前手上的订单看，一季度情况如何？</w:t>
            </w:r>
          </w:p>
          <w:p>
            <w:pPr>
              <w:spacing w:line="360" w:lineRule="auto"/>
              <w:ind w:firstLine="480" w:firstLineChars="200"/>
              <w:rPr>
                <w:rFonts w:ascii="宋体" w:hAnsi="宋体"/>
                <w:sz w:val="24"/>
              </w:rPr>
            </w:pPr>
            <w:r>
              <w:rPr>
                <w:rFonts w:hint="eastAsia" w:ascii="宋体" w:hAnsi="宋体"/>
                <w:sz w:val="24"/>
              </w:rPr>
              <w:t>答：持乐观态度。因为2020年还有很多合同没来得及签，所以都会放在</w:t>
            </w:r>
            <w:r>
              <w:rPr>
                <w:rFonts w:ascii="宋体" w:hAnsi="宋体"/>
                <w:sz w:val="24"/>
              </w:rPr>
              <w:t>今年来</w:t>
            </w:r>
            <w:r>
              <w:rPr>
                <w:rFonts w:hint="eastAsia" w:ascii="宋体" w:hAnsi="宋体"/>
                <w:sz w:val="24"/>
              </w:rPr>
              <w:t>签，</w:t>
            </w:r>
            <w:r>
              <w:rPr>
                <w:rFonts w:ascii="宋体" w:hAnsi="宋体"/>
                <w:sz w:val="24"/>
              </w:rPr>
              <w:t>我们对继续实现</w:t>
            </w:r>
            <w:r>
              <w:rPr>
                <w:rFonts w:hint="eastAsia" w:ascii="宋体" w:hAnsi="宋体"/>
                <w:sz w:val="24"/>
              </w:rPr>
              <w:t>增长</w:t>
            </w:r>
            <w:r>
              <w:rPr>
                <w:rFonts w:ascii="宋体" w:hAnsi="宋体"/>
                <w:sz w:val="24"/>
              </w:rPr>
              <w:t>持乐观态度。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ascii="宋体" w:hAnsi="宋体"/>
                <w:bCs/>
                <w:iCs/>
                <w:color w:val="000000"/>
                <w:sz w:val="24"/>
              </w:rPr>
            </w:pPr>
            <w:r>
              <w:rPr>
                <w:rFonts w:ascii="宋体" w:hAnsi="宋体"/>
                <w:bCs/>
                <w:iCs/>
                <w:color w:val="000000"/>
                <w:sz w:val="24"/>
              </w:rPr>
              <w:t>20</w:t>
            </w:r>
            <w:r>
              <w:rPr>
                <w:rFonts w:hint="eastAsia" w:ascii="宋体" w:hAnsi="宋体"/>
                <w:bCs/>
                <w:iCs/>
                <w:color w:val="000000"/>
                <w:sz w:val="24"/>
              </w:rPr>
              <w:t>21</w:t>
            </w:r>
            <w:r>
              <w:rPr>
                <w:rFonts w:ascii="宋体" w:hAnsi="宋体"/>
                <w:bCs/>
                <w:iCs/>
                <w:color w:val="000000"/>
                <w:sz w:val="24"/>
              </w:rPr>
              <w:t>年</w:t>
            </w:r>
            <w:r>
              <w:rPr>
                <w:rFonts w:hint="eastAsia" w:ascii="宋体" w:hAnsi="宋体"/>
                <w:bCs/>
                <w:iCs/>
                <w:color w:val="000000"/>
                <w:sz w:val="24"/>
              </w:rPr>
              <w:t>1</w:t>
            </w:r>
            <w:r>
              <w:rPr>
                <w:rFonts w:ascii="宋体" w:hAnsi="宋体"/>
                <w:bCs/>
                <w:iCs/>
                <w:color w:val="000000"/>
                <w:sz w:val="24"/>
              </w:rPr>
              <w:t>月</w:t>
            </w:r>
            <w:r>
              <w:rPr>
                <w:rFonts w:hint="eastAsia" w:ascii="宋体" w:hAnsi="宋体"/>
                <w:bCs/>
                <w:iCs/>
                <w:color w:val="000000"/>
                <w:sz w:val="24"/>
              </w:rPr>
              <w:t>21</w:t>
            </w:r>
            <w:r>
              <w:rPr>
                <w:rFonts w:ascii="宋体" w:hAnsi="宋体"/>
                <w:bCs/>
                <w:iCs/>
                <w:color w:val="000000"/>
                <w:sz w:val="24"/>
              </w:rPr>
              <w:t>日</w:t>
            </w:r>
          </w:p>
        </w:tc>
      </w:tr>
    </w:tbl>
    <w:p>
      <w:pPr>
        <w:pStyle w:val="3"/>
        <w:tabs>
          <w:tab w:val="left" w:pos="1080"/>
        </w:tabs>
        <w:spacing w:after="62" w:afterLines="20" w:line="360" w:lineRule="auto"/>
        <w:ind w:left="420" w:firstLine="564" w:firstLineChars="235"/>
        <w:rPr>
          <w:rFonts w:hint="eastAsia" w:ascii="宋体" w:hAnsi="宋体"/>
          <w:sz w:val="24"/>
          <w:szCs w:val="24"/>
        </w:rPr>
      </w:pPr>
    </w:p>
    <w:sectPr>
      <w:pgSz w:w="11906" w:h="16838"/>
      <w:pgMar w:top="109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5C"/>
    <w:rsid w:val="000D6980"/>
    <w:rsid w:val="000E4F34"/>
    <w:rsid w:val="000F180E"/>
    <w:rsid w:val="001407BC"/>
    <w:rsid w:val="001A3B9C"/>
    <w:rsid w:val="001D219D"/>
    <w:rsid w:val="002430DC"/>
    <w:rsid w:val="002B181C"/>
    <w:rsid w:val="002B6616"/>
    <w:rsid w:val="0036084C"/>
    <w:rsid w:val="00495769"/>
    <w:rsid w:val="005B1F51"/>
    <w:rsid w:val="0065067F"/>
    <w:rsid w:val="007549BF"/>
    <w:rsid w:val="00757251"/>
    <w:rsid w:val="007614E8"/>
    <w:rsid w:val="007709F0"/>
    <w:rsid w:val="00826AF9"/>
    <w:rsid w:val="009365CC"/>
    <w:rsid w:val="00977968"/>
    <w:rsid w:val="009A3CA7"/>
    <w:rsid w:val="00A6138D"/>
    <w:rsid w:val="00B26A67"/>
    <w:rsid w:val="00B71817"/>
    <w:rsid w:val="00C44B39"/>
    <w:rsid w:val="00C707D9"/>
    <w:rsid w:val="00CC148C"/>
    <w:rsid w:val="00DE457C"/>
    <w:rsid w:val="00E43080"/>
    <w:rsid w:val="00E55859"/>
    <w:rsid w:val="00EB7226"/>
    <w:rsid w:val="00EF765C"/>
    <w:rsid w:val="00FC1FDE"/>
    <w:rsid w:val="217E5202"/>
    <w:rsid w:val="369914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等线" w:hAnsi="等线" w:eastAsia="等线" w:cs="Times New Roman"/>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Body Text Indent"/>
    <w:basedOn w:val="1"/>
    <w:uiPriority w:val="0"/>
    <w:pPr>
      <w:spacing w:after="120"/>
      <w:ind w:leftChars="200"/>
    </w:pPr>
    <w:rPr>
      <w:szCs w:val="20"/>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rPr>
      <w:rFonts w:ascii="等线" w:hAnsi="等线" w:eastAsia="等线" w:cs="Times New Roman"/>
      <w:szCs w:val="22"/>
    </w:rPr>
  </w:style>
  <w:style w:type="character" w:customStyle="1" w:styleId="9">
    <w:name w:val="页眉 Char"/>
    <w:link w:val="5"/>
    <w:uiPriority w:val="0"/>
    <w:rPr>
      <w:kern w:val="2"/>
      <w:sz w:val="18"/>
      <w:szCs w:val="18"/>
    </w:rPr>
  </w:style>
  <w:style w:type="character" w:customStyle="1" w:styleId="10">
    <w:name w:val="页脚 Char"/>
    <w:link w:val="4"/>
    <w:uiPriority w:val="0"/>
    <w:rPr>
      <w:kern w:val="2"/>
      <w:sz w:val="18"/>
      <w:szCs w:val="18"/>
    </w:rPr>
  </w:style>
  <w:style w:type="character" w:customStyle="1" w:styleId="11">
    <w:name w:val="标题 1 Char"/>
    <w:link w:val="2"/>
    <w:uiPriority w:val="9"/>
    <w:rPr>
      <w:rFonts w:ascii="等线" w:hAnsi="等线" w:eastAsia="等线"/>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NERV</Company>
  <Pages>4</Pages>
  <Words>335</Words>
  <Characters>1912</Characters>
  <Lines>15</Lines>
  <Paragraphs>4</Paragraphs>
  <TotalTime>4</TotalTime>
  <ScaleCrop>false</ScaleCrop>
  <LinksUpToDate>false</LinksUpToDate>
  <CharactersWithSpaces>2243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2012-07-18T09:34:00Z</dcterms:created>
  <dc:creator>fx</dc:creator>
  <cp:lastModifiedBy>Super Zero</cp:lastModifiedBy>
  <cp:lastPrinted>2012-07-18T09:31:00Z</cp:lastPrinted>
  <dcterms:modified xsi:type="dcterms:W3CDTF">2021-01-21T07:35:47Z</dcterms:modified>
  <dc:title>证券代码：300003                                  证券简称：乐普医疗</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