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证券代码：000988　                                证券简称：华工科技 </w:t>
      </w:r>
    </w:p>
    <w:p>
      <w:pPr>
        <w:spacing w:line="360" w:lineRule="auto"/>
        <w:jc w:val="center"/>
        <w:rPr>
          <w:rFonts w:ascii="黑体" w:eastAsia="黑体"/>
          <w:b/>
          <w:sz w:val="32"/>
          <w:szCs w:val="32"/>
        </w:rPr>
      </w:pPr>
      <w:r>
        <w:rPr>
          <w:rFonts w:hint="eastAsia" w:ascii="黑体" w:eastAsia="黑体"/>
          <w:b/>
          <w:sz w:val="32"/>
          <w:szCs w:val="32"/>
        </w:rPr>
        <w:t>华工科技产业股份有限公司</w:t>
      </w:r>
    </w:p>
    <w:p>
      <w:pPr>
        <w:spacing w:before="156" w:beforeLines="50" w:after="156" w:afterLines="50" w:line="400" w:lineRule="exact"/>
        <w:jc w:val="center"/>
        <w:rPr>
          <w:rFonts w:ascii="黑体" w:hAnsi="黑体" w:eastAsia="黑体"/>
          <w:b/>
          <w:bCs/>
          <w:iCs/>
          <w:color w:val="000000"/>
          <w:sz w:val="32"/>
          <w:szCs w:val="32"/>
        </w:rPr>
      </w:pPr>
      <w:r>
        <w:rPr>
          <w:rFonts w:hint="eastAsia" w:ascii="黑体" w:hAnsi="黑体" w:eastAsia="黑体"/>
          <w:b/>
          <w:bCs/>
          <w:iCs/>
          <w:color w:val="000000"/>
          <w:sz w:val="32"/>
          <w:szCs w:val="32"/>
        </w:rPr>
        <w:t>投资者关系活动记录表</w:t>
      </w:r>
    </w:p>
    <w:p>
      <w:pPr>
        <w:spacing w:line="400" w:lineRule="exac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编号：2021-0</w:t>
      </w:r>
      <w:r>
        <w:rPr>
          <w:rFonts w:asciiTheme="minorEastAsia" w:hAnsiTheme="minorEastAsia" w:eastAsiaTheme="minorEastAsia"/>
          <w:bCs/>
          <w:iCs/>
          <w:color w:val="000000"/>
          <w:sz w:val="24"/>
        </w:rPr>
        <w:t>3</w:t>
      </w:r>
      <w:r>
        <w:rPr>
          <w:rFonts w:hint="eastAsia" w:asciiTheme="minorEastAsia" w:hAnsiTheme="minorEastAsia" w:eastAsiaTheme="minorEastAsia"/>
          <w:bCs/>
          <w:iCs/>
          <w:color w:val="000000"/>
          <w:sz w:val="24"/>
        </w:rPr>
        <w:t xml:space="preserve">                                          日期：1月</w:t>
      </w:r>
      <w:r>
        <w:rPr>
          <w:rFonts w:asciiTheme="minorEastAsia" w:hAnsiTheme="minorEastAsia" w:eastAsiaTheme="minorEastAsia"/>
          <w:bCs/>
          <w:iCs/>
          <w:color w:val="000000"/>
          <w:sz w:val="24"/>
        </w:rPr>
        <w:t>25</w:t>
      </w:r>
      <w:r>
        <w:rPr>
          <w:rFonts w:hint="eastAsia" w:asciiTheme="minorEastAsia" w:hAnsiTheme="minorEastAsia" w:eastAsiaTheme="minorEastAsia"/>
          <w:bCs/>
          <w:iCs/>
          <w:color w:val="000000"/>
          <w:sz w:val="24"/>
        </w:rPr>
        <w:t xml:space="preserve">日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投资者关系活动类别</w:t>
            </w:r>
          </w:p>
          <w:p>
            <w:pPr>
              <w:spacing w:line="360" w:lineRule="auto"/>
              <w:rPr>
                <w:rFonts w:ascii="宋体" w:hAnsi="宋体" w:eastAsia="宋体" w:cs="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 w:val="24"/>
              </w:rPr>
            </w:pPr>
            <w:r>
              <w:rPr>
                <w:rFonts w:hint="eastAsia" w:ascii="宋体" w:hAnsi="宋体" w:eastAsia="宋体" w:cs="宋体"/>
                <w:bCs/>
                <w:iCs/>
                <w:color w:val="000000"/>
                <w:sz w:val="24"/>
              </w:rPr>
              <w:sym w:font="Wingdings 2" w:char="0052"/>
            </w:r>
            <w:r>
              <w:rPr>
                <w:rFonts w:hint="eastAsia" w:ascii="宋体" w:hAnsi="宋体" w:eastAsia="宋体" w:cs="宋体"/>
                <w:sz w:val="24"/>
              </w:rPr>
              <w:t xml:space="preserve">特定对象调研       </w:t>
            </w:r>
            <w:r>
              <w:rPr>
                <w:rFonts w:hint="eastAsia" w:ascii="宋体" w:hAnsi="宋体" w:eastAsia="宋体" w:cs="宋体"/>
                <w:bCs/>
                <w:iCs/>
                <w:color w:val="000000"/>
                <w:sz w:val="24"/>
              </w:rPr>
              <w:t>□</w:t>
            </w:r>
            <w:r>
              <w:rPr>
                <w:rFonts w:hint="eastAsia" w:ascii="宋体" w:hAnsi="宋体" w:eastAsia="宋体" w:cs="宋体"/>
                <w:sz w:val="24"/>
              </w:rPr>
              <w:t>分析师会议</w:t>
            </w:r>
            <w:r>
              <w:rPr>
                <w:rFonts w:hint="eastAsia" w:ascii="宋体" w:hAnsi="宋体" w:eastAsia="宋体" w:cs="宋体"/>
                <w:bCs/>
                <w:iCs/>
                <w:color w:val="000000"/>
                <w:sz w:val="24"/>
              </w:rPr>
              <w:t xml:space="preserve">        □</w:t>
            </w:r>
            <w:r>
              <w:rPr>
                <w:rFonts w:hint="eastAsia" w:ascii="宋体" w:hAnsi="宋体" w:eastAsia="宋体" w:cs="宋体"/>
                <w:sz w:val="24"/>
              </w:rPr>
              <w:t>媒体采访</w:t>
            </w:r>
          </w:p>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sym w:font="Wingdings 2" w:char="00A3"/>
            </w:r>
            <w:r>
              <w:rPr>
                <w:rFonts w:hint="eastAsia" w:ascii="宋体" w:hAnsi="宋体" w:eastAsia="宋体" w:cs="宋体"/>
                <w:sz w:val="24"/>
              </w:rPr>
              <w:t>业绩说明会</w:t>
            </w:r>
            <w:r>
              <w:rPr>
                <w:rFonts w:hint="eastAsia" w:ascii="宋体" w:hAnsi="宋体" w:eastAsia="宋体" w:cs="宋体"/>
                <w:bCs/>
                <w:iCs/>
                <w:color w:val="000000"/>
                <w:sz w:val="24"/>
              </w:rPr>
              <w:t xml:space="preserve">        □</w:t>
            </w:r>
            <w:r>
              <w:rPr>
                <w:rFonts w:hint="eastAsia" w:ascii="宋体" w:hAnsi="宋体" w:eastAsia="宋体" w:cs="宋体"/>
                <w:sz w:val="24"/>
              </w:rPr>
              <w:t xml:space="preserve">新闻发布会        </w:t>
            </w:r>
            <w:r>
              <w:rPr>
                <w:rFonts w:hint="eastAsia" w:ascii="宋体" w:hAnsi="宋体" w:eastAsia="宋体" w:cs="宋体"/>
                <w:bCs/>
                <w:iCs/>
                <w:color w:val="000000"/>
                <w:sz w:val="24"/>
              </w:rPr>
              <w:t>□</w:t>
            </w:r>
            <w:r>
              <w:rPr>
                <w:rFonts w:hint="eastAsia" w:ascii="宋体" w:hAnsi="宋体" w:eastAsia="宋体" w:cs="宋体"/>
                <w:sz w:val="24"/>
              </w:rPr>
              <w:t>路演活动</w:t>
            </w:r>
          </w:p>
          <w:p>
            <w:pPr>
              <w:tabs>
                <w:tab w:val="left" w:pos="3045"/>
                <w:tab w:val="center" w:pos="3199"/>
              </w:tabs>
              <w:spacing w:line="360" w:lineRule="auto"/>
              <w:rPr>
                <w:rFonts w:ascii="宋体" w:hAnsi="宋体" w:eastAsia="宋体" w:cs="宋体"/>
                <w:bCs/>
                <w:iCs/>
                <w:color w:val="000000"/>
                <w:sz w:val="24"/>
              </w:rPr>
            </w:pPr>
            <w:r>
              <w:rPr>
                <w:rFonts w:hint="eastAsia" w:ascii="宋体" w:hAnsi="宋体" w:eastAsia="宋体" w:cs="宋体"/>
                <w:bCs/>
                <w:iCs/>
                <w:color w:val="000000"/>
                <w:sz w:val="24"/>
              </w:rPr>
              <w:t>□</w:t>
            </w:r>
            <w:r>
              <w:rPr>
                <w:rFonts w:hint="eastAsia" w:ascii="宋体" w:hAnsi="宋体" w:eastAsia="宋体" w:cs="宋体"/>
                <w:sz w:val="24"/>
              </w:rPr>
              <w:t>现场参观</w:t>
            </w:r>
            <w:r>
              <w:rPr>
                <w:rFonts w:hint="eastAsia" w:ascii="宋体" w:hAnsi="宋体" w:eastAsia="宋体" w:cs="宋体"/>
                <w:bCs/>
                <w:iCs/>
                <w:color w:val="000000"/>
                <w:sz w:val="24"/>
              </w:rPr>
              <w:t xml:space="preserve">           □</w:t>
            </w:r>
            <w:r>
              <w:rPr>
                <w:rFonts w:hint="eastAsia" w:ascii="宋体" w:hAnsi="宋体" w:eastAsia="宋体" w:cs="宋体"/>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pStyle w:val="14"/>
              <w:numPr>
                <w:ilvl w:val="0"/>
                <w:numId w:val="1"/>
              </w:numPr>
              <w:spacing w:line="360" w:lineRule="auto"/>
              <w:ind w:firstLineChars="0"/>
              <w:rPr>
                <w:rFonts w:ascii="宋体" w:hAnsi="宋体" w:eastAsia="宋体" w:cs="宋体"/>
                <w:bCs/>
                <w:iCs/>
                <w:color w:val="000000"/>
                <w:sz w:val="24"/>
              </w:rPr>
            </w:pPr>
            <w:r>
              <w:rPr>
                <w:rFonts w:hint="eastAsia" w:ascii="宋体" w:hAnsi="宋体" w:eastAsia="宋体" w:cs="宋体"/>
                <w:bCs/>
                <w:iCs/>
                <w:color w:val="000000"/>
                <w:sz w:val="24"/>
                <w:lang w:val="en-US" w:eastAsia="zh-CN"/>
              </w:rPr>
              <w:t>海通证券 朱劲松 余伟民</w:t>
            </w:r>
          </w:p>
          <w:p>
            <w:pPr>
              <w:pStyle w:val="14"/>
              <w:numPr>
                <w:ilvl w:val="0"/>
                <w:numId w:val="1"/>
              </w:numPr>
              <w:spacing w:line="360" w:lineRule="auto"/>
              <w:ind w:firstLineChars="0"/>
              <w:rPr>
                <w:rFonts w:ascii="宋体" w:hAnsi="宋体" w:eastAsia="宋体" w:cs="宋体"/>
                <w:bCs/>
                <w:iCs/>
                <w:color w:val="000000"/>
                <w:sz w:val="24"/>
              </w:rPr>
            </w:pPr>
            <w:r>
              <w:rPr>
                <w:rFonts w:hint="eastAsia" w:ascii="宋体" w:hAnsi="宋体" w:eastAsia="宋体" w:cs="宋体"/>
                <w:bCs/>
                <w:iCs/>
                <w:color w:val="000000"/>
                <w:sz w:val="24"/>
              </w:rPr>
              <w:t>申万菱信基金管理有限公司 熊哲颖</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源乘投资 曾尚</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华夏基金管理有限公司 胡斌</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华泰证券股份有限公司 蒋宏民</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创金合信基金管理有限公司 李晗</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东方基金管理股份有限公司 何舒阳</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九泰基金管理有限公司 王义</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申万宏源证券有限公司 武斌</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华泰自营 李艳光</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东海证券股份有限公司 施鹏飞</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太平资产管理有限公司 陈晓华</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华宝信托有限责任公司 顾宝成</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华泰自营 赵宇</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建信保险资产管理有限公司 汪质彬</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华福证券自营 章锋</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上海晟盟资产管理有限公司 吴佩伦</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农银汇理基金管理有限公司 张亚楠</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中欧基金管理有限公司 许文星</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名禹资产 王友红</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国海富兰克林基金管理有限公司 郑磊</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长信基金管理有限责任公司 何增华</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中天证券股份有限公司 王帅</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中天证券股份有限公司 刘大海</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天堂硅谷资产管理集团 郭瑞</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华商基金管理有限公司 常宁</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Nomura</w:t>
            </w:r>
            <w:r>
              <w:rPr>
                <w:rFonts w:ascii="宋体" w:hAnsi="宋体" w:eastAsia="宋体" w:cs="宋体"/>
                <w:bCs/>
                <w:iCs/>
                <w:color w:val="000000"/>
                <w:sz w:val="24"/>
              </w:rPr>
              <w:t xml:space="preserve"> </w:t>
            </w:r>
            <w:r>
              <w:rPr>
                <w:rFonts w:hint="eastAsia" w:ascii="宋体" w:hAnsi="宋体" w:eastAsia="宋体" w:cs="宋体"/>
                <w:bCs/>
                <w:iCs/>
                <w:color w:val="000000"/>
                <w:sz w:val="24"/>
              </w:rPr>
              <w:t>许炜</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东吴人寿保险股份有限公司 吴琳娜</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中银国际资管 张岩松</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财通基金管理有限公司 苏绍许</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PowerPacificCoporationLimited</w:t>
            </w:r>
            <w:r>
              <w:rPr>
                <w:rFonts w:ascii="宋体" w:hAnsi="宋体" w:eastAsia="宋体" w:cs="宋体"/>
                <w:bCs/>
                <w:iCs/>
                <w:color w:val="000000"/>
                <w:sz w:val="24"/>
              </w:rPr>
              <w:t xml:space="preserve"> JonathanZhou</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中科沃土基金管理有限公司 彭上</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和泰人寿保险股份有限公司 王志广</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泓德投资管理有限公司 朱裕君</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宝盈基金管理有限公司 容志能</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兴业基金管理有限公司 陈旭</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恒远资本 范世军</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ChinaPacificInsurance(Group)Co.,Ltd</w:t>
            </w:r>
            <w:r>
              <w:rPr>
                <w:rFonts w:ascii="宋体" w:hAnsi="宋体" w:eastAsia="宋体" w:cs="宋体"/>
                <w:bCs/>
                <w:iCs/>
                <w:color w:val="000000"/>
                <w:sz w:val="24"/>
              </w:rPr>
              <w:t xml:space="preserve"> WangNan</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海富通基金管理有限公司 朱光灵</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财通证券股份有限公司 赵月亮</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上海景熙资产管理有限公司 邓二勇</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MHCapital</w:t>
            </w:r>
            <w:r>
              <w:rPr>
                <w:rFonts w:ascii="宋体" w:hAnsi="宋体" w:eastAsia="宋体" w:cs="宋体"/>
                <w:bCs/>
                <w:iCs/>
                <w:color w:val="000000"/>
                <w:sz w:val="24"/>
              </w:rPr>
              <w:t xml:space="preserve"> </w:t>
            </w:r>
            <w:r>
              <w:rPr>
                <w:rFonts w:hint="eastAsia" w:ascii="宋体" w:hAnsi="宋体" w:eastAsia="宋体" w:cs="宋体"/>
                <w:bCs/>
                <w:iCs/>
                <w:color w:val="000000"/>
                <w:sz w:val="24"/>
              </w:rPr>
              <w:t>伍伯宏</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上海师正投资管理有限公司 文洲</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浙江益恒投资 徐冠华</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rPr>
              <w:t>东海基金管理有限责任公司 陆广军</w:t>
            </w:r>
          </w:p>
          <w:p>
            <w:pPr>
              <w:pStyle w:val="14"/>
              <w:numPr>
                <w:ilvl w:val="0"/>
                <w:numId w:val="1"/>
              </w:numPr>
              <w:spacing w:line="360" w:lineRule="auto"/>
              <w:ind w:firstLineChars="0"/>
              <w:rPr>
                <w:rFonts w:ascii="宋体" w:hAnsi="宋体" w:eastAsia="宋体" w:cs="宋体"/>
                <w:bCs/>
                <w:iCs/>
                <w:kern w:val="0"/>
                <w:sz w:val="24"/>
              </w:rPr>
            </w:pPr>
            <w:r>
              <w:rPr>
                <w:rFonts w:hint="eastAsia" w:ascii="宋体" w:hAnsi="宋体" w:eastAsia="宋体" w:cs="宋体"/>
                <w:bCs/>
                <w:iCs/>
                <w:color w:val="000000"/>
                <w:sz w:val="24"/>
                <w:lang w:val="en-US" w:eastAsia="zh-CN"/>
              </w:rPr>
              <w:t>麦格理资本 宗燦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2021年1月</w:t>
            </w:r>
            <w:r>
              <w:rPr>
                <w:rFonts w:ascii="宋体" w:hAnsi="宋体" w:eastAsia="宋体" w:cs="宋体"/>
                <w:bCs/>
                <w:iCs/>
                <w:color w:val="000000"/>
                <w:sz w:val="24"/>
              </w:rPr>
              <w:t>25</w:t>
            </w:r>
            <w:r>
              <w:rPr>
                <w:rFonts w:hint="eastAsia" w:ascii="宋体" w:hAnsi="宋体" w:eastAsia="宋体" w:cs="宋体"/>
                <w:bCs/>
                <w:iCs/>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kern w:val="0"/>
                <w:sz w:val="24"/>
              </w:rPr>
              <w:t>公司二楼会议室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numPr>
                <w:ilvl w:val="0"/>
                <w:numId w:val="2"/>
              </w:numPr>
              <w:spacing w:line="360" w:lineRule="auto"/>
              <w:rPr>
                <w:rFonts w:ascii="宋体" w:hAnsi="宋体" w:eastAsia="宋体" w:cs="宋体"/>
                <w:bCs/>
                <w:iCs/>
                <w:color w:val="000000"/>
                <w:sz w:val="24"/>
              </w:rPr>
            </w:pPr>
            <w:r>
              <w:rPr>
                <w:rFonts w:hint="eastAsia" w:ascii="宋体" w:hAnsi="宋体" w:eastAsia="宋体" w:cs="宋体"/>
                <w:bCs/>
                <w:iCs/>
                <w:color w:val="000000"/>
                <w:sz w:val="24"/>
              </w:rPr>
              <w:t>华工科技 董事/副总经理/财务总监/董秘：刘含树</w:t>
            </w:r>
          </w:p>
          <w:p>
            <w:pPr>
              <w:numPr>
                <w:ilvl w:val="0"/>
                <w:numId w:val="2"/>
              </w:numPr>
              <w:spacing w:line="360" w:lineRule="auto"/>
              <w:rPr>
                <w:rFonts w:ascii="宋体" w:hAnsi="宋体" w:eastAsia="宋体" w:cs="宋体"/>
                <w:bCs/>
                <w:iCs/>
                <w:color w:val="000000"/>
                <w:sz w:val="24"/>
              </w:rPr>
            </w:pPr>
            <w:r>
              <w:rPr>
                <w:rFonts w:hint="eastAsia" w:ascii="宋体" w:hAnsi="宋体" w:eastAsia="宋体" w:cs="宋体"/>
                <w:bCs/>
                <w:iCs/>
                <w:color w:val="000000"/>
                <w:sz w:val="24"/>
              </w:rPr>
              <w:t>能量激光板块 总经理：邓家科</w:t>
            </w:r>
          </w:p>
          <w:p>
            <w:pPr>
              <w:numPr>
                <w:ilvl w:val="0"/>
                <w:numId w:val="2"/>
              </w:numPr>
              <w:spacing w:line="360" w:lineRule="auto"/>
              <w:rPr>
                <w:rFonts w:ascii="宋体" w:hAnsi="宋体" w:eastAsia="宋体" w:cs="宋体"/>
                <w:bCs/>
                <w:iCs/>
                <w:color w:val="000000"/>
                <w:sz w:val="24"/>
              </w:rPr>
            </w:pPr>
            <w:r>
              <w:rPr>
                <w:rFonts w:hint="eastAsia" w:ascii="宋体" w:hAnsi="宋体" w:eastAsia="宋体" w:cs="宋体"/>
                <w:bCs/>
                <w:iCs/>
                <w:color w:val="000000"/>
                <w:sz w:val="24"/>
              </w:rPr>
              <w:t>华工科技 投资总监</w:t>
            </w:r>
            <w:r>
              <w:rPr>
                <w:rFonts w:hint="eastAsia" w:ascii="宋体" w:hAnsi="宋体" w:eastAsia="宋体" w:cs="宋体"/>
                <w:bCs/>
                <w:iCs/>
                <w:sz w:val="24"/>
              </w:rPr>
              <w:t>/董办主任</w:t>
            </w:r>
            <w:r>
              <w:rPr>
                <w:rFonts w:hint="eastAsia" w:ascii="宋体" w:hAnsi="宋体" w:eastAsia="宋体" w:cs="宋体"/>
                <w:bCs/>
                <w:iCs/>
                <w:color w:val="000000"/>
                <w:sz w:val="24"/>
              </w:rPr>
              <w:t>：朱建锋</w:t>
            </w:r>
          </w:p>
          <w:p>
            <w:pPr>
              <w:numPr>
                <w:ilvl w:val="0"/>
                <w:numId w:val="2"/>
              </w:numPr>
              <w:spacing w:line="360" w:lineRule="auto"/>
              <w:rPr>
                <w:rFonts w:ascii="宋体" w:hAnsi="宋体" w:eastAsia="宋体" w:cs="宋体"/>
                <w:bCs/>
                <w:iCs/>
                <w:color w:val="000000"/>
                <w:sz w:val="24"/>
              </w:rPr>
            </w:pPr>
            <w:r>
              <w:rPr>
                <w:rFonts w:hint="eastAsia" w:ascii="宋体" w:hAnsi="宋体" w:eastAsia="宋体" w:cs="宋体"/>
                <w:bCs/>
                <w:iCs/>
                <w:color w:val="000000"/>
                <w:sz w:val="24"/>
              </w:rPr>
              <w:t>华工科技 证券事务代表：姚永川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投资者关系活动主要内容介绍</w:t>
            </w:r>
          </w:p>
          <w:p>
            <w:pPr>
              <w:spacing w:line="360" w:lineRule="auto"/>
              <w:rPr>
                <w:rFonts w:ascii="宋体" w:hAnsi="宋体" w:eastAsia="宋体" w:cs="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宋体" w:hAnsi="宋体" w:eastAsia="宋体" w:cs="宋体"/>
                <w:b/>
                <w:bCs/>
                <w:iCs/>
                <w:color w:val="000000"/>
                <w:sz w:val="24"/>
              </w:rPr>
            </w:pPr>
            <w:r>
              <w:rPr>
                <w:rFonts w:hint="eastAsia" w:ascii="宋体" w:hAnsi="宋体" w:eastAsia="宋体" w:cs="宋体"/>
                <w:bCs/>
                <w:iCs/>
                <w:color w:val="000000"/>
                <w:sz w:val="24"/>
              </w:rPr>
              <w:t>接待过程中，公司接待人员严格按照有关制度规定，没有出现未公开重大信息泄露等情况。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08" w:type="dxa"/>
            <w:tcBorders>
              <w:top w:val="single" w:color="auto" w:sz="4" w:space="0"/>
              <w:left w:val="single" w:color="auto" w:sz="4" w:space="0"/>
              <w:right w:val="single" w:color="auto" w:sz="4" w:space="0"/>
            </w:tcBorders>
            <w:vAlign w:val="center"/>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附件清单（如有）</w:t>
            </w:r>
          </w:p>
        </w:tc>
        <w:tc>
          <w:tcPr>
            <w:tcW w:w="6614" w:type="dxa"/>
            <w:tcBorders>
              <w:top w:val="single" w:color="auto" w:sz="4" w:space="0"/>
              <w:left w:val="single" w:color="auto" w:sz="4" w:space="0"/>
              <w:right w:val="single" w:color="auto" w:sz="4" w:space="0"/>
            </w:tcBorders>
          </w:tcPr>
          <w:p>
            <w:pPr>
              <w:spacing w:line="360" w:lineRule="auto"/>
              <w:rPr>
                <w:rFonts w:ascii="宋体" w:hAnsi="宋体" w:eastAsia="宋体" w:cs="宋体"/>
                <w:bCs/>
                <w:iCs/>
                <w:color w:val="000000"/>
                <w:sz w:val="24"/>
              </w:rPr>
            </w:pPr>
            <w:r>
              <w:rPr>
                <w:rFonts w:hint="eastAsia" w:ascii="宋体" w:hAnsi="宋体" w:eastAsia="宋体" w:cs="宋体"/>
                <w:bCs/>
                <w:iCs/>
                <w:color w:val="000000"/>
                <w:sz w:val="24"/>
              </w:rPr>
              <w:t>调研活动安排</w:t>
            </w:r>
          </w:p>
        </w:tc>
      </w:tr>
    </w:tbl>
    <w:p>
      <w:pPr>
        <w:spacing w:line="360" w:lineRule="auto"/>
        <w:rPr>
          <w:rFonts w:ascii="黑体" w:hAnsi="黑体" w:eastAsia="黑体" w:cs="宋体"/>
          <w:color w:val="000000"/>
          <w:sz w:val="32"/>
          <w:shd w:val="clear" w:color="auto" w:fill="FFFFFF"/>
        </w:rPr>
      </w:pPr>
    </w:p>
    <w:p>
      <w:pPr>
        <w:spacing w:line="360" w:lineRule="auto"/>
        <w:rPr>
          <w:rFonts w:ascii="黑体" w:hAnsi="黑体" w:eastAsia="黑体" w:cs="宋体"/>
          <w:color w:val="000000"/>
          <w:sz w:val="32"/>
          <w:shd w:val="clear" w:color="auto" w:fill="FFFFFF"/>
        </w:rPr>
        <w:sectPr>
          <w:pgSz w:w="11906" w:h="16838"/>
          <w:pgMar w:top="1440" w:right="1800" w:bottom="1440" w:left="1800" w:header="851" w:footer="992" w:gutter="0"/>
          <w:cols w:space="425" w:num="1"/>
          <w:docGrid w:type="lines" w:linePitch="312" w:charSpace="0"/>
        </w:sectPr>
      </w:pPr>
    </w:p>
    <w:p>
      <w:pPr>
        <w:spacing w:line="360" w:lineRule="auto"/>
        <w:rPr>
          <w:rFonts w:ascii="黑体" w:hAnsi="黑体" w:eastAsia="黑体" w:cs="宋体"/>
          <w:color w:val="000000"/>
          <w:sz w:val="32"/>
          <w:shd w:val="clear" w:color="auto" w:fill="FFFFFF"/>
        </w:rPr>
      </w:pPr>
      <w:r>
        <w:rPr>
          <w:rFonts w:hint="eastAsia" w:ascii="黑体" w:hAnsi="黑体" w:eastAsia="黑体" w:cs="宋体"/>
          <w:color w:val="000000"/>
          <w:sz w:val="32"/>
          <w:shd w:val="clear" w:color="auto" w:fill="FFFFFF"/>
        </w:rPr>
        <w:t>附件</w:t>
      </w:r>
    </w:p>
    <w:p>
      <w:pPr>
        <w:pStyle w:val="3"/>
        <w:spacing w:line="360" w:lineRule="auto"/>
      </w:pPr>
      <w:r>
        <w:rPr>
          <w:rFonts w:hint="eastAsia"/>
        </w:rPr>
        <w:t>　　　</w:t>
      </w:r>
      <w:r>
        <w:rPr>
          <w:rFonts w:hint="eastAsia" w:cs="宋体" w:asciiTheme="minorEastAsia" w:hAnsiTheme="minorEastAsia" w:eastAsiaTheme="minorEastAsia"/>
          <w:b/>
          <w:color w:val="000000"/>
          <w:sz w:val="24"/>
          <w:szCs w:val="16"/>
          <w:shd w:val="clear" w:color="auto" w:fill="FFFFFF"/>
        </w:rPr>
        <w:t>一、公司投资总监/董办主任朱建锋先生向大家介绍了华工科技的基本情况。</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华工科技产业股份有限公司1999年成立于“中国光谷”腹地，2000年在深圳交易所上市，是集“研发、生产、销售、服务”为一体的高科技企业集团，2015年评定为国家级创新型企业。成立以来，公司坚持“以激光技术及其应用”为主业，投资发展传感器产业。经过多年的技术、产品积淀，形成了以激光加工技术为重要支撑的智能制造装备业务、以信息通信技术为重要支撑的光联接、无线联接业务，以敏感电子技术为重要支撑的传感器业务格局，聚焦工业基础装备、数字经济基础设施、智能制造、智慧家庭、新能源等赛道，开展多层次开放式创新，推动构建全连接、全感知、全智能世界。</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华工科技以“激光技术及其应用为主业”，涵盖能量激光、信息激光和传感器三大</w:t>
      </w:r>
      <w:r>
        <w:rPr>
          <w:rFonts w:hint="eastAsia" w:ascii="宋体" w:hAnsi="宋体" w:eastAsia="宋体" w:cs="宋体"/>
          <w:color w:val="000000"/>
          <w:sz w:val="24"/>
          <w:shd w:val="clear" w:color="auto" w:fill="FFFFFF"/>
          <w:lang w:val="en-US" w:eastAsia="zh-CN"/>
        </w:rPr>
        <w:t>业务</w:t>
      </w:r>
      <w:r>
        <w:rPr>
          <w:rFonts w:hint="eastAsia" w:ascii="宋体" w:hAnsi="宋体" w:eastAsia="宋体" w:cs="宋体"/>
          <w:color w:val="000000"/>
          <w:sz w:val="24"/>
          <w:shd w:val="clear" w:color="auto" w:fill="FFFFFF"/>
        </w:rPr>
        <w:t>领域。</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在能量激光领域 ：公司致力于为工业制造领域提供广泛而完整的激光制造加工解决方案，发挥工业激光领域的领先地位和全产业链优势，全面布局激光智能装备、自动化和智能制造。是中国最大的激光设备及等离子切割设备制造商之一，国家重点高新技术企业、国际标准制定参与单位、国家标准制定的牵头组织和承担单位。</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在信息激光领域 ：公司拥有业界先进的端到端产品线和整体解决方案，致力于成为国际一流光电企业，服务全球顶级通信设备和数据应用商，智能终端业务立争打造个人、家庭智能融合通信终端的世界级企业。公司具备从芯片到器件、模块、子系统全系列产品的垂直整合能力，产品包括有源光器件、智能终端、无源光器件、光学零部件等，产品现已广泛应用于等重要领域，市场占有率处于行业领先地位。</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在传感器领域 ：公司致力于物联网用新型传感器的研发及产业化，传感器产品涵盖NTC、PTC和汽车电子系列传感器、控制器、加热器，产品广泛应用于家电、汽车、OA、医疗、消费类电子、航空航天等领域，自主掌握芯片制造和封装工艺的核心技术，是全国最大的高精度温度传感器制造商。</w:t>
      </w: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现阶段，公司以及控股股东落实关于高校所属企业体制改革相关政策文件的要求进行校企改制，改革启动以来，资本市场给予了高度关注。此次改制，采用了市场化公开征集受让方方式实施，并确定了公开征集受让条件。经评审委员会根据公开征集流程及征集受让方案的的评审，最终确定了国恒基金为受让方。目前，公司控股股东产业集团与国恒基金于2020年12月24日签署了附生效条件的《股份转让协议》，改革进入实质性阶段。改革完成后，华工科技将持续释放发展动能，贯彻“价值为纲、创新至上、高效运营、资本协同”的战略主轴，实现规模和利润的跨越式增长。</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公司的核心竞争力：一是全产业链布局，具备与国际同行竞争的实力。公司是行业内少有的具备“芯片-器件-系统-解决方案”全产业链布局的企业，已初步形成“上游增强下游，下游反哺上游”的良好局面，主要产品依托优良的性价比、突出的定制能力、全天候的服务响应、高效的交付保障，市场占有率逐年提升，位居国内行业前列，具备与国际一流对手同台竞争的实力。</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是依托研发平台建设，推动产业链价值提升。公司坚持发展高端制造、服务型制造，每年将不少于收入的5%投入研发，拥有20000多平米的研发、中试基地，在海外设有研发中心，与华中科技大学共建有激光加工国家工程研究中心、国家防伪工程研究中心、敏感陶瓷研究</w:t>
      </w:r>
      <w:r>
        <w:rPr>
          <w:rFonts w:hint="eastAsia" w:asciiTheme="minorEastAsia" w:hAnsiTheme="minorEastAsia" w:eastAsiaTheme="minorEastAsia"/>
          <w:sz w:val="24"/>
          <w:lang w:val="en-US" w:eastAsia="zh-CN"/>
        </w:rPr>
        <w:t>中心</w:t>
      </w:r>
      <w:r>
        <w:rPr>
          <w:rFonts w:hint="eastAsia" w:asciiTheme="minorEastAsia" w:hAnsiTheme="minorEastAsia" w:eastAsiaTheme="minorEastAsia"/>
          <w:sz w:val="24"/>
        </w:rPr>
        <w:t>等研发平台，2017-2019年公司国家级企业技术中心综合实力排名位列行业第一，通过产学研用纽带，公司牵头国家“863”计划项目、国家科技支撑计划项目、十三五国家重大科技计划专项等50余项，创造了多项国内行业“第一”，获得国家科技进步奖三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是发挥人才创新驱动的引擎作用，引领公司快速可持续发展。公司秉持“企业的前途在创新，创新的关键在投入，投入的重点是人才”的理念，坚持引进培养并举，打造行业内人才高地，成为湖北省人才兴企的示范样板。通过实施“猎鹰计划”，引进海外高层次人才30余人，</w:t>
      </w:r>
      <w:r>
        <w:rPr>
          <w:rFonts w:hint="eastAsia" w:asciiTheme="minorEastAsia" w:hAnsiTheme="minorEastAsia" w:eastAsiaTheme="minorEastAsia"/>
          <w:sz w:val="24"/>
          <w:lang w:val="en-US" w:eastAsia="zh-CN"/>
        </w:rPr>
        <w:t>其中</w:t>
      </w:r>
      <w:r>
        <w:rPr>
          <w:rFonts w:hint="eastAsia" w:asciiTheme="minorEastAsia" w:hAnsiTheme="minorEastAsia" w:eastAsiaTheme="minorEastAsia"/>
          <w:sz w:val="24"/>
        </w:rPr>
        <w:t>行业领军人才10余人，通过人才链布局，华工科技人才结构实现了质和量的飞跃，研发人员占比一直保持在较高水平，对公司新产品输出和创新能力建设提供了良好保障。</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目前，公司正处于校企改制过程中。华工科技经过21年的发展，既有我们的优势也存在一些不足，主要的两个方面是：第一，决策效率不高。作为校办的国有控股上市公司，我们的决策流程、决策链条过长，较大的影响了公司的决策效率，常常导致在重大决策的过程中遗憾的错失了窗口期。</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第二，中长期激励制度的缺失。目前全国的上市公司，大多已建立了中长期的激励制度，而华工科技20多年来却一直没有激励制度的安排，公司的发展依靠的是马新强董事长所带领的团队，他们具有产业报国的理想抱负，但激励机制的缺失对公司核心骨干员工，核心技术人员的稳定有</w:t>
      </w:r>
      <w:r>
        <w:rPr>
          <w:rFonts w:hint="eastAsia" w:asciiTheme="minorEastAsia" w:hAnsiTheme="minorEastAsia" w:eastAsiaTheme="minorEastAsia"/>
          <w:sz w:val="24"/>
          <w:lang w:val="en-US" w:eastAsia="zh-CN"/>
        </w:rPr>
        <w:t>较</w:t>
      </w:r>
      <w:r>
        <w:rPr>
          <w:rFonts w:hint="eastAsia" w:asciiTheme="minorEastAsia" w:hAnsiTheme="minorEastAsia" w:eastAsiaTheme="minorEastAsia"/>
          <w:sz w:val="24"/>
        </w:rPr>
        <w:t>大隐患。</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在校企改革大背景下，高校通过市场化方式退出控制权。华工科技管理团队积极探索公司的发展之路，，希望能在解决上述</w:t>
      </w:r>
      <w:r>
        <w:rPr>
          <w:rFonts w:hint="eastAsia" w:asciiTheme="minorEastAsia" w:hAnsiTheme="minorEastAsia" w:eastAsiaTheme="minorEastAsia"/>
          <w:sz w:val="24"/>
          <w:lang w:val="en-US" w:eastAsia="zh-CN"/>
        </w:rPr>
        <w:t>不足</w:t>
      </w:r>
      <w:r>
        <w:rPr>
          <w:rFonts w:hint="eastAsia" w:asciiTheme="minorEastAsia" w:hAnsiTheme="minorEastAsia" w:eastAsiaTheme="minorEastAsia"/>
          <w:sz w:val="24"/>
        </w:rPr>
        <w:t>的同时实现企业更好的发展，此次改制既是国家改革的大势所趋，又是解决企业实际问题的重要契机。此次改制，采用了市场化公开征集受让方方式实施，并确定了公开征集受让条件。经评审委员会根据公开征集流程及征集受让方案的的评审，最终确定了国恒基金为受让方。国恒基金实际控制人武汉市国资充分尊重和认可华工团队在华工科技二十年高速发展中的引领带动作用，邀请华工科技管理团队和核心骨干员工参与国恒基金管理运作。华工团队向国恒基金、国恒管理（GP）增资入伙1.5亿元，作为国恒基金和国恒管理合伙人参与国恒基金管理运作，并作为国恒管理合伙人之一享有基金超额收益。运用基金的管理模式，创新管理机制，基金模式下设立执行委员会，具有最高决策权。执行委员会5名成员中，华工团队提名2名，在决策表决机制设计上充分尊重华工团队及其作为合伙人的意见，共同商议华工科技重要事项。进一步明晰华工科技与大股东、实际控制人之间的权责范围，明确权责清单，给予华工团队就华工科技重要事项的话语权和共同决策权。为进一步完善华工科技治理结构和管理方式，股转完成后，将维持华工科技董、监事会基本稳定，保持董、监事会人员数量和结构基本不变。华工科技高管将由华工科技董事会按市场化方式聘任，高管均为市场化身份，不作为国有派出干部管理。</w:t>
      </w:r>
    </w:p>
    <w:p>
      <w:pPr>
        <w:spacing w:line="360" w:lineRule="auto"/>
        <w:rPr>
          <w:rFonts w:asciiTheme="minorEastAsia" w:hAnsiTheme="minorEastAsia" w:eastAsiaTheme="minorEastAsia"/>
          <w:sz w:val="24"/>
        </w:rPr>
      </w:pPr>
    </w:p>
    <w:p>
      <w:pPr>
        <w:pStyle w:val="3"/>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b/>
          <w:color w:val="000000"/>
          <w:sz w:val="24"/>
          <w:szCs w:val="16"/>
          <w:shd w:val="clear" w:color="auto" w:fill="FFFFFF"/>
        </w:rPr>
        <w:t>二、下面进入提问环节</w:t>
      </w:r>
    </w:p>
    <w:p>
      <w:pPr>
        <w:pStyle w:val="3"/>
        <w:spacing w:line="360" w:lineRule="auto"/>
        <w:rPr>
          <w:rFonts w:asciiTheme="minorEastAsia" w:hAnsiTheme="minorEastAsia" w:eastAsiaTheme="minorEastAsia"/>
          <w:b/>
          <w:sz w:val="24"/>
        </w:rPr>
      </w:pPr>
      <w:r>
        <w:rPr>
          <w:rFonts w:hint="eastAsia"/>
        </w:rPr>
        <w:t>　　</w:t>
      </w:r>
      <w:r>
        <w:rPr>
          <w:rFonts w:hint="eastAsia" w:asciiTheme="minorEastAsia" w:hAnsiTheme="minorEastAsia" w:eastAsiaTheme="minorEastAsia"/>
          <w:b/>
          <w:sz w:val="24"/>
        </w:rPr>
        <w:t>提问：</w:t>
      </w:r>
      <w:r>
        <w:rPr>
          <w:rFonts w:asciiTheme="minorEastAsia" w:hAnsiTheme="minorEastAsia" w:eastAsiaTheme="minorEastAsia"/>
          <w:b/>
          <w:sz w:val="24"/>
        </w:rPr>
        <w:t>1</w:t>
      </w:r>
      <w:r>
        <w:rPr>
          <w:rFonts w:hint="eastAsia" w:asciiTheme="minorEastAsia" w:hAnsiTheme="minorEastAsia" w:eastAsiaTheme="minorEastAsia"/>
          <w:b/>
          <w:sz w:val="24"/>
        </w:rPr>
        <w:t>、公司在激光领域的未来布局？</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答复：公司与其他激光行业的企业不同，华工科技肩负着代表国家竞争力的重任，所以公司在产业布局方面与其他同行企业也有所不同，公司是围绕全产业链布局，从上游的芯片、器件到各种类型的激光器，再到装备和下游应用，我们都有比较前瞻性的考虑，目前全产业链布局已基本形成。</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公司在激光领域有两大业务板块，一是围绕消费电子的精密微纳加工，另一个就是围绕智能制造的高功率激光加工装备。未来，在精密微纳加工领域，我们围绕着脆性材料加工、无线充电、P</w:t>
      </w:r>
      <w:r>
        <w:rPr>
          <w:rFonts w:asciiTheme="minorEastAsia" w:hAnsiTheme="minorEastAsia" w:eastAsiaTheme="minorEastAsia"/>
          <w:sz w:val="24"/>
        </w:rPr>
        <w:t>CB</w:t>
      </w:r>
      <w:r>
        <w:rPr>
          <w:rFonts w:hint="eastAsia" w:asciiTheme="minorEastAsia" w:hAnsiTheme="minorEastAsia" w:eastAsiaTheme="minorEastAsia"/>
          <w:sz w:val="24"/>
        </w:rPr>
        <w:t>、金属件焊接以及小件焊接产线，包括3</w:t>
      </w:r>
      <w:r>
        <w:rPr>
          <w:rFonts w:asciiTheme="minorEastAsia" w:hAnsiTheme="minorEastAsia" w:eastAsiaTheme="minorEastAsia"/>
          <w:sz w:val="24"/>
        </w:rPr>
        <w:t>C</w:t>
      </w:r>
      <w:r>
        <w:rPr>
          <w:rFonts w:hint="eastAsia" w:asciiTheme="minorEastAsia" w:hAnsiTheme="minorEastAsia" w:eastAsiaTheme="minorEastAsia"/>
          <w:sz w:val="24"/>
        </w:rPr>
        <w:t>行业的组装产线、点胶涂装，包括在5G方面，围绕5G天线振子做的自动化产线等。我们在3</w:t>
      </w:r>
      <w:r>
        <w:rPr>
          <w:rFonts w:asciiTheme="minorEastAsia" w:hAnsiTheme="minorEastAsia" w:eastAsiaTheme="minorEastAsia"/>
          <w:sz w:val="24"/>
        </w:rPr>
        <w:t>C</w:t>
      </w:r>
      <w:r>
        <w:rPr>
          <w:rFonts w:hint="eastAsia" w:asciiTheme="minorEastAsia" w:hAnsiTheme="minorEastAsia" w:eastAsiaTheme="minorEastAsia"/>
          <w:sz w:val="24"/>
        </w:rPr>
        <w:t>等行业的标记、焊接、微加工和切割等做了大量的应用，现在各类技术和产品都已经成熟。因此预计在2</w:t>
      </w:r>
      <w:r>
        <w:rPr>
          <w:rFonts w:asciiTheme="minorEastAsia" w:hAnsiTheme="minorEastAsia" w:eastAsiaTheme="minorEastAsia"/>
          <w:sz w:val="24"/>
        </w:rPr>
        <w:t>021</w:t>
      </w:r>
      <w:r>
        <w:rPr>
          <w:rFonts w:hint="eastAsia" w:asciiTheme="minorEastAsia" w:hAnsiTheme="minorEastAsia" w:eastAsiaTheme="minorEastAsia"/>
          <w:sz w:val="24"/>
        </w:rPr>
        <w:t>年，精密微纳加工我们将会迎来一个较大的增长。此外，在新消费、日用消费品方面，精密激光替代了传统的油墨印刷，顺应了国家的环保政策，在日用消费品上也会有更广泛的应用。在锂电池、新能源领域的自动化产线等，公司也有相应的业务布局，相信未来也会有较好的表现。</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在高功率的智能装备制造领域，公司紧跟国家智能制造的战略布局，</w:t>
      </w:r>
      <w:bookmarkStart w:id="0" w:name="_GoBack"/>
      <w:bookmarkEnd w:id="0"/>
      <w:r>
        <w:rPr>
          <w:rFonts w:hint="eastAsia" w:asciiTheme="minorEastAsia" w:hAnsiTheme="minorEastAsia" w:eastAsiaTheme="minorEastAsia"/>
          <w:sz w:val="24"/>
        </w:rPr>
        <w:t>目前已在船舶桥梁制造领域为客户打造了智能车间，助力船舶行业的转型升级，通过信息化、互联化的整合，实现了设备间的互联互通。在工程机械方面，我们为客户提供了无人化的智能化制造服务，包括自动切割产线等。在汽车行业，公司的白车身自动化焊接产线荣获国家科技进步一等奖，并为国内外多个行业客户提供了白车身自动化产线。此外，公司在钣金加工，铁路机车，航空航天，机械加工（包含农业机械、纺织机械等）等都为客户提供了智能化产线，大大降低了客户的人力成本，公司在智能制造的总体解决方案上提供了上百种产品和产线，得到了国内外客户的广泛认可，在疫情影响较大的2</w:t>
      </w:r>
      <w:r>
        <w:rPr>
          <w:rFonts w:asciiTheme="minorEastAsia" w:hAnsiTheme="minorEastAsia" w:eastAsiaTheme="minorEastAsia"/>
          <w:sz w:val="24"/>
        </w:rPr>
        <w:t>020</w:t>
      </w:r>
      <w:r>
        <w:rPr>
          <w:rFonts w:hint="eastAsia" w:asciiTheme="minorEastAsia" w:hAnsiTheme="minorEastAsia" w:eastAsiaTheme="minorEastAsia"/>
          <w:sz w:val="24"/>
        </w:rPr>
        <w:t>年，公司出口业务还保持了较大增长。</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因此，随着改制的完成，市场化活力的进一步释放，未来公司的激光业务的较大增长是可期的。</w:t>
      </w:r>
    </w:p>
    <w:p>
      <w:pPr>
        <w:spacing w:line="360" w:lineRule="auto"/>
        <w:rPr>
          <w:rFonts w:asciiTheme="minorEastAsia" w:hAnsiTheme="minorEastAsia" w:eastAsiaTheme="minorEastAsia"/>
          <w:b/>
          <w:bCs/>
          <w:sz w:val="24"/>
        </w:rPr>
      </w:pPr>
    </w:p>
    <w:p>
      <w:pPr>
        <w:pStyle w:val="3"/>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
          <w:sz w:val="24"/>
        </w:rPr>
        <w:t>提问：</w:t>
      </w:r>
      <w:r>
        <w:rPr>
          <w:rFonts w:asciiTheme="minorEastAsia" w:hAnsiTheme="minorEastAsia" w:eastAsiaTheme="minorEastAsia"/>
          <w:b/>
          <w:sz w:val="24"/>
        </w:rPr>
        <w:t>2</w:t>
      </w:r>
      <w:r>
        <w:rPr>
          <w:rFonts w:hint="eastAsia" w:asciiTheme="minorEastAsia" w:hAnsiTheme="minorEastAsia" w:eastAsiaTheme="minorEastAsia"/>
          <w:b/>
          <w:sz w:val="24"/>
        </w:rPr>
        <w:t>、近期下游制造业资本支出呈现上升趋势，这对公司的激光业务收入有何影响？</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答复：2020年，疫情对公司激光业务还是有一定的冲击，但同比保持了比较稳定的增长，2021年随着制造业资本支出的提升，公司的营收应该能够实现比较大幅的增长。一方面，未来我们将通过激光设备的批量制造降低成本，同时提高品质和服务，寻求更加广阔的行业应用领域，拓展新客户。另一方面通过自身管理提质，持续输出稳定可靠的产品，得到了国际市场的认可，随着公司国际业务网络的不断完善、服务网点的不断扩张，公司国际业务的增长也是可期的。第三，公司提供“激光加自动化产线”，“激光加智能制造”整体解决方案的能力不断提升，围绕“激光加”打造智能化产线、样板工厂，服务于3C、工程机械、桥梁制造、钣金制造、船舶制造、汽车制造，航空航天以及军工等领域，随着国家实力的提升，也会大量应用到国产的激光设备，这一块的增长也是可期的。</w:t>
      </w:r>
    </w:p>
    <w:p>
      <w:pPr>
        <w:spacing w:line="360" w:lineRule="auto"/>
        <w:ind w:firstLine="482" w:firstLineChars="201"/>
        <w:rPr>
          <w:rFonts w:asciiTheme="minorEastAsia" w:hAnsiTheme="minorEastAsia" w:eastAsiaTheme="minorEastAsia"/>
          <w:sz w:val="24"/>
        </w:rPr>
      </w:pPr>
    </w:p>
    <w:p>
      <w:pPr>
        <w:pStyle w:val="3"/>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
          <w:sz w:val="24"/>
        </w:rPr>
        <w:t>提问：</w:t>
      </w:r>
      <w:r>
        <w:rPr>
          <w:rFonts w:asciiTheme="minorEastAsia" w:hAnsiTheme="minorEastAsia" w:eastAsiaTheme="minorEastAsia"/>
          <w:b/>
          <w:sz w:val="24"/>
        </w:rPr>
        <w:t>3</w:t>
      </w:r>
      <w:r>
        <w:rPr>
          <w:rFonts w:hint="eastAsia" w:asciiTheme="minorEastAsia" w:hAnsiTheme="minorEastAsia" w:eastAsiaTheme="minorEastAsia"/>
          <w:b/>
          <w:sz w:val="24"/>
        </w:rPr>
        <w:t>、公司成立了智能制造事业总部，各公司在智能制造领域是如何协作的，如何发挥出智能制造的优势？</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答复：</w:t>
      </w:r>
      <w:r>
        <w:rPr>
          <w:rFonts w:asciiTheme="minorEastAsia" w:hAnsiTheme="minorEastAsia" w:eastAsiaTheme="minorEastAsia"/>
          <w:sz w:val="24"/>
        </w:rPr>
        <w:t>招工难、用工难、留人难，一直是传统制造业“老大难”问题，新冠肺炎疫情更是戳中“痛点”，倒逼企业痛定思痛。</w:t>
      </w:r>
      <w:r>
        <w:rPr>
          <w:rFonts w:hint="eastAsia" w:asciiTheme="minorEastAsia" w:hAnsiTheme="minorEastAsia" w:eastAsiaTheme="minorEastAsia"/>
          <w:sz w:val="24"/>
        </w:rPr>
        <w:t>公司</w:t>
      </w:r>
      <w:r>
        <w:rPr>
          <w:rFonts w:asciiTheme="minorEastAsia" w:hAnsiTheme="minorEastAsia" w:eastAsiaTheme="minorEastAsia"/>
          <w:sz w:val="24"/>
        </w:rPr>
        <w:t>于2019年成立了的智能制造事业总部</w:t>
      </w:r>
      <w:r>
        <w:rPr>
          <w:rFonts w:hint="eastAsia" w:asciiTheme="minorEastAsia" w:hAnsiTheme="minorEastAsia" w:eastAsiaTheme="minorEastAsia"/>
          <w:sz w:val="24"/>
        </w:rPr>
        <w:t>，</w:t>
      </w:r>
      <w:r>
        <w:rPr>
          <w:rFonts w:asciiTheme="minorEastAsia" w:hAnsiTheme="minorEastAsia" w:eastAsiaTheme="minorEastAsia"/>
          <w:sz w:val="24"/>
        </w:rPr>
        <w:t>加快行业布局开拓，利用自身产业优势，开发建立自主知识产权的新型一体化产业体系。</w:t>
      </w:r>
      <w:r>
        <w:rPr>
          <w:rFonts w:hint="eastAsia" w:asciiTheme="minorEastAsia" w:hAnsiTheme="minorEastAsia" w:eastAsiaTheme="minorEastAsia"/>
          <w:sz w:val="24"/>
        </w:rPr>
        <w:t>公司在智能制造信息服务业务方面，具备软件制作基础，在装备领域也有很好的沉淀，通过“软”、“硬”部分的整合，把包括公司传感器板块、通信板块等产业链上下游资源有机的结合起来，形成综合利用，以智能制造为核心，以产业集群的发展转型为契机，发挥公司内外部资源优势，实现公司在智能制造产业的核心技术集成与系统联动，构建交流的互动平台、资源整合平台、信息共享平台。其次，公司充分发挥智能制造服务能力，横向提供智能工厂的顶层规划、咨询诊断、产线设计改造、智能仓储物流、工业系统集成服务；纵向提供智能化的装备产线以及工业互联网的组件，提供信息化系统部署实施，包括大数据分析与决策的智能制造整体解决方案，成效明显。目前公司已为近百家行业龙头提供了智能制造的相关服务，</w:t>
      </w:r>
      <w:r>
        <w:rPr>
          <w:rFonts w:asciiTheme="minorEastAsia" w:hAnsiTheme="minorEastAsia" w:eastAsiaTheme="minorEastAsia"/>
          <w:sz w:val="24"/>
        </w:rPr>
        <w:t>面向桥梁制造、工程机械、3C电子、船舶制造、新能源、日用消费品等智能制造相关行业，为武船、宝桥、三一等数家企业打造智能产线、智能工厂，满足客户个性定制的多样化需求。</w:t>
      </w:r>
    </w:p>
    <w:p>
      <w:pPr>
        <w:spacing w:line="360" w:lineRule="auto"/>
        <w:ind w:firstLine="482" w:firstLineChars="201"/>
        <w:rPr>
          <w:rFonts w:asciiTheme="minorEastAsia" w:hAnsiTheme="minorEastAsia" w:eastAsiaTheme="minorEastAsia"/>
          <w:sz w:val="24"/>
        </w:rPr>
      </w:pPr>
    </w:p>
    <w:p>
      <w:pPr>
        <w:pStyle w:val="3"/>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
          <w:sz w:val="24"/>
        </w:rPr>
        <w:t>提问：</w:t>
      </w:r>
      <w:r>
        <w:rPr>
          <w:rFonts w:asciiTheme="minorEastAsia" w:hAnsiTheme="minorEastAsia" w:eastAsiaTheme="minorEastAsia"/>
          <w:b/>
          <w:sz w:val="24"/>
        </w:rPr>
        <w:t>4</w:t>
      </w:r>
      <w:r>
        <w:rPr>
          <w:rFonts w:hint="eastAsia" w:asciiTheme="minorEastAsia" w:hAnsiTheme="minorEastAsia" w:eastAsiaTheme="minorEastAsia"/>
          <w:b/>
          <w:sz w:val="24"/>
        </w:rPr>
        <w:t>、公司在光通信领域的未来布局？</w:t>
      </w:r>
    </w:p>
    <w:p>
      <w:pPr>
        <w:spacing w:line="360" w:lineRule="auto"/>
        <w:ind w:firstLine="482" w:firstLineChars="201"/>
        <w:rPr>
          <w:rFonts w:asciiTheme="minorEastAsia" w:hAnsiTheme="minorEastAsia" w:eastAsiaTheme="minorEastAsia"/>
          <w:sz w:val="24"/>
        </w:rPr>
      </w:pPr>
      <w:r>
        <w:rPr>
          <w:rFonts w:hint="eastAsia" w:asciiTheme="minorEastAsia" w:hAnsiTheme="minorEastAsia" w:eastAsiaTheme="minorEastAsia"/>
          <w:sz w:val="24"/>
        </w:rPr>
        <w:t>答复：目前，公司光通信主要业务为有源、终端、光学以及无源，基于智慧生活、智慧园区、智慧交通等应用场景的整体解决方案能够有机的将这四个业务的产品联动起来，集中优势力量，更加完善产业布局，提高公司核心竞争力与综合实力。相比于同类企业公司具备三大竞争优势：一是高端光模块研发设计能力；二是市场卡位优势；三是拥有上游自研芯片技术。</w:t>
      </w:r>
      <w:r>
        <w:rPr>
          <w:rFonts w:hint="eastAsia" w:asciiTheme="minorEastAsia" w:hAnsiTheme="minorEastAsia" w:eastAsiaTheme="minorEastAsia"/>
          <w:sz w:val="24"/>
        </w:rPr>
        <w:cr/>
      </w:r>
      <w:r>
        <w:rPr>
          <w:rFonts w:hint="eastAsia" w:asciiTheme="minorEastAsia" w:hAnsiTheme="minorEastAsia" w:eastAsiaTheme="minorEastAsia"/>
          <w:sz w:val="24"/>
        </w:rPr>
        <w:t>面对光模块市场日益白热化的竞争，公司近些年持续加大5G等前沿技术的研发投入，重视高端人才的引进与培养，通过集成创新、IPD管理方法，推动产品向中高端升级，推进自研芯片等核心技术开发，在应用技术层面不断突破，陆续推出5G、数据中心等系列产品，支撑业务发展。</w:t>
      </w:r>
      <w:r>
        <w:rPr>
          <w:rFonts w:hint="eastAsia" w:asciiTheme="minorEastAsia" w:hAnsiTheme="minorEastAsia" w:eastAsiaTheme="minorEastAsia"/>
          <w:sz w:val="24"/>
        </w:rPr>
        <w:cr/>
      </w:r>
      <w:r>
        <w:rPr>
          <w:rFonts w:hint="eastAsia" w:asciiTheme="minorEastAsia" w:hAnsiTheme="minorEastAsia" w:eastAsiaTheme="minorEastAsia"/>
          <w:sz w:val="24"/>
        </w:rPr>
        <w:t>公司已推出全系列100G、400G产品，单通道可实现25Gbps/50Gbps/100Gbps的解决方案，同时布局硅光技术，研发更高速光模块解决方案，从而协助客户建设更为敏捷、高效、绿色的数据中心。华工科技通信板块积极布局“光联接+无线联接”光网一站式解决方案，从5G、数据中心用光模块，再到皮基站、光猫等终端产品。同时，在光学领域，公司推出了应用于手机摄像模组中的潜望棱镜。</w:t>
      </w:r>
      <w:r>
        <w:rPr>
          <w:rFonts w:hint="eastAsia" w:asciiTheme="minorEastAsia" w:hAnsiTheme="minorEastAsia" w:eastAsiaTheme="minorEastAsia"/>
          <w:sz w:val="24"/>
        </w:rPr>
        <w:cr/>
      </w:r>
      <w:r>
        <w:rPr>
          <w:rFonts w:hint="eastAsia" w:asciiTheme="minorEastAsia" w:hAnsiTheme="minorEastAsia" w:eastAsiaTheme="minorEastAsia"/>
          <w:sz w:val="24"/>
        </w:rPr>
        <w:t xml:space="preserve">对于未来的展望，一方面光模块的产品将会向更高速率、更多调制方法、更低功率、更小的体积发展；另一方面积极布局路由器、5G CPE、工业互联网关等智能终端产品，实现企业5G专网和工业互联小站的发展，有效地满足各工业场景的通信需求。未来在掌握最新国际标准化发展动态的同时，我们也要协同产业链伙伴创制自己的标准，并且推动自主标准国际化，抢占技术竞争的高地，掌握市场的主导权。 </w:t>
      </w:r>
      <w:r>
        <w:rPr>
          <w:rFonts w:asciiTheme="minorEastAsia" w:hAnsiTheme="minorEastAsia" w:eastAsiaTheme="minorEastAsia"/>
          <w:sz w:val="24"/>
        </w:rPr>
        <w:cr/>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altName w:val="汉仪旗黑KW 55S"/>
    <w:panose1 w:val="020B0503020204020204"/>
    <w:charset w:val="86"/>
    <w:family w:val="swiss"/>
    <w:pitch w:val="default"/>
    <w:sig w:usb0="00000000" w:usb1="00000000" w:usb2="00000016" w:usb3="00000000" w:csb0="0004001F" w:csb1="00000000"/>
  </w:font>
  <w:font w:name="Wingdings 2">
    <w:altName w:val="Webdings"/>
    <w:panose1 w:val="050201020105070707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DejaVa Sans">
    <w:altName w:val="Arial"/>
    <w:panose1 w:val="00000000000000000000"/>
    <w:charset w:val="00"/>
    <w:family w:val="auto"/>
    <w:pitch w:val="default"/>
    <w:sig w:usb0="00000000" w:usb1="00000000" w:usb2="00000000" w:usb3="00000000" w:csb0="00000000" w:csb1="00000000"/>
  </w:font>
  <w:font w:name="汉仪旗黑KW 55S">
    <w:panose1 w:val="00020600040101010101"/>
    <w:charset w:val="86"/>
    <w:family w:val="auto"/>
    <w:pitch w:val="default"/>
    <w:sig w:usb0="A00002BF" w:usb1="3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709C9"/>
    <w:multiLevelType w:val="singleLevel"/>
    <w:tmpl w:val="9D7709C9"/>
    <w:lvl w:ilvl="0" w:tentative="0">
      <w:start w:val="1"/>
      <w:numFmt w:val="decimal"/>
      <w:suff w:val="nothing"/>
      <w:lvlText w:val="%1、"/>
      <w:lvlJc w:val="left"/>
    </w:lvl>
  </w:abstractNum>
  <w:abstractNum w:abstractNumId="1">
    <w:nsid w:val="2445234F"/>
    <w:multiLevelType w:val="multilevel"/>
    <w:tmpl w:val="2445234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82"/>
    <w:rsid w:val="000C48CB"/>
    <w:rsid w:val="000D24A1"/>
    <w:rsid w:val="00172A27"/>
    <w:rsid w:val="00192543"/>
    <w:rsid w:val="002052B1"/>
    <w:rsid w:val="00264E12"/>
    <w:rsid w:val="00331300"/>
    <w:rsid w:val="003758F3"/>
    <w:rsid w:val="003A126B"/>
    <w:rsid w:val="00444CDD"/>
    <w:rsid w:val="00470082"/>
    <w:rsid w:val="004A7BFF"/>
    <w:rsid w:val="00514D64"/>
    <w:rsid w:val="00535F73"/>
    <w:rsid w:val="0056595A"/>
    <w:rsid w:val="0078177C"/>
    <w:rsid w:val="00AA7E49"/>
    <w:rsid w:val="00B02108"/>
    <w:rsid w:val="00C9279A"/>
    <w:rsid w:val="00CC6C37"/>
    <w:rsid w:val="00E31FC0"/>
    <w:rsid w:val="00F3764B"/>
    <w:rsid w:val="013A165A"/>
    <w:rsid w:val="08EF2A33"/>
    <w:rsid w:val="0B4E6C7C"/>
    <w:rsid w:val="0B573446"/>
    <w:rsid w:val="0BF836CE"/>
    <w:rsid w:val="10707C38"/>
    <w:rsid w:val="12854EB9"/>
    <w:rsid w:val="1FA01A18"/>
    <w:rsid w:val="2C3C43A1"/>
    <w:rsid w:val="316761C2"/>
    <w:rsid w:val="3A514C56"/>
    <w:rsid w:val="43057FCD"/>
    <w:rsid w:val="48F707B5"/>
    <w:rsid w:val="4E361EA6"/>
    <w:rsid w:val="50883315"/>
    <w:rsid w:val="56C36BF8"/>
    <w:rsid w:val="59BF5611"/>
    <w:rsid w:val="5ACA7186"/>
    <w:rsid w:val="673C27C9"/>
    <w:rsid w:val="6A965E7E"/>
    <w:rsid w:val="70D47CFD"/>
    <w:rsid w:val="71374325"/>
    <w:rsid w:val="71D66148"/>
    <w:rsid w:val="72E40A12"/>
    <w:rsid w:val="765E2D74"/>
    <w:rsid w:val="79FC08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uiPriority w:val="0"/>
    <w:pPr>
      <w:jc w:val="left"/>
    </w:pPr>
  </w:style>
  <w:style w:type="paragraph" w:styleId="3">
    <w:name w:val="Plain Text"/>
    <w:basedOn w:val="1"/>
    <w:qFormat/>
    <w:uiPriority w:val="0"/>
    <w:rPr>
      <w:rFonts w:ascii="宋体" w:hAnsi="Courier New"/>
    </w:rPr>
  </w:style>
  <w:style w:type="paragraph" w:styleId="4">
    <w:name w:val="Balloon Text"/>
    <w:basedOn w:val="1"/>
    <w:link w:val="11"/>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annotation subject"/>
    <w:basedOn w:val="2"/>
    <w:next w:val="2"/>
    <w:link w:val="13"/>
    <w:qFormat/>
    <w:uiPriority w:val="0"/>
    <w:rPr>
      <w:b/>
      <w:bCs/>
    </w:rPr>
  </w:style>
  <w:style w:type="character" w:styleId="9">
    <w:name w:val="Hyperlink"/>
    <w:basedOn w:val="8"/>
    <w:qFormat/>
    <w:uiPriority w:val="0"/>
    <w:rPr>
      <w:color w:val="0000FF"/>
      <w:u w:val="single"/>
    </w:rPr>
  </w:style>
  <w:style w:type="character" w:styleId="10">
    <w:name w:val="annotation reference"/>
    <w:basedOn w:val="8"/>
    <w:uiPriority w:val="0"/>
    <w:rPr>
      <w:sz w:val="21"/>
      <w:szCs w:val="21"/>
    </w:rPr>
  </w:style>
  <w:style w:type="character" w:customStyle="1" w:styleId="11">
    <w:name w:val="批注框文本 字符"/>
    <w:basedOn w:val="8"/>
    <w:link w:val="4"/>
    <w:qFormat/>
    <w:uiPriority w:val="0"/>
    <w:rPr>
      <w:rFonts w:ascii="Calibri" w:hAnsi="Calibri" w:eastAsia="微软雅黑"/>
      <w:kern w:val="2"/>
      <w:sz w:val="18"/>
      <w:szCs w:val="18"/>
    </w:rPr>
  </w:style>
  <w:style w:type="character" w:customStyle="1" w:styleId="12">
    <w:name w:val="批注文字 字符"/>
    <w:basedOn w:val="8"/>
    <w:link w:val="2"/>
    <w:uiPriority w:val="0"/>
    <w:rPr>
      <w:rFonts w:ascii="Calibri" w:hAnsi="Calibri" w:eastAsia="微软雅黑" w:cs="Times New Roman"/>
      <w:kern w:val="2"/>
      <w:sz w:val="21"/>
      <w:szCs w:val="24"/>
    </w:rPr>
  </w:style>
  <w:style w:type="character" w:customStyle="1" w:styleId="13">
    <w:name w:val="批注主题 字符"/>
    <w:basedOn w:val="12"/>
    <w:link w:val="6"/>
    <w:uiPriority w:val="0"/>
    <w:rPr>
      <w:rFonts w:ascii="Calibri" w:hAnsi="Calibri" w:eastAsia="微软雅黑" w:cs="Times New Roman"/>
      <w:b/>
      <w:bCs/>
      <w:kern w:val="2"/>
      <w:sz w:val="21"/>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960</Words>
  <Characters>5478</Characters>
  <Lines>45</Lines>
  <Paragraphs>12</Paragraphs>
  <TotalTime>357</TotalTime>
  <ScaleCrop>false</ScaleCrop>
  <LinksUpToDate>false</LinksUpToDate>
  <CharactersWithSpaces>6426</CharactersWithSpaces>
  <Application>WWO_aliyun_20201019112421-9bb9c296e6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2019-09-02T17:25:00Z</dcterms:created>
  <dc:creator>Sissi</dc:creator>
  <cp:lastModifiedBy>chenming</cp:lastModifiedBy>
  <cp:lastPrinted>2021-01-26T11:37:00Z</cp:lastPrinted>
  <dcterms:modified xsi:type="dcterms:W3CDTF">2021-01-26T14:12:20Z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