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tLeast"/>
        <w:rPr>
          <w:sz w:val="24"/>
        </w:rPr>
      </w:pPr>
      <w:r>
        <w:rPr>
          <w:rFonts w:hint="eastAsia"/>
          <w:sz w:val="24"/>
        </w:rPr>
        <w:t>证券代码：</w:t>
      </w:r>
      <w:r>
        <w:rPr>
          <w:rFonts w:hint="eastAsia" w:asciiTheme="minorEastAsia" w:hAnsiTheme="minorEastAsia" w:eastAsiaTheme="minorEastAsia" w:cstheme="minorEastAsia"/>
          <w:sz w:val="24"/>
        </w:rPr>
        <w:t xml:space="preserve">300623  </w:t>
      </w:r>
      <w:r>
        <w:rPr>
          <w:rFonts w:hint="eastAsia" w:ascii="宋体" w:hAnsi="宋体"/>
          <w:bCs/>
          <w:iCs/>
          <w:color w:val="000000"/>
          <w:sz w:val="18"/>
          <w:szCs w:val="18"/>
        </w:rPr>
        <w:t xml:space="preserve">                                           </w:t>
      </w:r>
      <w:r>
        <w:rPr>
          <w:rFonts w:hint="eastAsia"/>
          <w:sz w:val="24"/>
        </w:rPr>
        <w:t>证券简称：捷捷微电</w:t>
      </w:r>
    </w:p>
    <w:p>
      <w:pPr>
        <w:spacing w:before="156" w:beforeLines="50" w:after="156" w:afterLines="50" w:line="400" w:lineRule="exact"/>
        <w:jc w:val="center"/>
        <w:rPr>
          <w:rFonts w:ascii="宋体" w:hAnsi="宋体"/>
          <w:b/>
          <w:bCs/>
          <w:iCs/>
          <w:color w:val="000000"/>
          <w:sz w:val="30"/>
          <w:szCs w:val="30"/>
        </w:rPr>
      </w:pPr>
    </w:p>
    <w:p>
      <w:pPr>
        <w:spacing w:before="156" w:beforeLines="50" w:after="156" w:afterLines="50" w:line="400" w:lineRule="exact"/>
        <w:jc w:val="center"/>
        <w:rPr>
          <w:rFonts w:ascii="宋体" w:hAnsi="宋体"/>
          <w:b/>
          <w:bCs/>
          <w:iCs/>
          <w:color w:val="FF0000"/>
          <w:sz w:val="30"/>
          <w:szCs w:val="30"/>
        </w:rPr>
      </w:pPr>
      <w:r>
        <w:rPr>
          <w:rFonts w:hint="eastAsia" w:ascii="宋体" w:hAnsi="宋体"/>
          <w:b/>
          <w:bCs/>
          <w:iCs/>
          <w:color w:val="FF0000"/>
          <w:sz w:val="30"/>
          <w:szCs w:val="30"/>
        </w:rPr>
        <w:t>江苏捷捷微电子股份有限公司投资者关系活动记录表</w:t>
      </w:r>
    </w:p>
    <w:p>
      <w:pPr>
        <w:spacing w:line="400" w:lineRule="exact"/>
        <w:rPr>
          <w:rFonts w:ascii="宋体" w:hAnsi="宋体"/>
          <w:bCs/>
          <w:iCs/>
          <w:color w:val="000000"/>
          <w:szCs w:val="21"/>
        </w:rPr>
      </w:pPr>
      <w:r>
        <w:rPr>
          <w:rFonts w:hint="eastAsia" w:ascii="宋体" w:hAnsi="宋体"/>
          <w:bCs/>
          <w:iCs/>
          <w:color w:val="000000"/>
          <w:sz w:val="24"/>
        </w:rPr>
        <w:t xml:space="preserve">                                                        </w:t>
      </w:r>
      <w:r>
        <w:rPr>
          <w:rFonts w:hint="eastAsia" w:ascii="宋体" w:hAnsi="宋体"/>
          <w:bCs/>
          <w:iCs/>
          <w:color w:val="000000"/>
          <w:szCs w:val="21"/>
        </w:rPr>
        <w:t>编号：2021-001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908" w:type="dxa"/>
            <w:tcBorders>
              <w:top w:val="single" w:color="auto" w:sz="4" w:space="0"/>
              <w:left w:val="single" w:color="auto" w:sz="4" w:space="0"/>
              <w:bottom w:val="single" w:color="auto" w:sz="4" w:space="0"/>
              <w:right w:val="single" w:color="auto" w:sz="4" w:space="0"/>
            </w:tcBorders>
            <w:vAlign w:val="center"/>
          </w:tcPr>
          <w:p>
            <w:pPr>
              <w:widowControl/>
              <w:rPr>
                <w:sz w:val="24"/>
              </w:rPr>
            </w:pPr>
            <w:r>
              <w:rPr>
                <w:rFonts w:hint="eastAsia"/>
                <w:sz w:val="24"/>
              </w:rPr>
              <w:t>投资者关系活动类别</w:t>
            </w:r>
          </w:p>
        </w:tc>
        <w:tc>
          <w:tcPr>
            <w:tcW w:w="6614"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□特定对象调研        □分析师会议</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□媒体采访            □业绩说明会</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□新闻发布会          □路演活动</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□现场参观</w:t>
            </w:r>
            <w:r>
              <w:rPr>
                <w:rFonts w:hint="eastAsia" w:asciiTheme="minorEastAsia" w:hAnsiTheme="minorEastAsia" w:eastAsiaTheme="minorEastAsia" w:cstheme="minorEastAsia"/>
                <w:sz w:val="24"/>
              </w:rPr>
              <w:tab/>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Cs/>
                <w:iCs/>
                <w:color w:val="000000"/>
                <w:szCs w:val="21"/>
              </w:rPr>
            </w:pPr>
            <w:r>
              <w:rPr>
                <w:rFonts w:hint="eastAsia"/>
                <w:sz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中信建投证券—秦基栗、徐博</w:t>
            </w:r>
          </w:p>
          <w:p>
            <w:pPr>
              <w:rPr>
                <w:sz w:val="24"/>
              </w:rPr>
            </w:pPr>
            <w:r>
              <w:rPr>
                <w:sz w:val="24"/>
              </w:rPr>
              <w:t>沣京资本管理（北京）有限公司</w:t>
            </w:r>
            <w:r>
              <w:rPr>
                <w:rFonts w:hint="eastAsia" w:asciiTheme="minorEastAsia" w:hAnsiTheme="minorEastAsia" w:eastAsiaTheme="minorEastAsia" w:cstheme="minorEastAsia"/>
                <w:sz w:val="24"/>
              </w:rPr>
              <w:t>—</w:t>
            </w:r>
            <w:r>
              <w:rPr>
                <w:sz w:val="24"/>
              </w:rPr>
              <w:t>王洪祥</w:t>
            </w:r>
          </w:p>
          <w:p>
            <w:pPr>
              <w:rPr>
                <w:sz w:val="24"/>
              </w:rPr>
            </w:pPr>
            <w:r>
              <w:rPr>
                <w:sz w:val="24"/>
              </w:rPr>
              <w:t>鹏华基金管理有限公司</w:t>
            </w:r>
            <w:r>
              <w:rPr>
                <w:rFonts w:hint="eastAsia" w:asciiTheme="minorEastAsia" w:hAnsiTheme="minorEastAsia" w:eastAsiaTheme="minorEastAsia" w:cstheme="minorEastAsia"/>
                <w:sz w:val="24"/>
              </w:rPr>
              <w:t>—</w:t>
            </w:r>
            <w:r>
              <w:rPr>
                <w:sz w:val="24"/>
              </w:rPr>
              <w:t>程卿云</w:t>
            </w:r>
          </w:p>
          <w:p>
            <w:pPr>
              <w:rPr>
                <w:sz w:val="24"/>
              </w:rPr>
            </w:pPr>
            <w:r>
              <w:rPr>
                <w:sz w:val="24"/>
              </w:rPr>
              <w:t>广发基金管理有限公司</w:t>
            </w:r>
            <w:r>
              <w:rPr>
                <w:rFonts w:hint="eastAsia" w:asciiTheme="minorEastAsia" w:hAnsiTheme="minorEastAsia" w:eastAsiaTheme="minorEastAsia" w:cstheme="minorEastAsia"/>
                <w:sz w:val="24"/>
              </w:rPr>
              <w:t>—</w:t>
            </w:r>
            <w:r>
              <w:rPr>
                <w:sz w:val="24"/>
              </w:rPr>
              <w:t>张建宾</w:t>
            </w:r>
          </w:p>
          <w:p>
            <w:pPr>
              <w:rPr>
                <w:sz w:val="24"/>
              </w:rPr>
            </w:pPr>
            <w:r>
              <w:rPr>
                <w:sz w:val="24"/>
              </w:rPr>
              <w:t>新华基金</w:t>
            </w:r>
            <w:r>
              <w:rPr>
                <w:rFonts w:hint="eastAsia" w:asciiTheme="minorEastAsia" w:hAnsiTheme="minorEastAsia" w:eastAsiaTheme="minorEastAsia" w:cstheme="minorEastAsia"/>
                <w:sz w:val="24"/>
              </w:rPr>
              <w:t>—</w:t>
            </w:r>
            <w:r>
              <w:rPr>
                <w:sz w:val="24"/>
              </w:rPr>
              <w:t>钟俊</w:t>
            </w:r>
          </w:p>
          <w:p>
            <w:pPr>
              <w:rPr>
                <w:sz w:val="24"/>
              </w:rPr>
            </w:pPr>
            <w:r>
              <w:rPr>
                <w:sz w:val="24"/>
              </w:rPr>
              <w:t>源乘投资</w:t>
            </w:r>
            <w:r>
              <w:rPr>
                <w:rFonts w:hint="eastAsia" w:asciiTheme="minorEastAsia" w:hAnsiTheme="minorEastAsia" w:eastAsiaTheme="minorEastAsia" w:cstheme="minorEastAsia"/>
                <w:sz w:val="24"/>
              </w:rPr>
              <w:t>—</w:t>
            </w:r>
            <w:r>
              <w:rPr>
                <w:sz w:val="24"/>
              </w:rPr>
              <w:t>胡亚男</w:t>
            </w:r>
          </w:p>
          <w:p>
            <w:pPr>
              <w:rPr>
                <w:sz w:val="24"/>
              </w:rPr>
            </w:pPr>
            <w:r>
              <w:rPr>
                <w:sz w:val="24"/>
              </w:rPr>
              <w:t>诚通基金</w:t>
            </w:r>
            <w:r>
              <w:rPr>
                <w:rFonts w:hint="eastAsia" w:asciiTheme="minorEastAsia" w:hAnsiTheme="minorEastAsia" w:eastAsiaTheme="minorEastAsia" w:cstheme="minorEastAsia"/>
                <w:sz w:val="24"/>
              </w:rPr>
              <w:t>—</w:t>
            </w:r>
            <w:r>
              <w:rPr>
                <w:sz w:val="24"/>
              </w:rPr>
              <w:t>廖慧杰</w:t>
            </w:r>
          </w:p>
          <w:p>
            <w:pPr>
              <w:rPr>
                <w:sz w:val="24"/>
              </w:rPr>
            </w:pPr>
            <w:r>
              <w:rPr>
                <w:sz w:val="24"/>
              </w:rPr>
              <w:t>广发基金管理有限公司</w:t>
            </w:r>
            <w:r>
              <w:rPr>
                <w:rFonts w:hint="eastAsia" w:asciiTheme="minorEastAsia" w:hAnsiTheme="minorEastAsia" w:eastAsiaTheme="minorEastAsia" w:cstheme="minorEastAsia"/>
                <w:sz w:val="24"/>
              </w:rPr>
              <w:t>—</w:t>
            </w:r>
            <w:r>
              <w:rPr>
                <w:sz w:val="24"/>
              </w:rPr>
              <w:t>刘宝川</w:t>
            </w:r>
          </w:p>
          <w:p>
            <w:pPr>
              <w:rPr>
                <w:sz w:val="24"/>
              </w:rPr>
            </w:pPr>
            <w:r>
              <w:rPr>
                <w:sz w:val="24"/>
              </w:rPr>
              <w:t>华夏久盈资产管理有限责任公司</w:t>
            </w:r>
            <w:r>
              <w:rPr>
                <w:rFonts w:hint="eastAsia" w:asciiTheme="minorEastAsia" w:hAnsiTheme="minorEastAsia" w:eastAsiaTheme="minorEastAsia" w:cstheme="minorEastAsia"/>
                <w:sz w:val="24"/>
              </w:rPr>
              <w:t>—</w:t>
            </w:r>
            <w:r>
              <w:rPr>
                <w:sz w:val="24"/>
              </w:rPr>
              <w:t>桑永亮</w:t>
            </w:r>
          </w:p>
          <w:p>
            <w:pPr>
              <w:rPr>
                <w:sz w:val="24"/>
              </w:rPr>
            </w:pPr>
            <w:r>
              <w:rPr>
                <w:sz w:val="24"/>
              </w:rPr>
              <w:t>海富通基金管理有限公司</w:t>
            </w:r>
            <w:r>
              <w:rPr>
                <w:rFonts w:hint="eastAsia" w:asciiTheme="minorEastAsia" w:hAnsiTheme="minorEastAsia" w:eastAsiaTheme="minorEastAsia" w:cstheme="minorEastAsia"/>
                <w:sz w:val="24"/>
              </w:rPr>
              <w:t>—</w:t>
            </w:r>
            <w:r>
              <w:rPr>
                <w:sz w:val="24"/>
              </w:rPr>
              <w:t>范庭芳</w:t>
            </w:r>
          </w:p>
          <w:p>
            <w:pPr>
              <w:rPr>
                <w:sz w:val="24"/>
              </w:rPr>
            </w:pPr>
            <w:r>
              <w:rPr>
                <w:sz w:val="24"/>
              </w:rPr>
              <w:t>东吴人寿</w:t>
            </w:r>
            <w:r>
              <w:rPr>
                <w:rFonts w:hint="eastAsia" w:asciiTheme="minorEastAsia" w:hAnsiTheme="minorEastAsia" w:eastAsiaTheme="minorEastAsia" w:cstheme="minorEastAsia"/>
                <w:sz w:val="24"/>
              </w:rPr>
              <w:t>—</w:t>
            </w:r>
            <w:r>
              <w:rPr>
                <w:sz w:val="24"/>
              </w:rPr>
              <w:t>徐玲玲</w:t>
            </w:r>
          </w:p>
          <w:p>
            <w:pPr>
              <w:rPr>
                <w:sz w:val="24"/>
              </w:rPr>
            </w:pPr>
            <w:r>
              <w:rPr>
                <w:sz w:val="24"/>
              </w:rPr>
              <w:t>博时资本</w:t>
            </w:r>
            <w:r>
              <w:rPr>
                <w:rFonts w:hint="eastAsia" w:asciiTheme="minorEastAsia" w:hAnsiTheme="minorEastAsia" w:eastAsiaTheme="minorEastAsia" w:cstheme="minorEastAsia"/>
                <w:sz w:val="24"/>
              </w:rPr>
              <w:t>—</w:t>
            </w:r>
            <w:r>
              <w:rPr>
                <w:sz w:val="24"/>
              </w:rPr>
              <w:t>刘雨凡</w:t>
            </w:r>
          </w:p>
          <w:p>
            <w:pPr>
              <w:rPr>
                <w:sz w:val="24"/>
              </w:rPr>
            </w:pPr>
            <w:r>
              <w:rPr>
                <w:sz w:val="24"/>
              </w:rPr>
              <w:t>长城财富资产管理股份有限公司</w:t>
            </w:r>
            <w:r>
              <w:rPr>
                <w:rFonts w:hint="eastAsia" w:asciiTheme="minorEastAsia" w:hAnsiTheme="minorEastAsia" w:eastAsiaTheme="minorEastAsia" w:cstheme="minorEastAsia"/>
                <w:sz w:val="24"/>
              </w:rPr>
              <w:t>—</w:t>
            </w:r>
            <w:r>
              <w:rPr>
                <w:sz w:val="24"/>
              </w:rPr>
              <w:t>胡纪元</w:t>
            </w:r>
          </w:p>
          <w:p>
            <w:pPr>
              <w:rPr>
                <w:sz w:val="24"/>
              </w:rPr>
            </w:pPr>
            <w:r>
              <w:rPr>
                <w:sz w:val="24"/>
              </w:rPr>
              <w:t>光大保德信基金管理有限公司</w:t>
            </w:r>
            <w:r>
              <w:rPr>
                <w:rFonts w:hint="eastAsia" w:asciiTheme="minorEastAsia" w:hAnsiTheme="minorEastAsia" w:eastAsiaTheme="minorEastAsia" w:cstheme="minorEastAsia"/>
                <w:sz w:val="24"/>
              </w:rPr>
              <w:t>—</w:t>
            </w:r>
            <w:r>
              <w:rPr>
                <w:sz w:val="24"/>
              </w:rPr>
              <w:t>林晓枫</w:t>
            </w:r>
          </w:p>
          <w:p>
            <w:pPr>
              <w:rPr>
                <w:sz w:val="24"/>
              </w:rPr>
            </w:pPr>
            <w:r>
              <w:rPr>
                <w:sz w:val="24"/>
              </w:rPr>
              <w:t>农银汇理基金管理有限公司</w:t>
            </w:r>
            <w:r>
              <w:rPr>
                <w:rFonts w:hint="eastAsia" w:asciiTheme="minorEastAsia" w:hAnsiTheme="minorEastAsia" w:eastAsiaTheme="minorEastAsia" w:cstheme="minorEastAsia"/>
                <w:sz w:val="24"/>
              </w:rPr>
              <w:t>—</w:t>
            </w:r>
            <w:r>
              <w:rPr>
                <w:sz w:val="24"/>
              </w:rPr>
              <w:t>张亚楠</w:t>
            </w:r>
          </w:p>
          <w:p>
            <w:pPr>
              <w:rPr>
                <w:sz w:val="24"/>
              </w:rPr>
            </w:pPr>
            <w:r>
              <w:rPr>
                <w:sz w:val="24"/>
              </w:rPr>
              <w:t>富安达基金管理有限公司</w:t>
            </w:r>
            <w:r>
              <w:rPr>
                <w:rFonts w:hint="eastAsia" w:asciiTheme="minorEastAsia" w:hAnsiTheme="minorEastAsia" w:eastAsiaTheme="minorEastAsia" w:cstheme="minorEastAsia"/>
                <w:sz w:val="24"/>
              </w:rPr>
              <w:t>—</w:t>
            </w:r>
            <w:r>
              <w:rPr>
                <w:sz w:val="24"/>
              </w:rPr>
              <w:t>吴战峰</w:t>
            </w:r>
          </w:p>
          <w:p>
            <w:pPr>
              <w:rPr>
                <w:sz w:val="24"/>
              </w:rPr>
            </w:pPr>
            <w:r>
              <w:rPr>
                <w:sz w:val="24"/>
              </w:rPr>
              <w:t>兴证全球基金管理有限公司</w:t>
            </w:r>
            <w:r>
              <w:rPr>
                <w:rFonts w:hint="eastAsia" w:asciiTheme="minorEastAsia" w:hAnsiTheme="minorEastAsia" w:eastAsiaTheme="minorEastAsia" w:cstheme="minorEastAsia"/>
                <w:sz w:val="24"/>
              </w:rPr>
              <w:t>—</w:t>
            </w:r>
            <w:r>
              <w:rPr>
                <w:sz w:val="24"/>
              </w:rPr>
              <w:t>程剑</w:t>
            </w:r>
          </w:p>
          <w:p>
            <w:pPr>
              <w:rPr>
                <w:sz w:val="24"/>
              </w:rPr>
            </w:pPr>
            <w:r>
              <w:rPr>
                <w:sz w:val="24"/>
              </w:rPr>
              <w:t>建信养老金有限责任公司</w:t>
            </w:r>
            <w:r>
              <w:rPr>
                <w:rFonts w:hint="eastAsia" w:asciiTheme="minorEastAsia" w:hAnsiTheme="minorEastAsia" w:eastAsiaTheme="minorEastAsia" w:cstheme="minorEastAsia"/>
                <w:sz w:val="24"/>
              </w:rPr>
              <w:t>—</w:t>
            </w:r>
            <w:r>
              <w:rPr>
                <w:sz w:val="24"/>
              </w:rPr>
              <w:t>宋加旺</w:t>
            </w:r>
          </w:p>
          <w:p>
            <w:pPr>
              <w:rPr>
                <w:sz w:val="24"/>
              </w:rPr>
            </w:pPr>
            <w:r>
              <w:rPr>
                <w:sz w:val="24"/>
              </w:rPr>
              <w:t>兴业基金管理有限公司</w:t>
            </w:r>
            <w:r>
              <w:rPr>
                <w:rFonts w:hint="eastAsia" w:asciiTheme="minorEastAsia" w:hAnsiTheme="minorEastAsia" w:eastAsiaTheme="minorEastAsia" w:cstheme="minorEastAsia"/>
                <w:sz w:val="24"/>
              </w:rPr>
              <w:t>—</w:t>
            </w:r>
            <w:r>
              <w:rPr>
                <w:sz w:val="24"/>
              </w:rPr>
              <w:t>陈旭</w:t>
            </w:r>
          </w:p>
          <w:p>
            <w:pPr>
              <w:rPr>
                <w:sz w:val="24"/>
              </w:rPr>
            </w:pPr>
            <w:r>
              <w:rPr>
                <w:sz w:val="24"/>
              </w:rPr>
              <w:t>深圳悟空投资管理有限公司</w:t>
            </w:r>
            <w:r>
              <w:rPr>
                <w:rFonts w:hint="eastAsia" w:asciiTheme="minorEastAsia" w:hAnsiTheme="minorEastAsia" w:eastAsiaTheme="minorEastAsia" w:cstheme="minorEastAsia"/>
                <w:sz w:val="24"/>
              </w:rPr>
              <w:t>—</w:t>
            </w:r>
            <w:r>
              <w:rPr>
                <w:sz w:val="24"/>
              </w:rPr>
              <w:t>陈向东</w:t>
            </w:r>
          </w:p>
          <w:p>
            <w:pPr>
              <w:rPr>
                <w:sz w:val="24"/>
              </w:rPr>
            </w:pPr>
            <w:r>
              <w:rPr>
                <w:sz w:val="24"/>
              </w:rPr>
              <w:t>民生银行</w:t>
            </w:r>
            <w:r>
              <w:rPr>
                <w:rFonts w:hint="eastAsia" w:asciiTheme="minorEastAsia" w:hAnsiTheme="minorEastAsia" w:eastAsiaTheme="minorEastAsia" w:cstheme="minorEastAsia"/>
                <w:sz w:val="24"/>
              </w:rPr>
              <w:t>—</w:t>
            </w:r>
            <w:r>
              <w:rPr>
                <w:sz w:val="24"/>
              </w:rPr>
              <w:t>郑潇</w:t>
            </w:r>
          </w:p>
          <w:p>
            <w:pPr>
              <w:rPr>
                <w:sz w:val="24"/>
              </w:rPr>
            </w:pPr>
            <w:r>
              <w:rPr>
                <w:sz w:val="24"/>
              </w:rPr>
              <w:t>国寿安保基金管理有限公司</w:t>
            </w:r>
            <w:r>
              <w:rPr>
                <w:rFonts w:hint="eastAsia" w:asciiTheme="minorEastAsia" w:hAnsiTheme="minorEastAsia" w:eastAsiaTheme="minorEastAsia" w:cstheme="minorEastAsia"/>
                <w:sz w:val="24"/>
              </w:rPr>
              <w:t>—</w:t>
            </w:r>
            <w:r>
              <w:rPr>
                <w:sz w:val="24"/>
              </w:rPr>
              <w:t>张帆</w:t>
            </w:r>
          </w:p>
          <w:p>
            <w:pPr>
              <w:rPr>
                <w:sz w:val="24"/>
              </w:rPr>
            </w:pPr>
            <w:r>
              <w:rPr>
                <w:sz w:val="24"/>
              </w:rPr>
              <w:t>华商基金管理有限公司</w:t>
            </w:r>
            <w:r>
              <w:rPr>
                <w:rFonts w:hint="eastAsia" w:asciiTheme="minorEastAsia" w:hAnsiTheme="minorEastAsia" w:eastAsiaTheme="minorEastAsia" w:cstheme="minorEastAsia"/>
                <w:sz w:val="24"/>
              </w:rPr>
              <w:t>—</w:t>
            </w:r>
            <w:r>
              <w:rPr>
                <w:sz w:val="24"/>
              </w:rPr>
              <w:t>常宁</w:t>
            </w:r>
          </w:p>
          <w:p>
            <w:pPr>
              <w:rPr>
                <w:sz w:val="24"/>
              </w:rPr>
            </w:pPr>
            <w:r>
              <w:rPr>
                <w:sz w:val="24"/>
              </w:rPr>
              <w:t>东海证券资管</w:t>
            </w:r>
            <w:r>
              <w:rPr>
                <w:rFonts w:hint="eastAsia" w:asciiTheme="minorEastAsia" w:hAnsiTheme="minorEastAsia" w:eastAsiaTheme="minorEastAsia" w:cstheme="minorEastAsia"/>
                <w:sz w:val="24"/>
              </w:rPr>
              <w:t>—</w:t>
            </w:r>
            <w:r>
              <w:rPr>
                <w:sz w:val="24"/>
              </w:rPr>
              <w:t>刘俊</w:t>
            </w:r>
          </w:p>
          <w:p>
            <w:pPr>
              <w:rPr>
                <w:sz w:val="24"/>
              </w:rPr>
            </w:pPr>
            <w:r>
              <w:rPr>
                <w:sz w:val="24"/>
              </w:rPr>
              <w:t>上海聆泽投资管理有限公司</w:t>
            </w:r>
            <w:r>
              <w:rPr>
                <w:rFonts w:hint="eastAsia" w:asciiTheme="minorEastAsia" w:hAnsiTheme="minorEastAsia" w:eastAsiaTheme="minorEastAsia" w:cstheme="minorEastAsia"/>
                <w:sz w:val="24"/>
              </w:rPr>
              <w:t>—</w:t>
            </w:r>
            <w:r>
              <w:rPr>
                <w:sz w:val="24"/>
              </w:rPr>
              <w:t>袁伟涛</w:t>
            </w:r>
          </w:p>
          <w:p>
            <w:pPr>
              <w:rPr>
                <w:sz w:val="24"/>
              </w:rPr>
            </w:pPr>
            <w:r>
              <w:rPr>
                <w:sz w:val="24"/>
              </w:rPr>
              <w:t>华泰柏瑞基金管理有限公司</w:t>
            </w:r>
            <w:r>
              <w:rPr>
                <w:rFonts w:hint="eastAsia" w:asciiTheme="minorEastAsia" w:hAnsiTheme="minorEastAsia" w:eastAsiaTheme="minorEastAsia" w:cstheme="minorEastAsia"/>
                <w:sz w:val="24"/>
              </w:rPr>
              <w:t>—</w:t>
            </w:r>
            <w:r>
              <w:rPr>
                <w:sz w:val="24"/>
              </w:rPr>
              <w:t>刘芷冰</w:t>
            </w:r>
          </w:p>
          <w:p>
            <w:pPr>
              <w:rPr>
                <w:sz w:val="24"/>
              </w:rPr>
            </w:pPr>
            <w:r>
              <w:rPr>
                <w:sz w:val="24"/>
              </w:rPr>
              <w:t>泰信基金管理有限公司</w:t>
            </w:r>
            <w:r>
              <w:rPr>
                <w:rFonts w:hint="eastAsia" w:asciiTheme="minorEastAsia" w:hAnsiTheme="minorEastAsia" w:eastAsiaTheme="minorEastAsia" w:cstheme="minorEastAsia"/>
                <w:sz w:val="24"/>
              </w:rPr>
              <w:t>—</w:t>
            </w:r>
            <w:r>
              <w:rPr>
                <w:sz w:val="24"/>
              </w:rPr>
              <w:t>董季周</w:t>
            </w:r>
          </w:p>
          <w:p>
            <w:pPr>
              <w:rPr>
                <w:sz w:val="24"/>
              </w:rPr>
            </w:pPr>
            <w:r>
              <w:rPr>
                <w:sz w:val="24"/>
              </w:rPr>
              <w:t>江苏瑞华投资控股集团有限公司</w:t>
            </w:r>
            <w:r>
              <w:rPr>
                <w:rFonts w:hint="eastAsia" w:asciiTheme="minorEastAsia" w:hAnsiTheme="minorEastAsia" w:eastAsiaTheme="minorEastAsia" w:cstheme="minorEastAsia"/>
                <w:sz w:val="24"/>
              </w:rPr>
              <w:t>—</w:t>
            </w:r>
            <w:r>
              <w:rPr>
                <w:sz w:val="24"/>
              </w:rPr>
              <w:t>章礼英</w:t>
            </w:r>
          </w:p>
          <w:p>
            <w:pPr>
              <w:rPr>
                <w:sz w:val="24"/>
              </w:rPr>
            </w:pPr>
            <w:r>
              <w:rPr>
                <w:sz w:val="24"/>
              </w:rPr>
              <w:t>广发基金管理有限公司</w:t>
            </w:r>
            <w:r>
              <w:rPr>
                <w:rFonts w:hint="eastAsia" w:asciiTheme="minorEastAsia" w:hAnsiTheme="minorEastAsia" w:eastAsiaTheme="minorEastAsia" w:cstheme="minorEastAsia"/>
                <w:sz w:val="24"/>
              </w:rPr>
              <w:t>—</w:t>
            </w:r>
            <w:r>
              <w:rPr>
                <w:sz w:val="24"/>
              </w:rPr>
              <w:t>苏晟宇</w:t>
            </w:r>
          </w:p>
          <w:p>
            <w:pPr>
              <w:rPr>
                <w:sz w:val="24"/>
              </w:rPr>
            </w:pPr>
            <w:r>
              <w:rPr>
                <w:sz w:val="24"/>
              </w:rPr>
              <w:t>渤海人寿保险股份有限公司</w:t>
            </w:r>
            <w:r>
              <w:rPr>
                <w:rFonts w:hint="eastAsia" w:asciiTheme="minorEastAsia" w:hAnsiTheme="minorEastAsia" w:eastAsiaTheme="minorEastAsia" w:cstheme="minorEastAsia"/>
                <w:sz w:val="24"/>
              </w:rPr>
              <w:t>—</w:t>
            </w:r>
            <w:r>
              <w:rPr>
                <w:sz w:val="24"/>
              </w:rPr>
              <w:t>金凤</w:t>
            </w:r>
          </w:p>
          <w:p>
            <w:pPr>
              <w:rPr>
                <w:sz w:val="24"/>
              </w:rPr>
            </w:pPr>
            <w:r>
              <w:rPr>
                <w:sz w:val="24"/>
              </w:rPr>
              <w:t>建信人寿保险公司有限公司</w:t>
            </w:r>
            <w:r>
              <w:rPr>
                <w:rFonts w:hint="eastAsia" w:asciiTheme="minorEastAsia" w:hAnsiTheme="minorEastAsia" w:eastAsiaTheme="minorEastAsia" w:cstheme="minorEastAsia"/>
                <w:sz w:val="24"/>
              </w:rPr>
              <w:t>—</w:t>
            </w:r>
            <w:r>
              <w:rPr>
                <w:sz w:val="24"/>
              </w:rPr>
              <w:t>何子为</w:t>
            </w:r>
          </w:p>
          <w:p>
            <w:pPr>
              <w:rPr>
                <w:sz w:val="24"/>
              </w:rPr>
            </w:pPr>
            <w:r>
              <w:rPr>
                <w:sz w:val="24"/>
              </w:rPr>
              <w:t>赢仕投资</w:t>
            </w:r>
            <w:r>
              <w:rPr>
                <w:rFonts w:hint="eastAsia" w:asciiTheme="minorEastAsia" w:hAnsiTheme="minorEastAsia" w:eastAsiaTheme="minorEastAsia" w:cstheme="minorEastAsia"/>
                <w:sz w:val="24"/>
              </w:rPr>
              <w:t>—</w:t>
            </w:r>
            <w:r>
              <w:rPr>
                <w:sz w:val="24"/>
              </w:rPr>
              <w:t>杨怀宇</w:t>
            </w:r>
          </w:p>
          <w:p>
            <w:pPr>
              <w:rPr>
                <w:sz w:val="24"/>
              </w:rPr>
            </w:pPr>
            <w:r>
              <w:rPr>
                <w:sz w:val="24"/>
              </w:rPr>
              <w:t>兴证全球基金管理有限公司</w:t>
            </w:r>
            <w:r>
              <w:rPr>
                <w:rFonts w:hint="eastAsia" w:asciiTheme="minorEastAsia" w:hAnsiTheme="minorEastAsia" w:eastAsiaTheme="minorEastAsia" w:cstheme="minorEastAsia"/>
                <w:sz w:val="24"/>
              </w:rPr>
              <w:t>—</w:t>
            </w:r>
            <w:r>
              <w:rPr>
                <w:sz w:val="24"/>
              </w:rPr>
              <w:t>杨世进</w:t>
            </w:r>
          </w:p>
          <w:p>
            <w:pPr>
              <w:rPr>
                <w:sz w:val="24"/>
              </w:rPr>
            </w:pPr>
            <w:r>
              <w:rPr>
                <w:sz w:val="24"/>
              </w:rPr>
              <w:t>浙江初九投资管理有限公司</w:t>
            </w:r>
            <w:r>
              <w:rPr>
                <w:rFonts w:hint="eastAsia" w:asciiTheme="minorEastAsia" w:hAnsiTheme="minorEastAsia" w:eastAsiaTheme="minorEastAsia" w:cstheme="minorEastAsia"/>
                <w:sz w:val="24"/>
              </w:rPr>
              <w:t>—</w:t>
            </w:r>
            <w:r>
              <w:rPr>
                <w:sz w:val="24"/>
              </w:rPr>
              <w:t>李永乐</w:t>
            </w:r>
          </w:p>
          <w:p>
            <w:pPr>
              <w:rPr>
                <w:sz w:val="24"/>
              </w:rPr>
            </w:pPr>
            <w:r>
              <w:rPr>
                <w:sz w:val="24"/>
              </w:rPr>
              <w:t>长盛基金管理有限公司</w:t>
            </w:r>
            <w:r>
              <w:rPr>
                <w:rFonts w:hint="eastAsia" w:asciiTheme="minorEastAsia" w:hAnsiTheme="minorEastAsia" w:eastAsiaTheme="minorEastAsia" w:cstheme="minorEastAsia"/>
                <w:sz w:val="24"/>
              </w:rPr>
              <w:t>—</w:t>
            </w:r>
            <w:r>
              <w:rPr>
                <w:sz w:val="24"/>
              </w:rPr>
              <w:t>吴达</w:t>
            </w:r>
          </w:p>
          <w:p>
            <w:pPr>
              <w:rPr>
                <w:sz w:val="24"/>
              </w:rPr>
            </w:pPr>
            <w:r>
              <w:rPr>
                <w:sz w:val="24"/>
              </w:rPr>
              <w:t>和丰资本</w:t>
            </w:r>
            <w:r>
              <w:rPr>
                <w:rFonts w:hint="eastAsia" w:asciiTheme="minorEastAsia" w:hAnsiTheme="minorEastAsia" w:eastAsiaTheme="minorEastAsia" w:cstheme="minorEastAsia"/>
                <w:sz w:val="24"/>
              </w:rPr>
              <w:t>—</w:t>
            </w:r>
            <w:r>
              <w:rPr>
                <w:sz w:val="24"/>
              </w:rPr>
              <w:t>郭志强</w:t>
            </w:r>
          </w:p>
          <w:p>
            <w:pPr>
              <w:rPr>
                <w:sz w:val="24"/>
              </w:rPr>
            </w:pPr>
            <w:r>
              <w:rPr>
                <w:sz w:val="24"/>
              </w:rPr>
              <w:t>南方基金管理有限公司</w:t>
            </w:r>
            <w:r>
              <w:rPr>
                <w:rFonts w:hint="eastAsia" w:asciiTheme="minorEastAsia" w:hAnsiTheme="minorEastAsia" w:eastAsiaTheme="minorEastAsia" w:cstheme="minorEastAsia"/>
                <w:sz w:val="24"/>
              </w:rPr>
              <w:t>—</w:t>
            </w:r>
            <w:r>
              <w:rPr>
                <w:sz w:val="24"/>
              </w:rPr>
              <w:t>陈卓</w:t>
            </w:r>
          </w:p>
          <w:p>
            <w:pPr>
              <w:rPr>
                <w:rFonts w:asciiTheme="minorEastAsia" w:hAnsiTheme="minorEastAsia" w:eastAsiaTheme="minorEastAsia" w:cstheme="minorEastAsia"/>
                <w:sz w:val="24"/>
              </w:rPr>
            </w:pPr>
            <w:r>
              <w:rPr>
                <w:sz w:val="24"/>
              </w:rPr>
              <w:t>东吴基金管理有限公司</w:t>
            </w:r>
            <w:r>
              <w:rPr>
                <w:rFonts w:hint="eastAsia" w:asciiTheme="minorEastAsia" w:hAnsiTheme="minorEastAsia" w:eastAsiaTheme="minorEastAsia" w:cstheme="minorEastAsia"/>
                <w:sz w:val="24"/>
              </w:rPr>
              <w:t>—</w:t>
            </w:r>
            <w:r>
              <w:rPr>
                <w:sz w:val="24"/>
              </w:rPr>
              <w:t>陈宪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tcBorders>
              <w:top w:val="single" w:color="auto" w:sz="4" w:space="0"/>
              <w:left w:val="single" w:color="auto" w:sz="4" w:space="0"/>
              <w:bottom w:val="single" w:color="auto" w:sz="4" w:space="0"/>
              <w:right w:val="single" w:color="auto" w:sz="4" w:space="0"/>
            </w:tcBorders>
            <w:vAlign w:val="center"/>
          </w:tcPr>
          <w:p>
            <w:pPr>
              <w:widowControl/>
              <w:rPr>
                <w:sz w:val="24"/>
              </w:rPr>
            </w:pPr>
            <w:r>
              <w:rPr>
                <w:rFonts w:hint="eastAsia"/>
                <w:sz w:val="24"/>
              </w:rPr>
              <w:t>时间</w:t>
            </w:r>
          </w:p>
        </w:tc>
        <w:tc>
          <w:tcPr>
            <w:tcW w:w="6614"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2021年01月28日8:30—9:30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8" w:type="dxa"/>
            <w:tcBorders>
              <w:top w:val="single" w:color="auto" w:sz="4" w:space="0"/>
              <w:left w:val="single" w:color="auto" w:sz="4" w:space="0"/>
              <w:bottom w:val="single" w:color="auto" w:sz="4" w:space="0"/>
              <w:right w:val="single" w:color="auto" w:sz="4" w:space="0"/>
            </w:tcBorders>
            <w:vAlign w:val="center"/>
          </w:tcPr>
          <w:p>
            <w:pPr>
              <w:widowControl/>
              <w:rPr>
                <w:sz w:val="24"/>
              </w:rPr>
            </w:pPr>
            <w:r>
              <w:rPr>
                <w:rFonts w:hint="eastAsia"/>
                <w:sz w:val="24"/>
              </w:rPr>
              <w:t>地点</w:t>
            </w:r>
          </w:p>
        </w:tc>
        <w:tc>
          <w:tcPr>
            <w:tcW w:w="6614"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江苏省启东市经济开发区钱塘江路3000号行政楼4楼会议室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08" w:type="dxa"/>
            <w:tcBorders>
              <w:top w:val="single" w:color="auto" w:sz="4" w:space="0"/>
              <w:left w:val="single" w:color="auto" w:sz="4" w:space="0"/>
              <w:bottom w:val="single" w:color="auto" w:sz="4" w:space="0"/>
              <w:right w:val="single" w:color="auto" w:sz="4" w:space="0"/>
            </w:tcBorders>
            <w:vAlign w:val="center"/>
          </w:tcPr>
          <w:p>
            <w:pPr>
              <w:widowControl/>
              <w:rPr>
                <w:sz w:val="24"/>
              </w:rPr>
            </w:pPr>
            <w:r>
              <w:rPr>
                <w:rFonts w:hint="eastAsia"/>
                <w:sz w:val="24"/>
              </w:rPr>
              <w:t>上市公司接待人员姓名</w:t>
            </w:r>
          </w:p>
        </w:tc>
        <w:tc>
          <w:tcPr>
            <w:tcW w:w="6614"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公司董事、财务总监：沈欣欣先生，公司副总经理、董事会秘书：张家铨先生，公司董秘办主任：沈志鹏先生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9"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Cs/>
                <w:iCs/>
                <w:color w:val="000000"/>
                <w:szCs w:val="21"/>
              </w:rPr>
            </w:pPr>
            <w:r>
              <w:rPr>
                <w:rFonts w:hint="eastAsia"/>
                <w:sz w:val="24"/>
              </w:rPr>
              <w:t>投资者关系活动主要内容介绍</w:t>
            </w:r>
          </w:p>
        </w:tc>
        <w:tc>
          <w:tcPr>
            <w:tcW w:w="6614" w:type="dxa"/>
            <w:tcBorders>
              <w:top w:val="single" w:color="auto" w:sz="4" w:space="0"/>
              <w:left w:val="single" w:color="auto" w:sz="4" w:space="0"/>
              <w:bottom w:val="single" w:color="auto" w:sz="4" w:space="0"/>
              <w:right w:val="single" w:color="auto" w:sz="4" w:space="0"/>
            </w:tcBorders>
          </w:tcPr>
          <w:p>
            <w:pPr>
              <w:pStyle w:val="9"/>
              <w:spacing w:line="360" w:lineRule="auto"/>
              <w:ind w:firstLine="482"/>
              <w:rPr>
                <w:rFonts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FF0000"/>
              </w:rPr>
              <w:t>一、董事会秘书张家铨介绍公司概况和2020年业绩预告情况。</w:t>
            </w:r>
          </w:p>
          <w:p>
            <w:pPr>
              <w:tabs>
                <w:tab w:val="left" w:pos="277"/>
              </w:tabs>
              <w:spacing w:before="156" w:beforeLines="50" w:after="156" w:afterLines="5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首先感谢中信建投证券组织今次机构网上调研活动，欢迎大家参加今天的网络会议。</w:t>
            </w:r>
          </w:p>
          <w:p>
            <w:pPr>
              <w:tabs>
                <w:tab w:val="left" w:pos="277"/>
              </w:tabs>
              <w:spacing w:before="156" w:beforeLines="50" w:after="156" w:afterLines="5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我们捷捷微电专业从事功率半导体芯片和器件的研发、设计、生产和销售，具备以先进的芯片技术和封装设计、制程及测试为核心竞争力的IDM业务体系。目前有3个工厂，</w:t>
            </w:r>
            <w:r>
              <w:rPr>
                <w:rFonts w:asciiTheme="minorEastAsia" w:hAnsiTheme="minorEastAsia" w:eastAsiaTheme="minorEastAsia" w:cstheme="minorEastAsia"/>
                <w:sz w:val="24"/>
              </w:rPr>
              <w:t>6</w:t>
            </w:r>
            <w:r>
              <w:rPr>
                <w:rFonts w:hint="eastAsia" w:asciiTheme="minorEastAsia" w:hAnsiTheme="minorEastAsia" w:eastAsiaTheme="minorEastAsia" w:cstheme="minorEastAsia"/>
                <w:sz w:val="24"/>
              </w:rPr>
              <w:t>个设计团队，一个国家级实验室，3个省级工程技术中心等，IDM营收占比约8</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color w:val="393939"/>
                <w:kern w:val="0"/>
                <w:sz w:val="24"/>
              </w:rPr>
              <w:t>公司</w:t>
            </w:r>
            <w:r>
              <w:rPr>
                <w:rFonts w:hint="eastAsia" w:asciiTheme="minorEastAsia" w:hAnsiTheme="minorEastAsia" w:eastAsiaTheme="minorEastAsia" w:cstheme="minorEastAsia"/>
                <w:sz w:val="24"/>
              </w:rPr>
              <w:t>在中美贸易战及中国半导体产业亟需国产替代进口和提升国产化率的机遇与挑战下，公司快速启动并实施定增</w:t>
            </w:r>
            <w:r>
              <w:rPr>
                <w:rFonts w:hint="eastAsia" w:asciiTheme="minorEastAsia" w:hAnsiTheme="minorEastAsia" w:eastAsiaTheme="minorEastAsia" w:cstheme="minorEastAsia"/>
                <w:sz w:val="24"/>
                <w:lang w:val="en-US" w:eastAsia="zh-CN"/>
              </w:rPr>
              <w:t>和拟可转债</w:t>
            </w:r>
            <w:r>
              <w:rPr>
                <w:rFonts w:hint="eastAsia" w:asciiTheme="minorEastAsia" w:hAnsiTheme="minorEastAsia" w:eastAsiaTheme="minorEastAsia" w:cstheme="minorEastAsia"/>
                <w:sz w:val="24"/>
              </w:rPr>
              <w:t>项目布局MOSFET、IGBT及第三代半导体器件等广阔市场新领域。</w:t>
            </w:r>
          </w:p>
          <w:p>
            <w:pPr>
              <w:spacing w:before="156" w:beforeLines="50" w:after="156" w:afterLines="50" w:line="360" w:lineRule="auto"/>
              <w:ind w:firstLine="450"/>
              <w:rPr>
                <w:rFonts w:cs="宋体"/>
                <w:color w:val="000000"/>
                <w:kern w:val="0"/>
                <w:sz w:val="24"/>
              </w:rPr>
            </w:pPr>
            <w:r>
              <w:rPr>
                <w:rFonts w:hint="eastAsia" w:ascii="宋体" w:hAnsi="宋体" w:cs="宋体"/>
                <w:sz w:val="24"/>
              </w:rPr>
              <w:t>2020年1月1日至2020年12月31日为预告报告期，报告期内</w:t>
            </w:r>
            <w:r>
              <w:rPr>
                <w:rFonts w:hint="eastAsia" w:ascii="宋体" w:hAnsi="宋体" w:cs="宋体"/>
                <w:color w:val="000000" w:themeColor="text1"/>
                <w:sz w:val="24"/>
                <w14:textFill>
                  <w14:solidFill>
                    <w14:schemeClr w14:val="tx1"/>
                  </w14:solidFill>
                </w14:textFill>
              </w:rPr>
              <w:t>公司聚焦主业发展方向，坚持以市场为导向，以创新为驱动，受益于产品结构升级和客户需求增长等，公司营业收入和归属于公司股东的净利润较上年同期同比增长。归属</w:t>
            </w:r>
            <w:r>
              <w:rPr>
                <w:rFonts w:hint="eastAsia"/>
                <w:color w:val="000000" w:themeColor="text1"/>
                <w:sz w:val="24"/>
                <w14:textFill>
                  <w14:solidFill>
                    <w14:schemeClr w14:val="tx1"/>
                  </w14:solidFill>
                </w14:textFill>
              </w:rPr>
              <w:t>于上市公司股东的净利润</w:t>
            </w:r>
            <w:r>
              <w:rPr>
                <w:rFonts w:hint="eastAsia" w:cs="宋体"/>
                <w:color w:val="000000"/>
                <w:kern w:val="0"/>
                <w:sz w:val="24"/>
              </w:rPr>
              <w:t>比上年同期增长：45%-55%，盈利：</w:t>
            </w:r>
            <w:r>
              <w:rPr>
                <w:rFonts w:cs="宋体"/>
                <w:color w:val="000000"/>
                <w:kern w:val="0"/>
                <w:sz w:val="24"/>
              </w:rPr>
              <w:t>27504.47</w:t>
            </w:r>
            <w:r>
              <w:rPr>
                <w:rFonts w:hint="eastAsia" w:cs="宋体"/>
                <w:color w:val="000000"/>
                <w:kern w:val="0"/>
                <w:sz w:val="24"/>
              </w:rPr>
              <w:t>万元–</w:t>
            </w:r>
            <w:r>
              <w:rPr>
                <w:rFonts w:cs="宋体"/>
                <w:color w:val="000000"/>
                <w:kern w:val="0"/>
                <w:sz w:val="24"/>
              </w:rPr>
              <w:t>29401.33</w:t>
            </w:r>
            <w:r>
              <w:rPr>
                <w:rFonts w:hint="eastAsia" w:cs="宋体"/>
                <w:color w:val="000000"/>
                <w:kern w:val="0"/>
                <w:sz w:val="24"/>
              </w:rPr>
              <w:t>万元。</w:t>
            </w:r>
            <w:r>
              <w:rPr>
                <w:rFonts w:hint="eastAsia"/>
                <w:color w:val="000000" w:themeColor="text1"/>
                <w:sz w:val="24"/>
                <w14:textFill>
                  <w14:solidFill>
                    <w14:schemeClr w14:val="tx1"/>
                  </w14:solidFill>
                </w14:textFill>
              </w:rPr>
              <w:t>报告期内，非经常性损益对归属于公司股东的净利润影响额约为</w:t>
            </w:r>
            <w:r>
              <w:rPr>
                <w:color w:val="000000" w:themeColor="text1"/>
                <w:sz w:val="24"/>
                <w14:textFill>
                  <w14:solidFill>
                    <w14:schemeClr w14:val="tx1"/>
                  </w14:solidFill>
                </w14:textFill>
              </w:rPr>
              <w:t>1113.00</w:t>
            </w:r>
            <w:r>
              <w:rPr>
                <w:rFonts w:hint="eastAsia"/>
                <w:color w:val="000000" w:themeColor="text1"/>
                <w:sz w:val="24"/>
                <w14:textFill>
                  <w14:solidFill>
                    <w14:schemeClr w14:val="tx1"/>
                  </w14:solidFill>
                </w14:textFill>
              </w:rPr>
              <w:t>万元，去年同期为712.00万元。</w:t>
            </w:r>
          </w:p>
          <w:p>
            <w:pPr>
              <w:pStyle w:val="9"/>
              <w:spacing w:line="360" w:lineRule="auto"/>
              <w:ind w:firstLine="480"/>
              <w:rPr>
                <w:rFonts w:asciiTheme="minorEastAsia" w:hAnsiTheme="minorEastAsia" w:eastAsiaTheme="minorEastAsia" w:cstheme="minorEastAsia"/>
              </w:rPr>
            </w:pPr>
          </w:p>
          <w:p>
            <w:pPr>
              <w:pStyle w:val="9"/>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二、主要交流问题</w:t>
            </w:r>
          </w:p>
          <w:p>
            <w:pPr>
              <w:widowControl/>
              <w:spacing w:line="26" w:lineRule="atLeast"/>
              <w:jc w:val="left"/>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1、下游领域占比？各个领域代表性的客户有哪些？</w:t>
            </w:r>
          </w:p>
          <w:p>
            <w:pPr>
              <w:pStyle w:val="9"/>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答：公司的下游客户分布十分广泛,客户众多。按照产品的应用领域的不同,大致分为这几个类别:白色家电、小家电、漏保、电力电子模块、照明、安防、通讯、电表、汽车电子、电动工具和摩配等。公司下游客户多,并分散,应用领域宽泛。 目前下游客户情况:低压电器领域主要有正泰、德力西等;家用电器领域主要有海信、美的等;防护应用领域主要有飞利浦照明、大华股份、威胜集团、比亚迪等;电动工具领域主要有得伟、天宁等;无功补偿、电子电力模块以及摩配领域也有众多优质客户。占比情况为工控:30%;消费:30%;汽车:10%;通信:10%;安防:10%;其他:10%。谢谢!</w:t>
            </w:r>
          </w:p>
          <w:p>
            <w:pPr>
              <w:spacing w:line="360" w:lineRule="auto"/>
              <w:ind w:firstLine="480" w:firstLineChars="200"/>
              <w:rPr>
                <w:rFonts w:asciiTheme="minorEastAsia" w:hAnsiTheme="minorEastAsia" w:eastAsiaTheme="minorEastAsia" w:cstheme="minorEastAsia"/>
                <w:sz w:val="24"/>
              </w:rPr>
            </w:pPr>
          </w:p>
          <w:p>
            <w:pPr>
              <w:widowControl/>
              <w:spacing w:line="26" w:lineRule="atLeast"/>
              <w:jc w:val="left"/>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2、今年公司的下游需求如何？目前排产到什么时候？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答：下游需求旺盛延续着去年下半年旺盛的趋势，尤其是家电、通信和安防等领域。一部分原因是海外公司因为疫情原因导致的产能利用率不足和交期超延长等，另外，就是需求端包括替代进口空间等的大幅增长。目前公司订单排产至6月份。谢谢！</w:t>
            </w:r>
          </w:p>
          <w:p>
            <w:pPr>
              <w:spacing w:line="360" w:lineRule="auto"/>
              <w:ind w:firstLine="480" w:firstLineChars="200"/>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3、过去一段时间的涨价情况？未来还有没有涨价的打算？</w:t>
            </w:r>
          </w:p>
          <w:p>
            <w:pPr>
              <w:spacing w:line="360" w:lineRule="auto"/>
              <w:ind w:firstLine="480" w:firstLineChars="200"/>
              <w:rPr>
                <w:rFonts w:hint="eastAsia"/>
                <w:sz w:val="24"/>
              </w:rPr>
            </w:pPr>
            <w:r>
              <w:rPr>
                <w:rFonts w:hint="eastAsia" w:asciiTheme="minorEastAsia" w:hAnsiTheme="minorEastAsia" w:eastAsiaTheme="minorEastAsia" w:cstheme="minorEastAsia"/>
                <w:sz w:val="24"/>
              </w:rPr>
              <w:t>答：1.</w:t>
            </w:r>
            <w:r>
              <w:rPr>
                <w:rFonts w:hint="eastAsia" w:asciiTheme="minorEastAsia" w:hAnsiTheme="minorEastAsia" w:eastAsiaTheme="minorEastAsia" w:cstheme="minorEastAsia"/>
                <w:sz w:val="24"/>
                <w:lang w:val="en-US" w:eastAsia="zh-CN"/>
              </w:rPr>
              <w:t>晶闸管，</w:t>
            </w:r>
            <w:r>
              <w:rPr>
                <w:rFonts w:hint="eastAsia" w:asciiTheme="minorEastAsia" w:hAnsiTheme="minorEastAsia" w:eastAsiaTheme="minorEastAsia" w:cstheme="minorEastAsia"/>
                <w:sz w:val="24"/>
              </w:rPr>
              <w:t>2020</w:t>
            </w:r>
            <w:r>
              <w:rPr>
                <w:rFonts w:hint="eastAsia"/>
                <w:sz w:val="24"/>
              </w:rPr>
              <w:t>年11月16日，因部分原材料涨价等因素，产品价格作了调整（调升）</w:t>
            </w:r>
            <w:r>
              <w:rPr>
                <w:rFonts w:hint="eastAsia" w:asciiTheme="minorEastAsia" w:hAnsiTheme="minorEastAsia" w:eastAsiaTheme="minorEastAsia" w:cstheme="minorEastAsia"/>
                <w:sz w:val="24"/>
              </w:rPr>
              <w:t>；2.MOSFET，去年VD MOS、TRENCH MOS相关产品部分涨价；3.防护器件</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去年</w:t>
            </w:r>
            <w:r>
              <w:rPr>
                <w:rFonts w:hint="eastAsia" w:asciiTheme="minorEastAsia" w:hAnsiTheme="minorEastAsia" w:eastAsiaTheme="minorEastAsia" w:cstheme="minorEastAsia"/>
                <w:sz w:val="24"/>
              </w:rPr>
              <w:t>有部分产品提价，约3%左右。截至到2021年1月底，公司暂没有产品提价。目前可控硅的芯片已经暂停对外销售，全部自用封测。</w:t>
            </w:r>
            <w:r>
              <w:rPr>
                <w:rFonts w:hint="eastAsia"/>
                <w:sz w:val="24"/>
              </w:rPr>
              <w:t>谢谢！</w:t>
            </w:r>
          </w:p>
          <w:p>
            <w:pPr>
              <w:spacing w:line="360" w:lineRule="auto"/>
              <w:ind w:firstLine="480" w:firstLineChars="200"/>
              <w:rPr>
                <w:rFonts w:hint="eastAsia"/>
                <w:sz w:val="24"/>
              </w:rPr>
            </w:pPr>
          </w:p>
          <w:p>
            <w:pPr>
              <w:pStyle w:val="5"/>
              <w:spacing w:before="0" w:beforeAutospacing="0" w:after="0" w:afterAutospacing="0" w:line="360" w:lineRule="auto"/>
              <w:rPr>
                <w:rFonts w:asciiTheme="minorEastAsia" w:hAnsiTheme="minorEastAsia" w:eastAsiaTheme="minorEastAsia" w:cstheme="minorEastAsia"/>
                <w:color w:val="000000"/>
              </w:rPr>
            </w:pPr>
          </w:p>
          <w:p>
            <w:pPr>
              <w:spacing w:line="360" w:lineRule="auto"/>
              <w:rPr>
                <w:rFonts w:ascii="宋体" w:hAnsi="宋体"/>
                <w:b/>
                <w:color w:val="FF0000"/>
                <w:sz w:val="24"/>
              </w:rPr>
            </w:pPr>
            <w:r>
              <w:rPr>
                <w:rFonts w:hint="eastAsia" w:ascii="宋体" w:hAnsi="宋体"/>
                <w:b/>
                <w:color w:val="FF0000"/>
                <w:sz w:val="24"/>
              </w:rPr>
              <w:t>4、目前MOS的封装都是由自己完成还是部分委外？定增+转债 加码车规级的封测，目前两个项目的建设进展？预计什么时候投产？</w:t>
            </w:r>
          </w:p>
          <w:p>
            <w:pPr>
              <w:spacing w:line="360" w:lineRule="auto"/>
              <w:ind w:firstLine="480" w:firstLineChars="200"/>
              <w:rPr>
                <w:rFonts w:ascii="宋体" w:hAnsi="宋体"/>
                <w:bCs/>
                <w:color w:val="000000"/>
                <w:sz w:val="24"/>
              </w:rPr>
            </w:pPr>
            <w:r>
              <w:rPr>
                <w:rFonts w:hint="eastAsia" w:ascii="宋体" w:hAnsi="宋体"/>
                <w:bCs/>
                <w:color w:val="000000"/>
                <w:sz w:val="24"/>
              </w:rPr>
              <w:t>答：公司目前 MOSFET 主要采用 Fabless+封测的业务模式，公司委托芯片代工厂进行芯片制造，由于封装测试产能紧张，芯片一部分用于公司自主封测，另一部分委托外部封测厂进行封测。公司定增项目预计今年完成，由捷捷微电承建的电力电子器件生产线项目的部分产能得以释放；</w:t>
            </w:r>
            <w:r>
              <w:rPr>
                <w:rFonts w:hint="eastAsia" w:ascii="宋体" w:hAnsi="宋体"/>
                <w:bCs/>
                <w:color w:val="000000"/>
                <w:sz w:val="24"/>
                <w:lang w:val="en-US" w:eastAsia="zh-CN"/>
              </w:rPr>
              <w:t>拟</w:t>
            </w:r>
            <w:r>
              <w:rPr>
                <w:rFonts w:hint="eastAsia" w:ascii="宋体" w:hAnsi="宋体"/>
                <w:bCs/>
                <w:color w:val="000000"/>
                <w:sz w:val="24"/>
              </w:rPr>
              <w:t>可转债项目进展：环评报告已经拿到，能评、规划、土地等手续尚在办理过程中。项目建设周期为2年左右（含基础设施及配套建设）。具体情况请关注公司的相关公告。谢谢！</w:t>
            </w:r>
          </w:p>
          <w:p>
            <w:pPr>
              <w:spacing w:line="360" w:lineRule="auto"/>
              <w:rPr>
                <w:rFonts w:ascii="宋体" w:hAnsi="宋体"/>
                <w:bCs/>
                <w:color w:val="000000"/>
                <w:sz w:val="24"/>
              </w:rPr>
            </w:pPr>
          </w:p>
          <w:p>
            <w:pPr>
              <w:spacing w:line="360" w:lineRule="auto"/>
              <w:rPr>
                <w:rFonts w:ascii="宋体" w:hAnsi="宋体"/>
                <w:b/>
                <w:color w:val="FF0000"/>
                <w:sz w:val="24"/>
              </w:rPr>
            </w:pPr>
            <w:r>
              <w:rPr>
                <w:rFonts w:hint="eastAsia" w:ascii="宋体" w:hAnsi="宋体"/>
                <w:b/>
                <w:color w:val="FF0000"/>
                <w:sz w:val="24"/>
              </w:rPr>
              <w:t>5、公司第三代半导体进展情况？</w:t>
            </w:r>
          </w:p>
          <w:p>
            <w:pPr>
              <w:spacing w:line="360" w:lineRule="auto"/>
              <w:ind w:firstLine="480" w:firstLineChars="200"/>
              <w:rPr>
                <w:rFonts w:ascii="宋体" w:hAnsi="宋体"/>
                <w:bCs/>
                <w:color w:val="000000"/>
                <w:sz w:val="24"/>
              </w:rPr>
            </w:pPr>
            <w:r>
              <w:rPr>
                <w:rFonts w:hint="eastAsia" w:ascii="宋体" w:hAnsi="宋体"/>
                <w:bCs/>
                <w:color w:val="000000"/>
                <w:sz w:val="24"/>
              </w:rPr>
              <w:t>答：公司已与中科院微电子研究所、西安电子科大合作研发以SiC、GaN为代表第三代半导体材料的半导体器件，截止至2021年01月28日，公司拥有氮化镓和碳化硅相关实用新型专利4件，此外，公司还有4个发明专利尚在申请受理中此外，公司目前有少量碳化硅器件的封测，该系列产品仍在持续研究推进过程中，尚未进入量产阶段。后续进展情况，请关注公司相关公告。关于碳化硅器件和氮化镓器件，主要是“玩”材料，材料决定成本短期内很难下来，包括良率的问题等，决定了目前只能适合高端应用。从产业化的视角，材料搞起来才会有产业化进程的可能性。据了解，商用领域短时间内产业化的可能性不大，长期来看或10年左右时间，第三代半导体材料是功率半导体器件未来发展之必然。我们有耐心与信心做好技术和人才的准备，一步一台阶的走好每一步。谢谢！</w:t>
            </w:r>
          </w:p>
          <w:p>
            <w:pPr>
              <w:spacing w:line="360" w:lineRule="auto"/>
              <w:ind w:firstLine="480" w:firstLineChars="200"/>
              <w:rPr>
                <w:rFonts w:ascii="宋体" w:hAnsi="宋体"/>
                <w:bCs/>
                <w:color w:val="000000"/>
                <w:sz w:val="24"/>
              </w:rPr>
            </w:pPr>
          </w:p>
          <w:p>
            <w:pPr>
              <w:spacing w:line="360" w:lineRule="auto"/>
              <w:rPr>
                <w:rFonts w:ascii="宋体" w:hAnsi="宋体"/>
                <w:b/>
                <w:color w:val="FF0000"/>
                <w:sz w:val="24"/>
              </w:rPr>
            </w:pPr>
            <w:r>
              <w:rPr>
                <w:rFonts w:hint="eastAsia" w:ascii="宋体" w:hAnsi="宋体"/>
                <w:b/>
                <w:color w:val="FF0000"/>
                <w:sz w:val="24"/>
              </w:rPr>
              <w:t>6、</w:t>
            </w:r>
            <w:r>
              <w:rPr>
                <w:rFonts w:ascii="宋体" w:hAnsi="宋体"/>
                <w:b/>
                <w:color w:val="FF0000"/>
                <w:sz w:val="24"/>
              </w:rPr>
              <w:t>做MOS之前我们的IDM率接近100%，而MOS采用的是fabless的方式，未来会考虑进一步完善MOS的芯片制造能力么？</w:t>
            </w:r>
          </w:p>
          <w:p>
            <w:pPr>
              <w:spacing w:line="360" w:lineRule="auto"/>
              <w:ind w:firstLine="480" w:firstLineChars="200"/>
              <w:rPr>
                <w:rFonts w:ascii="宋体" w:hAnsi="宋体"/>
                <w:bCs/>
                <w:color w:val="000000"/>
                <w:sz w:val="24"/>
              </w:rPr>
            </w:pPr>
            <w:r>
              <w:rPr>
                <w:rFonts w:hint="eastAsia" w:ascii="宋体" w:hAnsi="宋体"/>
                <w:bCs/>
                <w:color w:val="000000"/>
                <w:sz w:val="24"/>
              </w:rPr>
              <w:t>答：我们</w:t>
            </w:r>
            <w:r>
              <w:rPr>
                <w:rFonts w:ascii="宋体" w:hAnsi="宋体"/>
                <w:bCs/>
                <w:color w:val="000000"/>
                <w:sz w:val="24"/>
              </w:rPr>
              <w:t>始终认为IDM模式</w:t>
            </w:r>
            <w:r>
              <w:rPr>
                <w:rFonts w:hint="eastAsia" w:ascii="宋体" w:hAnsi="宋体"/>
                <w:bCs/>
                <w:color w:val="000000"/>
                <w:sz w:val="24"/>
              </w:rPr>
              <w:t>是功率半导体的</w:t>
            </w:r>
            <w:r>
              <w:rPr>
                <w:rFonts w:ascii="宋体" w:hAnsi="宋体"/>
                <w:bCs/>
                <w:color w:val="000000"/>
                <w:sz w:val="24"/>
              </w:rPr>
              <w:t>核心竞争力</w:t>
            </w:r>
            <w:r>
              <w:rPr>
                <w:rFonts w:hint="eastAsia" w:ascii="宋体" w:hAnsi="宋体"/>
                <w:bCs/>
                <w:color w:val="000000"/>
                <w:sz w:val="24"/>
              </w:rPr>
              <w:t>之一</w:t>
            </w:r>
            <w:r>
              <w:rPr>
                <w:rFonts w:ascii="宋体" w:hAnsi="宋体"/>
                <w:bCs/>
                <w:color w:val="000000"/>
                <w:sz w:val="24"/>
              </w:rPr>
              <w:t>，当然</w:t>
            </w:r>
            <w:r>
              <w:rPr>
                <w:rFonts w:hint="eastAsia" w:ascii="宋体" w:hAnsi="宋体"/>
                <w:bCs/>
                <w:color w:val="000000"/>
                <w:sz w:val="24"/>
              </w:rPr>
              <w:t>，</w:t>
            </w:r>
            <w:r>
              <w:rPr>
                <w:rFonts w:ascii="宋体" w:hAnsi="宋体"/>
                <w:bCs/>
                <w:color w:val="000000"/>
                <w:sz w:val="24"/>
              </w:rPr>
              <w:t>在一些</w:t>
            </w:r>
            <w:r>
              <w:rPr>
                <w:rFonts w:hint="eastAsia" w:ascii="宋体" w:hAnsi="宋体"/>
                <w:bCs/>
                <w:color w:val="000000"/>
                <w:sz w:val="24"/>
              </w:rPr>
              <w:t>应用</w:t>
            </w:r>
            <w:r>
              <w:rPr>
                <w:rFonts w:ascii="宋体" w:hAnsi="宋体"/>
                <w:bCs/>
                <w:color w:val="000000"/>
                <w:sz w:val="24"/>
              </w:rPr>
              <w:t>领域</w:t>
            </w:r>
            <w:r>
              <w:rPr>
                <w:rFonts w:hint="eastAsia" w:ascii="宋体" w:hAnsi="宋体"/>
                <w:bCs/>
                <w:color w:val="000000"/>
                <w:sz w:val="24"/>
                <w:lang w:eastAsia="zh-CN"/>
              </w:rPr>
              <w:t>，</w:t>
            </w:r>
            <w:r>
              <w:rPr>
                <w:rFonts w:hint="eastAsia" w:ascii="宋体" w:hAnsi="宋体"/>
                <w:bCs/>
                <w:color w:val="000000"/>
                <w:sz w:val="24"/>
              </w:rPr>
              <w:t>阶段性</w:t>
            </w:r>
            <w:r>
              <w:rPr>
                <w:rFonts w:ascii="宋体" w:hAnsi="宋体"/>
                <w:bCs/>
                <w:color w:val="000000"/>
                <w:sz w:val="24"/>
              </w:rPr>
              <w:t>的分工</w:t>
            </w:r>
            <w:r>
              <w:rPr>
                <w:rFonts w:hint="eastAsia" w:ascii="宋体" w:hAnsi="宋体"/>
                <w:bCs/>
                <w:color w:val="000000"/>
                <w:sz w:val="24"/>
              </w:rPr>
              <w:t>并结合安全边际与边际效应等</w:t>
            </w:r>
            <w:r>
              <w:rPr>
                <w:rFonts w:hint="eastAsia" w:ascii="宋体" w:hAnsi="宋体"/>
                <w:bCs/>
                <w:color w:val="000000"/>
                <w:sz w:val="24"/>
                <w:lang w:val="en-US" w:eastAsia="zh-CN"/>
              </w:rPr>
              <w:t>因素同样</w:t>
            </w:r>
            <w:r>
              <w:rPr>
                <w:rFonts w:ascii="宋体" w:hAnsi="宋体"/>
                <w:bCs/>
                <w:color w:val="000000"/>
                <w:sz w:val="24"/>
              </w:rPr>
              <w:t>具</w:t>
            </w:r>
            <w:r>
              <w:rPr>
                <w:rFonts w:hint="eastAsia" w:ascii="宋体" w:hAnsi="宋体"/>
                <w:bCs/>
                <w:color w:val="000000"/>
                <w:sz w:val="24"/>
              </w:rPr>
              <w:t>备一定的</w:t>
            </w:r>
            <w:r>
              <w:rPr>
                <w:rFonts w:ascii="宋体" w:hAnsi="宋体"/>
                <w:bCs/>
                <w:color w:val="000000"/>
                <w:sz w:val="24"/>
              </w:rPr>
              <w:t>性价比。我们现在的产能和封测能力能满足未来几年一定的复合增长,</w:t>
            </w:r>
            <w:r>
              <w:rPr>
                <w:rFonts w:hint="eastAsia" w:ascii="宋体" w:hAnsi="宋体"/>
                <w:bCs/>
                <w:color w:val="000000"/>
                <w:sz w:val="24"/>
              </w:rPr>
              <w:t>结合目前市场情形，公司</w:t>
            </w:r>
            <w:r>
              <w:rPr>
                <w:rFonts w:ascii="宋体" w:hAnsi="宋体"/>
                <w:bCs/>
                <w:color w:val="000000"/>
                <w:sz w:val="24"/>
              </w:rPr>
              <w:t>未来产能还</w:t>
            </w:r>
            <w:r>
              <w:rPr>
                <w:rFonts w:hint="eastAsia" w:ascii="宋体" w:hAnsi="宋体"/>
                <w:bCs/>
                <w:color w:val="000000"/>
                <w:sz w:val="24"/>
              </w:rPr>
              <w:t>需要</w:t>
            </w:r>
            <w:r>
              <w:rPr>
                <w:rFonts w:ascii="宋体" w:hAnsi="宋体"/>
                <w:bCs/>
                <w:color w:val="000000"/>
                <w:sz w:val="24"/>
              </w:rPr>
              <w:t>一定的扩充</w:t>
            </w:r>
            <w:r>
              <w:rPr>
                <w:rFonts w:hint="eastAsia" w:ascii="宋体" w:hAnsi="宋体"/>
                <w:bCs/>
                <w:color w:val="000000"/>
                <w:sz w:val="24"/>
              </w:rPr>
              <w:t>，</w:t>
            </w:r>
            <w:r>
              <w:rPr>
                <w:rFonts w:ascii="宋体" w:hAnsi="宋体"/>
                <w:bCs/>
                <w:color w:val="000000"/>
                <w:sz w:val="24"/>
              </w:rPr>
              <w:t>阶梯式发展</w:t>
            </w:r>
            <w:r>
              <w:rPr>
                <w:rFonts w:hint="eastAsia" w:ascii="宋体" w:hAnsi="宋体"/>
                <w:bCs/>
                <w:color w:val="000000"/>
                <w:sz w:val="24"/>
              </w:rPr>
              <w:t>模式比较适合我们公司现状，包括团队建设等。</w:t>
            </w:r>
            <w:r>
              <w:rPr>
                <w:rFonts w:ascii="宋体" w:hAnsi="宋体"/>
                <w:bCs/>
                <w:color w:val="000000"/>
                <w:sz w:val="24"/>
              </w:rPr>
              <w:t>当然</w:t>
            </w:r>
            <w:r>
              <w:rPr>
                <w:rFonts w:hint="eastAsia" w:ascii="宋体" w:hAnsi="宋体"/>
                <w:bCs/>
                <w:color w:val="000000"/>
                <w:sz w:val="24"/>
              </w:rPr>
              <w:t>，</w:t>
            </w:r>
            <w:r>
              <w:rPr>
                <w:rFonts w:ascii="宋体" w:hAnsi="宋体"/>
                <w:bCs/>
                <w:color w:val="000000"/>
                <w:sz w:val="24"/>
              </w:rPr>
              <w:t>通过定增项目及</w:t>
            </w:r>
            <w:r>
              <w:rPr>
                <w:rFonts w:hint="eastAsia" w:ascii="宋体" w:hAnsi="宋体"/>
                <w:bCs/>
                <w:color w:val="000000"/>
                <w:sz w:val="24"/>
              </w:rPr>
              <w:t>拟</w:t>
            </w:r>
            <w:r>
              <w:rPr>
                <w:rFonts w:ascii="宋体" w:hAnsi="宋体"/>
                <w:bCs/>
                <w:color w:val="000000"/>
                <w:sz w:val="24"/>
              </w:rPr>
              <w:t>可转债项目</w:t>
            </w:r>
            <w:r>
              <w:rPr>
                <w:rFonts w:hint="eastAsia" w:ascii="宋体" w:hAnsi="宋体"/>
                <w:bCs/>
                <w:color w:val="000000"/>
                <w:sz w:val="24"/>
              </w:rPr>
              <w:t>等</w:t>
            </w:r>
            <w:r>
              <w:rPr>
                <w:rFonts w:ascii="宋体" w:hAnsi="宋体"/>
                <w:bCs/>
                <w:color w:val="000000"/>
                <w:sz w:val="24"/>
              </w:rPr>
              <w:t>建设</w:t>
            </w:r>
            <w:r>
              <w:rPr>
                <w:rFonts w:hint="eastAsia" w:ascii="宋体" w:hAnsi="宋体"/>
                <w:bCs/>
                <w:color w:val="000000"/>
                <w:sz w:val="24"/>
              </w:rPr>
              <w:t>，</w:t>
            </w:r>
            <w:r>
              <w:rPr>
                <w:rFonts w:ascii="宋体" w:hAnsi="宋体"/>
                <w:bCs/>
                <w:color w:val="000000"/>
                <w:sz w:val="24"/>
              </w:rPr>
              <w:t>我们的</w:t>
            </w:r>
            <w:r>
              <w:rPr>
                <w:rFonts w:hint="eastAsia" w:ascii="宋体" w:hAnsi="宋体"/>
                <w:bCs/>
                <w:color w:val="000000"/>
                <w:sz w:val="24"/>
              </w:rPr>
              <w:t>产能与产能利用率</w:t>
            </w:r>
            <w:r>
              <w:rPr>
                <w:rFonts w:ascii="宋体" w:hAnsi="宋体"/>
                <w:bCs/>
                <w:color w:val="000000"/>
                <w:sz w:val="24"/>
              </w:rPr>
              <w:t>会有一定程度的提升</w:t>
            </w:r>
            <w:r>
              <w:rPr>
                <w:rFonts w:hint="eastAsia" w:ascii="宋体" w:hAnsi="宋体"/>
                <w:bCs/>
                <w:color w:val="000000"/>
                <w:sz w:val="24"/>
              </w:rPr>
              <w:t>，</w:t>
            </w:r>
            <w:r>
              <w:rPr>
                <w:rFonts w:hint="eastAsia" w:ascii="宋体" w:hAnsi="宋体"/>
                <w:bCs/>
                <w:color w:val="000000"/>
                <w:sz w:val="24"/>
                <w:lang w:val="en-US" w:eastAsia="zh-CN"/>
              </w:rPr>
              <w:t>从而</w:t>
            </w:r>
            <w:r>
              <w:rPr>
                <w:rFonts w:hint="eastAsia" w:ascii="宋体" w:hAnsi="宋体"/>
                <w:bCs/>
                <w:color w:val="000000"/>
                <w:sz w:val="24"/>
              </w:rPr>
              <w:t>进一步推</w:t>
            </w:r>
            <w:r>
              <w:rPr>
                <w:rFonts w:hint="eastAsia" w:ascii="宋体" w:hAnsi="宋体"/>
                <w:bCs/>
                <w:color w:val="000000"/>
                <w:sz w:val="24"/>
                <w:lang w:val="en-US" w:eastAsia="zh-CN"/>
              </w:rPr>
              <w:t>动</w:t>
            </w:r>
            <w:r>
              <w:rPr>
                <w:rFonts w:hint="eastAsia" w:ascii="宋体" w:hAnsi="宋体"/>
                <w:bCs/>
                <w:color w:val="000000"/>
                <w:sz w:val="24"/>
              </w:rPr>
              <w:t>公司的可持续发展</w:t>
            </w:r>
            <w:r>
              <w:rPr>
                <w:rFonts w:ascii="宋体" w:hAnsi="宋体"/>
                <w:bCs/>
                <w:color w:val="000000"/>
                <w:sz w:val="24"/>
              </w:rPr>
              <w:t>。</w:t>
            </w:r>
            <w:r>
              <w:rPr>
                <w:rFonts w:hint="eastAsia" w:ascii="宋体" w:hAnsi="宋体"/>
                <w:bCs/>
                <w:color w:val="000000"/>
                <w:sz w:val="24"/>
              </w:rPr>
              <w:t>谢谢！</w:t>
            </w:r>
          </w:p>
          <w:p>
            <w:pPr>
              <w:spacing w:line="360" w:lineRule="auto"/>
              <w:ind w:firstLine="480" w:firstLineChars="200"/>
              <w:rPr>
                <w:rFonts w:ascii="宋体" w:hAnsi="宋体"/>
                <w:bCs/>
                <w:color w:val="000000"/>
                <w:sz w:val="24"/>
              </w:rPr>
            </w:pPr>
          </w:p>
          <w:p>
            <w:pPr>
              <w:spacing w:line="360" w:lineRule="auto"/>
              <w:rPr>
                <w:rFonts w:ascii="宋体" w:hAnsi="宋体"/>
                <w:b/>
                <w:color w:val="FF0000"/>
                <w:sz w:val="24"/>
              </w:rPr>
            </w:pPr>
            <w:r>
              <w:rPr>
                <w:rFonts w:hint="eastAsia" w:ascii="宋体" w:hAnsi="宋体"/>
                <w:b/>
                <w:color w:val="FF0000"/>
                <w:sz w:val="24"/>
              </w:rPr>
              <w:t>7、</w:t>
            </w:r>
            <w:r>
              <w:rPr>
                <w:rFonts w:ascii="宋体" w:hAnsi="宋体"/>
                <w:b/>
                <w:color w:val="FF0000"/>
                <w:sz w:val="24"/>
              </w:rPr>
              <w:t>预计这个景气周期能持续多久？</w:t>
            </w:r>
          </w:p>
          <w:p>
            <w:pPr>
              <w:spacing w:line="360" w:lineRule="auto"/>
              <w:ind w:firstLine="480" w:firstLineChars="200"/>
              <w:rPr>
                <w:rFonts w:ascii="宋体" w:hAnsi="宋体"/>
                <w:bCs/>
                <w:color w:val="000000"/>
                <w:sz w:val="24"/>
              </w:rPr>
            </w:pPr>
            <w:r>
              <w:rPr>
                <w:rFonts w:hint="eastAsia" w:ascii="宋体" w:hAnsi="宋体"/>
                <w:bCs/>
                <w:color w:val="000000"/>
                <w:sz w:val="24"/>
              </w:rPr>
              <w:t>答：整个半导体产业2020年第三、四季度同比增幅比较大，若用去年第四季度的情形来预测2</w:t>
            </w:r>
            <w:r>
              <w:rPr>
                <w:rFonts w:ascii="宋体" w:hAnsi="宋体"/>
                <w:bCs/>
                <w:color w:val="000000"/>
                <w:sz w:val="24"/>
              </w:rPr>
              <w:t>021</w:t>
            </w:r>
            <w:r>
              <w:rPr>
                <w:rFonts w:hint="eastAsia" w:ascii="宋体" w:hAnsi="宋体"/>
                <w:bCs/>
                <w:color w:val="000000"/>
                <w:sz w:val="24"/>
              </w:rPr>
              <w:t>年的产业趋势，应该是不错的，况且受疫情影响，海外工厂的产能不足与交期</w:t>
            </w:r>
            <w:r>
              <w:rPr>
                <w:rFonts w:hint="eastAsia" w:ascii="宋体" w:hAnsi="宋体"/>
                <w:bCs/>
                <w:color w:val="000000"/>
                <w:sz w:val="24"/>
                <w:lang w:val="en-US" w:eastAsia="zh-CN"/>
              </w:rPr>
              <w:t>延后的</w:t>
            </w:r>
            <w:r>
              <w:rPr>
                <w:rFonts w:hint="eastAsia" w:ascii="宋体" w:hAnsi="宋体"/>
                <w:bCs/>
                <w:color w:val="000000"/>
                <w:sz w:val="24"/>
              </w:rPr>
              <w:t>原因和下游需求端（包括进口替代）增长等因素</w:t>
            </w:r>
            <w:r>
              <w:rPr>
                <w:rFonts w:hint="eastAsia" w:ascii="宋体" w:hAnsi="宋体"/>
                <w:bCs/>
                <w:color w:val="000000"/>
                <w:sz w:val="24"/>
                <w:lang w:val="en-US" w:eastAsia="zh-CN"/>
              </w:rPr>
              <w:t>的</w:t>
            </w:r>
            <w:r>
              <w:rPr>
                <w:rFonts w:hint="eastAsia" w:ascii="宋体" w:hAnsi="宋体"/>
                <w:bCs/>
                <w:color w:val="000000"/>
                <w:sz w:val="24"/>
              </w:rPr>
              <w:t>影响，就功率半导体产业而言，预计今年的情况</w:t>
            </w:r>
            <w:r>
              <w:rPr>
                <w:rFonts w:hint="eastAsia" w:ascii="宋体" w:hAnsi="宋体"/>
                <w:bCs/>
                <w:color w:val="000000"/>
                <w:sz w:val="24"/>
                <w:lang w:val="en-US" w:eastAsia="zh-CN"/>
              </w:rPr>
              <w:t>是</w:t>
            </w:r>
            <w:bookmarkStart w:id="0" w:name="_GoBack"/>
            <w:bookmarkEnd w:id="0"/>
            <w:r>
              <w:rPr>
                <w:rFonts w:hint="eastAsia" w:ascii="宋体" w:hAnsi="宋体"/>
                <w:bCs/>
                <w:color w:val="000000"/>
                <w:sz w:val="24"/>
              </w:rPr>
              <w:t>可预期的。谢谢！</w:t>
            </w:r>
          </w:p>
          <w:p>
            <w:pPr>
              <w:spacing w:line="360" w:lineRule="auto"/>
              <w:rPr>
                <w:rFonts w:hint="eastAsia" w:ascii="宋体" w:hAnsi="宋体"/>
                <w:bCs/>
                <w:color w:val="000000"/>
                <w:sz w:val="24"/>
              </w:rPr>
            </w:pPr>
          </w:p>
          <w:p>
            <w:pPr>
              <w:spacing w:line="360" w:lineRule="auto"/>
              <w:ind w:firstLine="480" w:firstLineChars="200"/>
              <w:rPr>
                <w:rFonts w:ascii="宋体" w:hAnsi="宋体"/>
                <w:bCs/>
                <w:color w:val="000000"/>
                <w:sz w:val="24"/>
              </w:rPr>
            </w:pPr>
            <w:r>
              <w:rPr>
                <w:rFonts w:hint="eastAsia" w:ascii="宋体" w:hAnsi="宋体"/>
                <w:bCs/>
                <w:color w:val="000000"/>
                <w:sz w:val="24"/>
              </w:rPr>
              <w:t>公司董秘张家铨先生最后表示，欢迎来公司工厂调研与指导。</w:t>
            </w:r>
          </w:p>
          <w:p>
            <w:pPr>
              <w:spacing w:line="30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tLeast"/>
              <w:jc w:val="center"/>
              <w:rPr>
                <w:rFonts w:ascii="宋体" w:hAnsi="宋体"/>
                <w:bCs/>
                <w:iCs/>
                <w:color w:val="000000"/>
                <w:sz w:val="24"/>
              </w:rPr>
            </w:pPr>
            <w:r>
              <w:rPr>
                <w:rFonts w:hint="eastAsia" w:ascii="宋体" w:hAnsi="宋体"/>
                <w:bCs/>
                <w:iCs/>
                <w:color w:val="000000"/>
                <w:sz w:val="24"/>
              </w:rPr>
              <w:t>附件清单（如有）</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jc w:val="center"/>
              <w:rPr>
                <w:rFonts w:cs="Calibri"/>
                <w:sz w:val="24"/>
              </w:rPr>
            </w:pPr>
            <w:r>
              <w:rPr>
                <w:rFonts w:hint="eastAsia" w:cs="Calibri"/>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tLeast"/>
              <w:jc w:val="center"/>
              <w:rPr>
                <w:rFonts w:ascii="宋体" w:hAnsi="宋体"/>
                <w:bCs/>
                <w:iCs/>
                <w:color w:val="000000"/>
                <w:sz w:val="24"/>
              </w:rPr>
            </w:pPr>
            <w:r>
              <w:rPr>
                <w:rFonts w:hint="eastAsia" w:ascii="宋体" w:hAnsi="宋体"/>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jc w:val="center"/>
              <w:rPr>
                <w:rFonts w:cs="Calibri"/>
                <w:sz w:val="24"/>
              </w:rPr>
            </w:pPr>
            <w:r>
              <w:rPr>
                <w:rFonts w:hint="eastAsia" w:ascii="宋体" w:hAnsi="宋体" w:cs="宋体"/>
                <w:sz w:val="24"/>
              </w:rPr>
              <w:t>2021-01-28</w:t>
            </w:r>
          </w:p>
        </w:tc>
      </w:tr>
    </w:tbl>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sz w:val="15"/>
        <w:szCs w:val="15"/>
      </w:rPr>
      <w:t xml:space="preserve">                                                                </w:t>
    </w:r>
    <w:r>
      <w:rPr>
        <w:sz w:val="15"/>
        <w:szCs w:val="15"/>
      </w:rPr>
      <w:drawing>
        <wp:inline distT="0" distB="0" distL="0" distR="0">
          <wp:extent cx="196850" cy="196850"/>
          <wp:effectExtent l="0" t="0" r="0" b="0"/>
          <wp:docPr id="1" name="图片 1" descr="公司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
                  <pic:cNvPicPr>
                    <a:picLocks noChangeAspect="1" noChangeArrowheads="1"/>
                  </pic:cNvPicPr>
                </pic:nvPicPr>
                <pic:blipFill>
                  <a:blip r:embed="rId1">
                    <a:extLst>
                      <a:ext uri="{28A0092B-C50C-407E-A947-70E740481C1C}">
                        <a14:useLocalDpi xmlns:a14="http://schemas.microsoft.com/office/drawing/2010/main" val="0"/>
                      </a:ext>
                    </a:extLst>
                  </a:blip>
                  <a:srcRect l="3192" t="4109" r="6383"/>
                  <a:stretch>
                    <a:fillRect/>
                  </a:stretch>
                </pic:blipFill>
                <pic:spPr>
                  <a:xfrm>
                    <a:off x="0" y="0"/>
                    <a:ext cx="196850" cy="196850"/>
                  </a:xfrm>
                  <a:prstGeom prst="rect">
                    <a:avLst/>
                  </a:prstGeom>
                  <a:noFill/>
                  <a:ln>
                    <a:noFill/>
                  </a:ln>
                </pic:spPr>
              </pic:pic>
            </a:graphicData>
          </a:graphic>
        </wp:inline>
      </w:drawing>
    </w:r>
    <w:r>
      <w:rPr>
        <w:rFonts w:hint="eastAsia" w:ascii="宋体" w:hAnsi="宋体" w:cs="宋体"/>
        <w:color w:val="000000"/>
        <w:sz w:val="24"/>
        <w:szCs w:val="24"/>
      </w:rPr>
      <w:t>江苏捷捷微电子股份有限公司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91"/>
    <w:rsid w:val="0001155E"/>
    <w:rsid w:val="000232CF"/>
    <w:rsid w:val="00051021"/>
    <w:rsid w:val="00056555"/>
    <w:rsid w:val="0006753D"/>
    <w:rsid w:val="00075806"/>
    <w:rsid w:val="000849CB"/>
    <w:rsid w:val="00086833"/>
    <w:rsid w:val="00096CC3"/>
    <w:rsid w:val="000A2528"/>
    <w:rsid w:val="000B14A5"/>
    <w:rsid w:val="000B4817"/>
    <w:rsid w:val="000B4AEE"/>
    <w:rsid w:val="000B7903"/>
    <w:rsid w:val="000D06B9"/>
    <w:rsid w:val="000D25DE"/>
    <w:rsid w:val="000D2D6A"/>
    <w:rsid w:val="000D7218"/>
    <w:rsid w:val="000D758A"/>
    <w:rsid w:val="000E0C8A"/>
    <w:rsid w:val="000E6BD7"/>
    <w:rsid w:val="000E7138"/>
    <w:rsid w:val="000F1C1F"/>
    <w:rsid w:val="000F1C81"/>
    <w:rsid w:val="001125DD"/>
    <w:rsid w:val="00113374"/>
    <w:rsid w:val="00114ABA"/>
    <w:rsid w:val="00123F29"/>
    <w:rsid w:val="00124AC2"/>
    <w:rsid w:val="001270F6"/>
    <w:rsid w:val="00127BD9"/>
    <w:rsid w:val="00130FE8"/>
    <w:rsid w:val="00133904"/>
    <w:rsid w:val="0013620B"/>
    <w:rsid w:val="00140CA5"/>
    <w:rsid w:val="00141F2F"/>
    <w:rsid w:val="00153CFA"/>
    <w:rsid w:val="0015489C"/>
    <w:rsid w:val="00161836"/>
    <w:rsid w:val="00166180"/>
    <w:rsid w:val="00171B71"/>
    <w:rsid w:val="0017210B"/>
    <w:rsid w:val="00172A27"/>
    <w:rsid w:val="001736F2"/>
    <w:rsid w:val="00173AC1"/>
    <w:rsid w:val="0018663F"/>
    <w:rsid w:val="00186B5C"/>
    <w:rsid w:val="00190EA4"/>
    <w:rsid w:val="00191DEB"/>
    <w:rsid w:val="001965F0"/>
    <w:rsid w:val="001A2EBB"/>
    <w:rsid w:val="001A62B0"/>
    <w:rsid w:val="001B4F15"/>
    <w:rsid w:val="001B5C26"/>
    <w:rsid w:val="001B62CF"/>
    <w:rsid w:val="001B7058"/>
    <w:rsid w:val="001D2BE5"/>
    <w:rsid w:val="001D3BA9"/>
    <w:rsid w:val="001E36BD"/>
    <w:rsid w:val="001E774B"/>
    <w:rsid w:val="001E79A0"/>
    <w:rsid w:val="001F5C06"/>
    <w:rsid w:val="001F6F38"/>
    <w:rsid w:val="0020060A"/>
    <w:rsid w:val="00203894"/>
    <w:rsid w:val="00204686"/>
    <w:rsid w:val="00206B6A"/>
    <w:rsid w:val="00233833"/>
    <w:rsid w:val="00236BEB"/>
    <w:rsid w:val="00244297"/>
    <w:rsid w:val="00250FE1"/>
    <w:rsid w:val="002567CC"/>
    <w:rsid w:val="00263576"/>
    <w:rsid w:val="002768A1"/>
    <w:rsid w:val="002879A5"/>
    <w:rsid w:val="002940EF"/>
    <w:rsid w:val="00296E19"/>
    <w:rsid w:val="002A150B"/>
    <w:rsid w:val="002A15FC"/>
    <w:rsid w:val="002A3004"/>
    <w:rsid w:val="002A4576"/>
    <w:rsid w:val="002B17ED"/>
    <w:rsid w:val="002B27BF"/>
    <w:rsid w:val="002D63AA"/>
    <w:rsid w:val="002E2746"/>
    <w:rsid w:val="002E33CA"/>
    <w:rsid w:val="002E6EED"/>
    <w:rsid w:val="002F2793"/>
    <w:rsid w:val="002F2C61"/>
    <w:rsid w:val="002F5059"/>
    <w:rsid w:val="003030D0"/>
    <w:rsid w:val="00311CC7"/>
    <w:rsid w:val="003148D6"/>
    <w:rsid w:val="00316E54"/>
    <w:rsid w:val="003175F2"/>
    <w:rsid w:val="00320850"/>
    <w:rsid w:val="00321D35"/>
    <w:rsid w:val="00321F5E"/>
    <w:rsid w:val="0032626E"/>
    <w:rsid w:val="00327DC6"/>
    <w:rsid w:val="0033052E"/>
    <w:rsid w:val="003327F7"/>
    <w:rsid w:val="00350906"/>
    <w:rsid w:val="0035646B"/>
    <w:rsid w:val="00356B88"/>
    <w:rsid w:val="00382F55"/>
    <w:rsid w:val="00387B6F"/>
    <w:rsid w:val="003938B4"/>
    <w:rsid w:val="00393F3D"/>
    <w:rsid w:val="00397D80"/>
    <w:rsid w:val="003A2196"/>
    <w:rsid w:val="003A2F94"/>
    <w:rsid w:val="003A341F"/>
    <w:rsid w:val="003B01D8"/>
    <w:rsid w:val="003B2F09"/>
    <w:rsid w:val="003C6DC8"/>
    <w:rsid w:val="003F0077"/>
    <w:rsid w:val="003F2087"/>
    <w:rsid w:val="00402011"/>
    <w:rsid w:val="00402864"/>
    <w:rsid w:val="00403287"/>
    <w:rsid w:val="004136E8"/>
    <w:rsid w:val="0041497D"/>
    <w:rsid w:val="00417714"/>
    <w:rsid w:val="00423DBD"/>
    <w:rsid w:val="00424731"/>
    <w:rsid w:val="0043346C"/>
    <w:rsid w:val="00434923"/>
    <w:rsid w:val="00436215"/>
    <w:rsid w:val="004362BB"/>
    <w:rsid w:val="00437359"/>
    <w:rsid w:val="0044191F"/>
    <w:rsid w:val="00443C71"/>
    <w:rsid w:val="0044637E"/>
    <w:rsid w:val="00452709"/>
    <w:rsid w:val="004602CD"/>
    <w:rsid w:val="00460894"/>
    <w:rsid w:val="0046127B"/>
    <w:rsid w:val="00461A96"/>
    <w:rsid w:val="00472040"/>
    <w:rsid w:val="004727F2"/>
    <w:rsid w:val="0047339C"/>
    <w:rsid w:val="00477784"/>
    <w:rsid w:val="004801ED"/>
    <w:rsid w:val="0048170D"/>
    <w:rsid w:val="0048194B"/>
    <w:rsid w:val="004836DD"/>
    <w:rsid w:val="004869CA"/>
    <w:rsid w:val="004936F0"/>
    <w:rsid w:val="0049377D"/>
    <w:rsid w:val="00494B7D"/>
    <w:rsid w:val="00496B51"/>
    <w:rsid w:val="004A498D"/>
    <w:rsid w:val="004A7F93"/>
    <w:rsid w:val="004D5D08"/>
    <w:rsid w:val="004D7D69"/>
    <w:rsid w:val="004E1562"/>
    <w:rsid w:val="004E73D6"/>
    <w:rsid w:val="004F2A38"/>
    <w:rsid w:val="004F3FA1"/>
    <w:rsid w:val="004F514A"/>
    <w:rsid w:val="004F5363"/>
    <w:rsid w:val="004F63D5"/>
    <w:rsid w:val="004F73C7"/>
    <w:rsid w:val="00501C57"/>
    <w:rsid w:val="00521AF6"/>
    <w:rsid w:val="005232D1"/>
    <w:rsid w:val="0052529E"/>
    <w:rsid w:val="00526599"/>
    <w:rsid w:val="00530D01"/>
    <w:rsid w:val="00535798"/>
    <w:rsid w:val="0054313D"/>
    <w:rsid w:val="00543744"/>
    <w:rsid w:val="00545E7D"/>
    <w:rsid w:val="00553B86"/>
    <w:rsid w:val="005610F1"/>
    <w:rsid w:val="005625D2"/>
    <w:rsid w:val="00572C3C"/>
    <w:rsid w:val="00574C2B"/>
    <w:rsid w:val="00582FDC"/>
    <w:rsid w:val="0059078F"/>
    <w:rsid w:val="00593748"/>
    <w:rsid w:val="005B0584"/>
    <w:rsid w:val="005B07E3"/>
    <w:rsid w:val="005B2C1C"/>
    <w:rsid w:val="005B5850"/>
    <w:rsid w:val="005C0D0F"/>
    <w:rsid w:val="005C21DE"/>
    <w:rsid w:val="005C6F7A"/>
    <w:rsid w:val="005F3EC1"/>
    <w:rsid w:val="005F5175"/>
    <w:rsid w:val="005F56F1"/>
    <w:rsid w:val="005F6BD5"/>
    <w:rsid w:val="005F791F"/>
    <w:rsid w:val="0060226D"/>
    <w:rsid w:val="00603B1F"/>
    <w:rsid w:val="0061193B"/>
    <w:rsid w:val="00614068"/>
    <w:rsid w:val="006160C7"/>
    <w:rsid w:val="00616D1F"/>
    <w:rsid w:val="00621FDC"/>
    <w:rsid w:val="006226FA"/>
    <w:rsid w:val="00626835"/>
    <w:rsid w:val="006507B0"/>
    <w:rsid w:val="00655AF6"/>
    <w:rsid w:val="00655AF7"/>
    <w:rsid w:val="006644A2"/>
    <w:rsid w:val="00667E18"/>
    <w:rsid w:val="00674893"/>
    <w:rsid w:val="006855CD"/>
    <w:rsid w:val="006A15EB"/>
    <w:rsid w:val="006A2E18"/>
    <w:rsid w:val="006B050B"/>
    <w:rsid w:val="006B6724"/>
    <w:rsid w:val="006C3BE0"/>
    <w:rsid w:val="006C3FD2"/>
    <w:rsid w:val="006D1BAD"/>
    <w:rsid w:val="006D5C71"/>
    <w:rsid w:val="006E261D"/>
    <w:rsid w:val="006F6B44"/>
    <w:rsid w:val="0070014D"/>
    <w:rsid w:val="00704EFF"/>
    <w:rsid w:val="00710FF0"/>
    <w:rsid w:val="00723046"/>
    <w:rsid w:val="00723BE1"/>
    <w:rsid w:val="00731A1E"/>
    <w:rsid w:val="00742746"/>
    <w:rsid w:val="007433FE"/>
    <w:rsid w:val="00744718"/>
    <w:rsid w:val="007457CD"/>
    <w:rsid w:val="00745D8D"/>
    <w:rsid w:val="00747898"/>
    <w:rsid w:val="007511C0"/>
    <w:rsid w:val="00751223"/>
    <w:rsid w:val="007512C8"/>
    <w:rsid w:val="007659A0"/>
    <w:rsid w:val="00772020"/>
    <w:rsid w:val="00787CF7"/>
    <w:rsid w:val="00787DF8"/>
    <w:rsid w:val="00790A90"/>
    <w:rsid w:val="007A1713"/>
    <w:rsid w:val="007B2530"/>
    <w:rsid w:val="007B51FE"/>
    <w:rsid w:val="007C3E0C"/>
    <w:rsid w:val="007D2C16"/>
    <w:rsid w:val="007D4F32"/>
    <w:rsid w:val="007D6186"/>
    <w:rsid w:val="007D6F7C"/>
    <w:rsid w:val="007E0128"/>
    <w:rsid w:val="007E10D6"/>
    <w:rsid w:val="00806049"/>
    <w:rsid w:val="00806BF0"/>
    <w:rsid w:val="0081102A"/>
    <w:rsid w:val="00820FF2"/>
    <w:rsid w:val="00823D26"/>
    <w:rsid w:val="00824451"/>
    <w:rsid w:val="00826FB2"/>
    <w:rsid w:val="00827E09"/>
    <w:rsid w:val="00830868"/>
    <w:rsid w:val="00837A8E"/>
    <w:rsid w:val="00853E7F"/>
    <w:rsid w:val="008604C9"/>
    <w:rsid w:val="0087368D"/>
    <w:rsid w:val="00876533"/>
    <w:rsid w:val="00882D5C"/>
    <w:rsid w:val="008866BA"/>
    <w:rsid w:val="00895319"/>
    <w:rsid w:val="008B5BE3"/>
    <w:rsid w:val="008C002C"/>
    <w:rsid w:val="008C2999"/>
    <w:rsid w:val="008C2E64"/>
    <w:rsid w:val="008C3B3A"/>
    <w:rsid w:val="008C647E"/>
    <w:rsid w:val="008D0FE6"/>
    <w:rsid w:val="008E1BBC"/>
    <w:rsid w:val="008E1C4B"/>
    <w:rsid w:val="008F093C"/>
    <w:rsid w:val="008F7506"/>
    <w:rsid w:val="008F7C29"/>
    <w:rsid w:val="00903827"/>
    <w:rsid w:val="009057AE"/>
    <w:rsid w:val="00917D6F"/>
    <w:rsid w:val="00923522"/>
    <w:rsid w:val="00923810"/>
    <w:rsid w:val="00924346"/>
    <w:rsid w:val="00927587"/>
    <w:rsid w:val="00931DFE"/>
    <w:rsid w:val="00931E05"/>
    <w:rsid w:val="00933F33"/>
    <w:rsid w:val="009426EC"/>
    <w:rsid w:val="00943A42"/>
    <w:rsid w:val="00951870"/>
    <w:rsid w:val="00952C92"/>
    <w:rsid w:val="00956151"/>
    <w:rsid w:val="00960D20"/>
    <w:rsid w:val="0096309E"/>
    <w:rsid w:val="00971976"/>
    <w:rsid w:val="00973D62"/>
    <w:rsid w:val="00974316"/>
    <w:rsid w:val="00976EFE"/>
    <w:rsid w:val="0098204B"/>
    <w:rsid w:val="00982169"/>
    <w:rsid w:val="00982F15"/>
    <w:rsid w:val="009925D6"/>
    <w:rsid w:val="00992EDC"/>
    <w:rsid w:val="009A575A"/>
    <w:rsid w:val="009B43AA"/>
    <w:rsid w:val="009B6628"/>
    <w:rsid w:val="009C28F9"/>
    <w:rsid w:val="009C4C81"/>
    <w:rsid w:val="009C74EB"/>
    <w:rsid w:val="009C7C7F"/>
    <w:rsid w:val="009D1DD5"/>
    <w:rsid w:val="009D408C"/>
    <w:rsid w:val="009D5C31"/>
    <w:rsid w:val="009E128F"/>
    <w:rsid w:val="009E3D99"/>
    <w:rsid w:val="009E40E4"/>
    <w:rsid w:val="009E5600"/>
    <w:rsid w:val="009F10EF"/>
    <w:rsid w:val="009F4B57"/>
    <w:rsid w:val="00A02886"/>
    <w:rsid w:val="00A03FBE"/>
    <w:rsid w:val="00A07462"/>
    <w:rsid w:val="00A10022"/>
    <w:rsid w:val="00A1208B"/>
    <w:rsid w:val="00A12404"/>
    <w:rsid w:val="00A2416D"/>
    <w:rsid w:val="00A25E4F"/>
    <w:rsid w:val="00A34342"/>
    <w:rsid w:val="00A4449C"/>
    <w:rsid w:val="00A45627"/>
    <w:rsid w:val="00A53C68"/>
    <w:rsid w:val="00A614F5"/>
    <w:rsid w:val="00A672C6"/>
    <w:rsid w:val="00A74182"/>
    <w:rsid w:val="00A80B90"/>
    <w:rsid w:val="00A826DA"/>
    <w:rsid w:val="00A90C78"/>
    <w:rsid w:val="00A94248"/>
    <w:rsid w:val="00A95C10"/>
    <w:rsid w:val="00AA47D0"/>
    <w:rsid w:val="00AA773B"/>
    <w:rsid w:val="00AB5B68"/>
    <w:rsid w:val="00AC7BE0"/>
    <w:rsid w:val="00AE13B8"/>
    <w:rsid w:val="00AE155D"/>
    <w:rsid w:val="00AE24C6"/>
    <w:rsid w:val="00AE54E4"/>
    <w:rsid w:val="00AE6219"/>
    <w:rsid w:val="00AF58C9"/>
    <w:rsid w:val="00B14AD5"/>
    <w:rsid w:val="00B212F5"/>
    <w:rsid w:val="00B42244"/>
    <w:rsid w:val="00B44494"/>
    <w:rsid w:val="00B47D79"/>
    <w:rsid w:val="00B560FA"/>
    <w:rsid w:val="00B65CC7"/>
    <w:rsid w:val="00B71B3D"/>
    <w:rsid w:val="00B7218D"/>
    <w:rsid w:val="00B86990"/>
    <w:rsid w:val="00B9214A"/>
    <w:rsid w:val="00B93506"/>
    <w:rsid w:val="00B95FFF"/>
    <w:rsid w:val="00BA55AD"/>
    <w:rsid w:val="00BA5BFD"/>
    <w:rsid w:val="00BB1E5B"/>
    <w:rsid w:val="00BC3AC0"/>
    <w:rsid w:val="00BC56E6"/>
    <w:rsid w:val="00BE464E"/>
    <w:rsid w:val="00BE6FEA"/>
    <w:rsid w:val="00C136C0"/>
    <w:rsid w:val="00C142C5"/>
    <w:rsid w:val="00C16A97"/>
    <w:rsid w:val="00C1734C"/>
    <w:rsid w:val="00C359CF"/>
    <w:rsid w:val="00C4024B"/>
    <w:rsid w:val="00C42065"/>
    <w:rsid w:val="00C44429"/>
    <w:rsid w:val="00C46775"/>
    <w:rsid w:val="00C51FAD"/>
    <w:rsid w:val="00C5796B"/>
    <w:rsid w:val="00C57D89"/>
    <w:rsid w:val="00C63E24"/>
    <w:rsid w:val="00C64221"/>
    <w:rsid w:val="00C714DD"/>
    <w:rsid w:val="00C74408"/>
    <w:rsid w:val="00C861D6"/>
    <w:rsid w:val="00C87CD5"/>
    <w:rsid w:val="00C9229B"/>
    <w:rsid w:val="00CA24FF"/>
    <w:rsid w:val="00CA2CEB"/>
    <w:rsid w:val="00CA5225"/>
    <w:rsid w:val="00CA5A7C"/>
    <w:rsid w:val="00CA5FCE"/>
    <w:rsid w:val="00CB21E3"/>
    <w:rsid w:val="00CB3372"/>
    <w:rsid w:val="00CB6D0C"/>
    <w:rsid w:val="00CB7D02"/>
    <w:rsid w:val="00CC1F5E"/>
    <w:rsid w:val="00CC44C7"/>
    <w:rsid w:val="00CC6294"/>
    <w:rsid w:val="00CD3CFD"/>
    <w:rsid w:val="00CD5722"/>
    <w:rsid w:val="00CD6E5C"/>
    <w:rsid w:val="00CE47C5"/>
    <w:rsid w:val="00CE7B9D"/>
    <w:rsid w:val="00CF01CD"/>
    <w:rsid w:val="00CF5D11"/>
    <w:rsid w:val="00D0290A"/>
    <w:rsid w:val="00D0361F"/>
    <w:rsid w:val="00D03DCC"/>
    <w:rsid w:val="00D04224"/>
    <w:rsid w:val="00D05DDF"/>
    <w:rsid w:val="00D06D8D"/>
    <w:rsid w:val="00D07449"/>
    <w:rsid w:val="00D10616"/>
    <w:rsid w:val="00D11997"/>
    <w:rsid w:val="00D12979"/>
    <w:rsid w:val="00D14CF2"/>
    <w:rsid w:val="00D15901"/>
    <w:rsid w:val="00D22173"/>
    <w:rsid w:val="00D3068A"/>
    <w:rsid w:val="00D402BB"/>
    <w:rsid w:val="00D4067A"/>
    <w:rsid w:val="00D40807"/>
    <w:rsid w:val="00D42E3C"/>
    <w:rsid w:val="00D45487"/>
    <w:rsid w:val="00D52BC3"/>
    <w:rsid w:val="00D7200C"/>
    <w:rsid w:val="00D73B82"/>
    <w:rsid w:val="00D750A6"/>
    <w:rsid w:val="00D84340"/>
    <w:rsid w:val="00D84F51"/>
    <w:rsid w:val="00D85E58"/>
    <w:rsid w:val="00D861F4"/>
    <w:rsid w:val="00D97836"/>
    <w:rsid w:val="00DA0D9F"/>
    <w:rsid w:val="00DA2900"/>
    <w:rsid w:val="00DA593E"/>
    <w:rsid w:val="00DB5E7B"/>
    <w:rsid w:val="00DB6FE8"/>
    <w:rsid w:val="00DC7DBA"/>
    <w:rsid w:val="00DE14F0"/>
    <w:rsid w:val="00DE1B27"/>
    <w:rsid w:val="00DE22FF"/>
    <w:rsid w:val="00E06996"/>
    <w:rsid w:val="00E1398A"/>
    <w:rsid w:val="00E13F29"/>
    <w:rsid w:val="00E1549A"/>
    <w:rsid w:val="00E33041"/>
    <w:rsid w:val="00E34451"/>
    <w:rsid w:val="00E35EC0"/>
    <w:rsid w:val="00E4724A"/>
    <w:rsid w:val="00E572CA"/>
    <w:rsid w:val="00E66BAF"/>
    <w:rsid w:val="00E73FAD"/>
    <w:rsid w:val="00E762F8"/>
    <w:rsid w:val="00E869C6"/>
    <w:rsid w:val="00E90A4E"/>
    <w:rsid w:val="00E941E4"/>
    <w:rsid w:val="00EA61C9"/>
    <w:rsid w:val="00EB24BF"/>
    <w:rsid w:val="00EB6890"/>
    <w:rsid w:val="00EC6212"/>
    <w:rsid w:val="00ED2983"/>
    <w:rsid w:val="00EF6546"/>
    <w:rsid w:val="00EF7565"/>
    <w:rsid w:val="00EF7859"/>
    <w:rsid w:val="00F00D59"/>
    <w:rsid w:val="00F01F4C"/>
    <w:rsid w:val="00F16751"/>
    <w:rsid w:val="00F227DB"/>
    <w:rsid w:val="00F27B07"/>
    <w:rsid w:val="00F30998"/>
    <w:rsid w:val="00F36131"/>
    <w:rsid w:val="00F44F5D"/>
    <w:rsid w:val="00F455FE"/>
    <w:rsid w:val="00F6695A"/>
    <w:rsid w:val="00F72908"/>
    <w:rsid w:val="00F8182E"/>
    <w:rsid w:val="00F84CCC"/>
    <w:rsid w:val="00F85B13"/>
    <w:rsid w:val="00F9642C"/>
    <w:rsid w:val="00F96AD3"/>
    <w:rsid w:val="00F971B8"/>
    <w:rsid w:val="00FB247E"/>
    <w:rsid w:val="00FB44D0"/>
    <w:rsid w:val="00FC1773"/>
    <w:rsid w:val="00FC2FCF"/>
    <w:rsid w:val="00FD679E"/>
    <w:rsid w:val="00FE1DC1"/>
    <w:rsid w:val="00FE55E9"/>
    <w:rsid w:val="00FF1B6B"/>
    <w:rsid w:val="00FF3B56"/>
    <w:rsid w:val="00FF5DD8"/>
    <w:rsid w:val="0113218F"/>
    <w:rsid w:val="01C0101E"/>
    <w:rsid w:val="04065E4B"/>
    <w:rsid w:val="04647B2E"/>
    <w:rsid w:val="05DD1DED"/>
    <w:rsid w:val="061066A8"/>
    <w:rsid w:val="06477554"/>
    <w:rsid w:val="08C42461"/>
    <w:rsid w:val="090C16B1"/>
    <w:rsid w:val="0C741B08"/>
    <w:rsid w:val="0CC11ED6"/>
    <w:rsid w:val="0FBC59F8"/>
    <w:rsid w:val="10C64779"/>
    <w:rsid w:val="13296DAF"/>
    <w:rsid w:val="132F6309"/>
    <w:rsid w:val="13403CDA"/>
    <w:rsid w:val="13F827F3"/>
    <w:rsid w:val="142D0D4B"/>
    <w:rsid w:val="16124D79"/>
    <w:rsid w:val="16386C77"/>
    <w:rsid w:val="164F465E"/>
    <w:rsid w:val="198D5A61"/>
    <w:rsid w:val="1E1B4834"/>
    <w:rsid w:val="1E874DA6"/>
    <w:rsid w:val="21BD7A1A"/>
    <w:rsid w:val="288A735A"/>
    <w:rsid w:val="28EF51B8"/>
    <w:rsid w:val="292B05A4"/>
    <w:rsid w:val="2F1B2AB5"/>
    <w:rsid w:val="2F9A5788"/>
    <w:rsid w:val="309A7708"/>
    <w:rsid w:val="32AF04D3"/>
    <w:rsid w:val="32C76F22"/>
    <w:rsid w:val="33871826"/>
    <w:rsid w:val="341C3389"/>
    <w:rsid w:val="352035DE"/>
    <w:rsid w:val="367B5AC8"/>
    <w:rsid w:val="36996F52"/>
    <w:rsid w:val="37350209"/>
    <w:rsid w:val="3B457DF8"/>
    <w:rsid w:val="3C6A79DD"/>
    <w:rsid w:val="4286359B"/>
    <w:rsid w:val="439F45F9"/>
    <w:rsid w:val="454972F9"/>
    <w:rsid w:val="49B8609B"/>
    <w:rsid w:val="4EC64CCA"/>
    <w:rsid w:val="4FC26D8F"/>
    <w:rsid w:val="51703263"/>
    <w:rsid w:val="52130DCE"/>
    <w:rsid w:val="537E4821"/>
    <w:rsid w:val="546962D0"/>
    <w:rsid w:val="56A24CDC"/>
    <w:rsid w:val="57477454"/>
    <w:rsid w:val="587663D4"/>
    <w:rsid w:val="5ADE68CF"/>
    <w:rsid w:val="5D070865"/>
    <w:rsid w:val="5D1E03DF"/>
    <w:rsid w:val="5DB20D9D"/>
    <w:rsid w:val="5DE7312D"/>
    <w:rsid w:val="5E7262F3"/>
    <w:rsid w:val="632805DC"/>
    <w:rsid w:val="643955F7"/>
    <w:rsid w:val="68914DAA"/>
    <w:rsid w:val="6A1C3FCC"/>
    <w:rsid w:val="6B0544B5"/>
    <w:rsid w:val="6F1173DA"/>
    <w:rsid w:val="70AC4BAD"/>
    <w:rsid w:val="71E55795"/>
    <w:rsid w:val="728F31F6"/>
    <w:rsid w:val="72B32B94"/>
    <w:rsid w:val="73E26C50"/>
    <w:rsid w:val="751B185E"/>
    <w:rsid w:val="786910A2"/>
    <w:rsid w:val="7B42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qFormat/>
    <w:uiPriority w:val="0"/>
    <w:pPr>
      <w:tabs>
        <w:tab w:val="center" w:pos="4153"/>
        <w:tab w:val="right" w:pos="8306"/>
      </w:tabs>
      <w:snapToGrid w:val="0"/>
      <w:jc w:val="left"/>
    </w:pPr>
    <w:rPr>
      <w:kern w:val="0"/>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rPr>
      <w:sz w:val="24"/>
    </w:rPr>
  </w:style>
  <w:style w:type="character" w:customStyle="1" w:styleId="10">
    <w:name w:val="批注框文本 Char"/>
    <w:link w:val="2"/>
    <w:semiHidden/>
    <w:qFormat/>
    <w:uiPriority w:val="99"/>
    <w:rPr>
      <w:kern w:val="2"/>
      <w:sz w:val="18"/>
      <w:szCs w:val="18"/>
    </w:rPr>
  </w:style>
  <w:style w:type="character" w:customStyle="1" w:styleId="11">
    <w:name w:val="页眉 Char"/>
    <w:link w:val="4"/>
    <w:qFormat/>
    <w:uiPriority w:val="0"/>
    <w:rPr>
      <w:sz w:val="18"/>
      <w:szCs w:val="18"/>
    </w:rPr>
  </w:style>
  <w:style w:type="character" w:customStyle="1" w:styleId="12">
    <w:name w:val="页脚 Char"/>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474</Words>
  <Characters>2702</Characters>
  <Lines>22</Lines>
  <Paragraphs>6</Paragraphs>
  <TotalTime>47</TotalTime>
  <ScaleCrop>false</ScaleCrop>
  <LinksUpToDate>false</LinksUpToDate>
  <CharactersWithSpaces>3170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2020-06-24T03:16:00Z</dcterms:created>
  <dc:creator>zengjing</dc:creator>
  <cp:lastModifiedBy>沈志鹏</cp:lastModifiedBy>
  <dcterms:modified xsi:type="dcterms:W3CDTF">2021-01-28T08:05:54Z</dcterms:modified>
  <dc:title>证券代码：300012                                  证券简称：华测检测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